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9F0243C184F4494909EECDDA6B130BA" style="width:450.8pt;height:395.0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I medlemsstaterne er der i øjeblikket over 300 civile og militære myndigheder med ansvar for at udføre kystvagtfunktioner på en lang række områder, såsom maritim sikkerhed og sikring, eftersøgnings- og redningsaktioner, grænsekontrol, fiskerikontrol, toldkontrol, generel retshåndhævelse og miljøbeskyttelse. Til udførelsen af disse funktioner får de nationale myndigheder støtte fra en række EU-agenturer, navnlig Frontex, Det Europæiske Agentur for Søfartssikkerhed og EU-Fiskerikontrolagenturet.</w:t>
      </w:r>
    </w:p>
    <w:p>
      <w:pPr>
        <w:pBdr>
          <w:top w:val="nil"/>
          <w:left w:val="nil"/>
          <w:bottom w:val="nil"/>
          <w:right w:val="nil"/>
          <w:between w:val="nil"/>
          <w:bar w:val="nil"/>
        </w:pBdr>
        <w:spacing w:before="0" w:after="240"/>
        <w:rPr>
          <w:rFonts w:eastAsia="Arial Unicode MS"/>
          <w:noProof/>
        </w:rPr>
      </w:pPr>
      <w:r>
        <w:rPr>
          <w:noProof/>
        </w:rPr>
        <w:t>I 2014 afsluttede Kommissionen en feasibilityundersøgelse, der havde til formål at undersøge behovet for at forbedre samarbejdet og koordinationen mellem de nationale organer og de agenturer, der udfører kystvagtfunktioner. I undersøgelsen peges der på en række områder, hvor der kunne arbejdes tættere sammen, særlig når det drejer sig om operationel overvågning og udveksling af data, som danner grundlag for udførelsen af alle disse funktioner.</w:t>
      </w:r>
    </w:p>
    <w:p>
      <w:pPr>
        <w:pBdr>
          <w:top w:val="nil"/>
          <w:left w:val="nil"/>
          <w:bottom w:val="nil"/>
          <w:right w:val="nil"/>
          <w:between w:val="nil"/>
          <w:bar w:val="nil"/>
        </w:pBdr>
        <w:spacing w:before="0" w:after="240"/>
        <w:rPr>
          <w:rFonts w:eastAsia="Arial Unicode MS"/>
          <w:noProof/>
        </w:rPr>
      </w:pPr>
      <w:r>
        <w:rPr>
          <w:noProof/>
        </w:rPr>
        <w:t>Behovet for at forbedre samarbejdet og koordinationen mellem de myndigheder, der udfører kystvagtfunktioner, er efterfølgende blevet anerkendt i EU's søfartslovgivning, EU-strategien for maritim sikkerhed samt en handlingsplan, som Rådet vedtog i 2014, og i den europæiske dagsorden for migration, som Kommissionen vedtog i 2015.</w:t>
      </w:r>
    </w:p>
    <w:p>
      <w:pPr>
        <w:pBdr>
          <w:top w:val="nil"/>
          <w:left w:val="nil"/>
          <w:bottom w:val="nil"/>
          <w:right w:val="nil"/>
          <w:between w:val="nil"/>
          <w:bar w:val="nil"/>
        </w:pBdr>
        <w:spacing w:before="0" w:after="240"/>
        <w:rPr>
          <w:rFonts w:eastAsia="Arial Unicode MS"/>
          <w:noProof/>
        </w:rPr>
      </w:pPr>
      <w:r>
        <w:rPr>
          <w:noProof/>
        </w:rPr>
        <w:t xml:space="preserve">Formålet med dette lovforslag om et styrket europæisk samarbejde om kystvagtfunktioner er at forbedre samarbejdet og koordinationen mellem de relevante EU-agenturer med henblik på at fremme synergierne mellem deres respektive tjenester og dermed gøre det muligt for agenturerne at levere mere effektive og omkostningseffektive tjenester med forskelligt sigte til de nationale myndigheder, der udfører kystvagtfunktioner. </w:t>
      </w:r>
    </w:p>
    <w:p>
      <w:pPr>
        <w:pBdr>
          <w:top w:val="nil"/>
          <w:left w:val="nil"/>
          <w:bottom w:val="nil"/>
          <w:right w:val="nil"/>
          <w:between w:val="nil"/>
          <w:bar w:val="nil"/>
        </w:pBdr>
        <w:spacing w:before="0" w:after="240"/>
        <w:rPr>
          <w:rFonts w:eastAsia="Arial Unicode MS"/>
          <w:noProof/>
        </w:rPr>
      </w:pPr>
      <w:r>
        <w:rPr>
          <w:noProof/>
        </w:rPr>
        <w:t>Lovforslaget udgør en del af en række foranstaltninger, som Kommissionen har foreslået med henblik på at øge beskyttelsen af Europas ydre grænser, herunder europæisk samarbejde på kystvagtområdet, hvilket også omfatter forslag til forordninger om oprettelse af et europæisk agentur for grænse- og kystbevogtning og om ændring af Rådets forordning (EF) nr. 768/2005 om oprettelse af et EF-fiskerikontrolagentur. De indholdsmæssige ændringer i nærværende forslag er identiske med de foreslåede bestemmelser om europæisk kystvagtsamarbejde i forslaget til forordning om oprettelse af et europæisk agentur for grænse- og kystbevogtning og med de foreslåede ændringer til Rådets forordning (EF) nr. 768/2005.</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 xml:space="preserve">Dette forslag er i overensstemmelse med målene i EU's søtransportpolitik frem til 2018 og de politiske mål med Det Europæiske Agentur for Søfartssikkerhed, som blev oprettet med det formål sikre at et højt, ensartet og effektivt niveau for søfartssikkerhed og for forebyggelse og bekæmpelse af forurening fra skibe. Det er kernen i den mission og de kompetencer og aktiviteter, som EMSA udøver sammen med de søfartsmyndigheder og -organer, der varetager kystvagtfunktioner. </w:t>
      </w:r>
    </w:p>
    <w:p>
      <w:pPr>
        <w:pStyle w:val="ManualHeading2"/>
        <w:rPr>
          <w:rFonts w:eastAsia="Arial Unicode MS"/>
          <w:noProof/>
        </w:rPr>
      </w:pPr>
      <w:r>
        <w:rPr>
          <w:noProof/>
          <w:color w:val="000000"/>
          <w:u w:color="000000"/>
          <w:bdr w:val="nil"/>
        </w:rPr>
        <w:t>•</w:t>
      </w:r>
      <w:r>
        <w:rPr>
          <w:noProof/>
        </w:rPr>
        <w:tab/>
      </w:r>
      <w:r>
        <w:rPr>
          <w:rFonts w:eastAsia="Arial Unicode MS"/>
          <w:noProof/>
          <w:color w:val="000000"/>
          <w:u w:color="000000"/>
          <w:bdr w:val="nil"/>
          <w:lang w:eastAsia="en-GB"/>
        </w:rPr>
        <w:t>Sammenhæng med Unionens politik på andre områder</w:t>
      </w:r>
    </w:p>
    <w:p>
      <w:pPr>
        <w:pStyle w:val="ListParagraph"/>
        <w:spacing w:before="120" w:after="120"/>
        <w:ind w:left="0"/>
        <w:jc w:val="both"/>
        <w:rPr>
          <w:rFonts w:ascii="Times New Roman" w:hAnsi="Times New Roman" w:cs="Times New Roman"/>
          <w:noProof/>
          <w:sz w:val="24"/>
          <w:szCs w:val="24"/>
        </w:rPr>
      </w:pPr>
      <w:r>
        <w:rPr>
          <w:rFonts w:ascii="Times New Roman" w:hAnsi="Times New Roman"/>
          <w:noProof/>
          <w:sz w:val="24"/>
        </w:rPr>
        <w:t xml:space="preserve">Formålet med dette initiativ er at forbedre det europæiske samarbejde om kystvagtfunktioner ved at udbygge det tværsektorielle samarbejde mellem Det Europæiske Agentur for Grænse- og Kystbevogtning, Det Europæiske Agentur for Søfartssikkerhed (EMSA) og EU-Fiskerikontrolagenturet (EFCA) med henblik på at fremme synergierne mellem dem, således at de kan levere mere effektive og omkostningseffektive tjenester til de nationale myndigheder, der udfører kystvagtfunktioner. </w:t>
      </w:r>
    </w:p>
    <w:p>
      <w:pPr>
        <w:pStyle w:val="Text1"/>
        <w:ind w:left="0"/>
        <w:rPr>
          <w:noProof/>
        </w:rPr>
      </w:pPr>
      <w:r>
        <w:rPr>
          <w:noProof/>
        </w:rPr>
        <w:t>Det underliggende problem er, at kystvagtfunktioner, såsom grænsekontrol, maritim sikring og sikkerhed, eftersøgnings- og redningsaktioner, fiskerikontrol, forureningsbekæmpelse m.v., i øjeblikket udføres af over 300 myndigheder i medlemsstaterne, og at disse ikke altid er koordineret ordentligt, end ikke på nationalt plan. Da dette forslag fremmer samarbejdet og koordinationen mellem myndigheder, der udfører kystvagtfunktioner, er det i fuld overensstemmelse med EU's politikker om migration, sikkerhed, IUU-fiskeri såvel som transport og mobilitet.</w:t>
      </w:r>
    </w:p>
    <w:p>
      <w:pPr>
        <w:pStyle w:val="Text1"/>
        <w:ind w:left="0"/>
        <w:rPr>
          <w:noProof/>
        </w:rPr>
      </w:pPr>
      <w:r>
        <w:rPr>
          <w:noProof/>
        </w:rPr>
        <w:t>De yderligere opgaver, der tildeles EMSA, er i fuld overensstemmelse med de mandater, der er tildelt Det Europæiske Agentur for Grænse- og Kystbevogtning og EFCA, og vil bidrage til, at disse også kan udøve deres hverv. Der er allerede bilaterale serviceleveranceaftaler mellem EMSA og Frontex og mellem EMSA og EFCA vedrørende levering af maritime informationstjenester. Siden 2013 har EMSA udvekslet oplysninger med Frontex, og data overføres kontinuerligt fra EMSA til EUROSUR og Frontex' Situationscenter. Den etablerede praksis vil blive benyttet ved forbedringen af datastrømmene.</w:t>
      </w:r>
    </w:p>
    <w:p>
      <w:pPr>
        <w:pStyle w:val="Text1"/>
        <w:ind w:left="0"/>
        <w:rPr>
          <w:noProof/>
        </w:rPr>
      </w:pPr>
      <w:r>
        <w:rPr>
          <w:noProof/>
        </w:rPr>
        <w:t xml:space="preserve">Lovgivningsforslaget berører ikke Kommissionens tilsagn om at bringe oprettelsesforordningerne for EU's decentrale agenturer i overensstemmelse med den fælles tilgang til decentrale agenturer, når oprettelsesforordningerne revideres af politiske grunde.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Forslaget er baseret på artikel 100, stk. 2, i TEUF om fastsættelse af de foranstaltninger, der er nødvendige for at realisere den fælles søtransportpolitiks mål.</w:t>
      </w:r>
    </w:p>
    <w:p>
      <w:pPr>
        <w:pStyle w:val="ManualHeading2"/>
        <w:rPr>
          <w:rFonts w:eastAsia="Arial Unicode MS"/>
          <w:noProof/>
          <w:u w:color="000000"/>
          <w:bdr w:val="nil"/>
        </w:rPr>
      </w:pPr>
      <w:r>
        <w:rPr>
          <w:noProof/>
        </w:rPr>
        <w:t>•</w:t>
      </w:r>
      <w:r>
        <w:rPr>
          <w:noProof/>
        </w:rPr>
        <w:tab/>
        <w:t xml:space="preserve">Nærhedsprincippet </w:t>
      </w:r>
    </w:p>
    <w:p>
      <w:pPr>
        <w:pBdr>
          <w:top w:val="nil"/>
          <w:left w:val="nil"/>
          <w:bottom w:val="nil"/>
          <w:right w:val="nil"/>
          <w:between w:val="nil"/>
          <w:bar w:val="nil"/>
        </w:pBdr>
        <w:spacing w:before="0" w:after="240"/>
        <w:rPr>
          <w:rFonts w:eastAsia="Arial Unicode MS"/>
          <w:noProof/>
        </w:rPr>
      </w:pPr>
      <w:r>
        <w:rPr>
          <w:noProof/>
        </w:rPr>
        <w:t>Forslaget vedrører støtte til nationale myndigheder, der udfører kystvagtfunktioner på nationalt plan og EU-plan og, hvor det er relevant, på internationalt plan.</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Forslaget tager sigte på at styrke EU's kapacitet, når det drejer sig om kystbevogtning, som svar på trusler og risici på det maritime område, ved at forbedre samarbejdet og fremme grænseoverskridende og tværsektorielle omkostningseffektive aktioner. Hermed undgås dobbeltarbejde, mens det sikres, at hovedaktørerne (navnlig EU-agenturer) handler på sammenhængende og effektiv vis og sammen udvikler synergier. Med forslaget tages der hensyn til behovet for mere kontrol på det maritime område, mens arbejdsbyrden lettes for de nationale forvaltninger og for EU-administrationen.</w:t>
      </w:r>
    </w:p>
    <w:p>
      <w:pPr>
        <w:pBdr>
          <w:top w:val="nil"/>
          <w:left w:val="nil"/>
          <w:bottom w:val="nil"/>
          <w:right w:val="nil"/>
          <w:between w:val="nil"/>
          <w:bar w:val="nil"/>
        </w:pBdr>
        <w:spacing w:before="0"/>
        <w:rPr>
          <w:noProof/>
        </w:rPr>
      </w:pPr>
      <w:r>
        <w:rPr>
          <w:noProof/>
        </w:rPr>
        <w:t xml:space="preserve">Merværdien af EMSA's særlige aktiviteter på EU-plan er: </w:t>
      </w:r>
    </w:p>
    <w:p>
      <w:pPr>
        <w:pStyle w:val="Tiret1"/>
        <w:numPr>
          <w:ilvl w:val="0"/>
          <w:numId w:val="9"/>
        </w:numPr>
        <w:rPr>
          <w:noProof/>
        </w:rPr>
      </w:pPr>
      <w:r>
        <w:rPr>
          <w:noProof/>
        </w:rPr>
        <w:t>levering af værdifulde oplysninger til forbedring af overvågningen af EU's ydre grænser ved hjælp af nye fjernstyrede luftfartøjssystemer (RPAS eller droner) samt fortsatte SAT-AIS-tjenester, som ellers ikke ville blive leveret eller ville blive leveret i mindre udstrækning (overvågning fra luften, hvilket er meget dyrt)</w:t>
      </w:r>
    </w:p>
    <w:p>
      <w:pPr>
        <w:pStyle w:val="Tiret1"/>
        <w:rPr>
          <w:noProof/>
        </w:rPr>
      </w:pPr>
      <w:r>
        <w:rPr>
          <w:noProof/>
        </w:rPr>
        <w:t>omkostningseffektiv levering af tjenester og data på EU-plan takket være stordriftsfordele, som ikke kan opnås med tilsvarende aktioner på nationalt plan</w:t>
      </w:r>
    </w:p>
    <w:p>
      <w:pPr>
        <w:pStyle w:val="Tiret1"/>
        <w:rPr>
          <w:noProof/>
        </w:rPr>
      </w:pPr>
      <w:r>
        <w:rPr>
          <w:noProof/>
        </w:rPr>
        <w:t xml:space="preserve">genbrug og udveksling af data med alle berørte EU-medlemsstater og EU-agenturer, hvorved dobbeltarbejde undgås, og det bliver muligt at anvende de samme data og tjenester til forskellige formål, ligesom det bliver muligt at anvende nye og moderne teknologier. </w:t>
      </w:r>
    </w:p>
    <w:p>
      <w:pPr>
        <w:pStyle w:val="Tiret1"/>
        <w:rPr>
          <w:noProof/>
        </w:rPr>
      </w:pPr>
      <w:r>
        <w:rPr>
          <w:noProof/>
        </w:rPr>
        <w:t>samling af alle relevante maritime data vedrørende menneskelig aktivitet til søs på ét sted, hvorfra andre myndigheder på nationalt plan og EU-plan kan hente data. IKT-infrastrukturen og distributionsnetværket er allerede i det store hele på plads, og det er ikke nødvendigt at udvikle dem på ny. EMSA leverer allerede forskellige maritime datasæt til Det Europæiske Agentur for Grænse- og Kystbevogtning og EFCA via de dertil oprettede grænseflader</w:t>
      </w:r>
    </w:p>
    <w:p>
      <w:pPr>
        <w:pStyle w:val="Tiret1"/>
        <w:rPr>
          <w:noProof/>
        </w:rPr>
      </w:pPr>
      <w:r>
        <w:rPr>
          <w:noProof/>
        </w:rPr>
        <w:t>anvendelse af EMSA's allerede etablerede maritime informationssystemer, harmonisering af eksisterende systemer og tjenester med henblik på at fremme informationsudveksling mellem kystvagtmyndigheder på EU-plan</w:t>
      </w:r>
    </w:p>
    <w:p>
      <w:pPr>
        <w:pStyle w:val="Tiret1"/>
        <w:rPr>
          <w:rFonts w:eastAsia="Arial Unicode MS"/>
          <w:noProof/>
        </w:rPr>
      </w:pPr>
      <w:r>
        <w:rPr>
          <w:noProof/>
        </w:rPr>
        <w:t>udbygning af kollektive færdigheder og kapacitet til udførelse af kystvagtfunktioner og bistand til samarbejde og handling i fællesskab på grundlag af en fælles tilgang.</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Da formålet med forslaget er at ændre forordning (EF) nr. 1406/2002 om oprettelse af et europæisk agentur for søfartssikkerhed, er det nødvendigt at foreslå en forordning.</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 xml:space="preserve">Ikke relevant (initiativet tager sigte på at gennemføre forpligtelserne, der er omhandlet i den europæiske dagsorden for migration, og som vedrører kystbevogtning). </w:t>
      </w:r>
    </w:p>
    <w:p>
      <w:pPr>
        <w:pStyle w:val="ManualHeading2"/>
        <w:rPr>
          <w:rFonts w:eastAsia="Arial Unicode MS"/>
          <w:noProof/>
          <w:u w:color="000000"/>
          <w:bdr w:val="nil"/>
        </w:rPr>
      </w:pPr>
      <w:r>
        <w:rPr>
          <w:noProof/>
        </w:rPr>
        <w:t>•</w:t>
      </w:r>
      <w:r>
        <w:rPr>
          <w:noProof/>
        </w:rPr>
        <w:tab/>
        <w:t>Høringer af interesserede parter</w:t>
      </w:r>
    </w:p>
    <w:p>
      <w:pPr>
        <w:pStyle w:val="Text1"/>
        <w:ind w:left="0"/>
        <w:rPr>
          <w:noProof/>
        </w:rPr>
      </w:pPr>
      <w:r>
        <w:rPr>
          <w:noProof/>
        </w:rPr>
        <w:t>Ikke relevant</w:t>
      </w:r>
    </w:p>
    <w:p>
      <w:pPr>
        <w:pStyle w:val="ManualHeading2"/>
        <w:rPr>
          <w:rFonts w:eastAsia="Arial Unicode MS"/>
          <w:noProof/>
          <w:u w:color="000000"/>
          <w:bdr w:val="nil"/>
        </w:rPr>
      </w:pPr>
      <w:r>
        <w:rPr>
          <w:noProof/>
        </w:rPr>
        <w:t>•</w:t>
      </w:r>
      <w:r>
        <w:rPr>
          <w:noProof/>
        </w:rPr>
        <w:tab/>
        <w:t>Indhentning og brug af ekspertbistand</w:t>
      </w:r>
    </w:p>
    <w:p>
      <w:pPr>
        <w:pStyle w:val="Text1"/>
        <w:ind w:left="0"/>
        <w:rPr>
          <w:noProof/>
        </w:rPr>
      </w:pPr>
      <w:r>
        <w:rPr>
          <w:noProof/>
        </w:rPr>
        <w:t>Ikke relevant</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Ikke relevant</w:t>
      </w:r>
    </w:p>
    <w:p>
      <w:pPr>
        <w:rPr>
          <w:noProof/>
          <w:szCs w:val="24"/>
        </w:rPr>
      </w:pPr>
      <w:r>
        <w:rPr>
          <w:noProof/>
        </w:rPr>
        <w:t>DG MOVE bestilte dog en feasibilityundersøgelse</w:t>
      </w:r>
      <w:r>
        <w:rPr>
          <w:rStyle w:val="FootnoteReference"/>
          <w:noProof/>
        </w:rPr>
        <w:footnoteReference w:id="1"/>
      </w:r>
      <w:r>
        <w:rPr>
          <w:noProof/>
        </w:rPr>
        <w:t xml:space="preserve"> i henhold til betragtning 30 i Europa-Parlamentets og Rådets forordning nr. 100/2013</w:t>
      </w:r>
      <w:r>
        <w:rPr>
          <w:rStyle w:val="FootnoteReference"/>
          <w:noProof/>
        </w:rPr>
        <w:footnoteReference w:id="2"/>
      </w:r>
      <w:r>
        <w:rPr>
          <w:noProof/>
        </w:rPr>
        <w:t>.</w:t>
      </w:r>
    </w:p>
    <w:p>
      <w:pPr>
        <w:spacing w:after="0"/>
        <w:rPr>
          <w:noProof/>
          <w:szCs w:val="24"/>
        </w:rPr>
      </w:pPr>
      <w:r>
        <w:rPr>
          <w:noProof/>
        </w:rPr>
        <w:t xml:space="preserve">I undersøgelsen blev der i medlemsstaterne fundet frem til 316 civile og militære myndigheder, der har ansvar for kystvagtfunktioner, og som samarbejder via 70 forskellige strukturer. Undersøgelsen påpegede væsentlige mangler i det eksisterende samarbejde: </w:t>
      </w:r>
    </w:p>
    <w:p>
      <w:pPr>
        <w:pStyle w:val="Tiret1"/>
        <w:rPr>
          <w:noProof/>
        </w:rPr>
      </w:pPr>
      <w:r>
        <w:rPr>
          <w:noProof/>
        </w:rPr>
        <w:t>manglen på oplysninger om andre myndigheders ansvarsområde, beføjelser og kompetencer</w:t>
      </w:r>
    </w:p>
    <w:p>
      <w:pPr>
        <w:pStyle w:val="Tiret1"/>
        <w:rPr>
          <w:noProof/>
        </w:rPr>
      </w:pPr>
      <w:r>
        <w:rPr>
          <w:noProof/>
        </w:rPr>
        <w:t>menneskelige ressourcer, finansielle begrænsninger og det begrænsede antal driftsaktiver</w:t>
      </w:r>
    </w:p>
    <w:p>
      <w:pPr>
        <w:pStyle w:val="Tiret1"/>
        <w:rPr>
          <w:noProof/>
        </w:rPr>
      </w:pPr>
      <w:r>
        <w:rPr>
          <w:noProof/>
        </w:rPr>
        <w:t xml:space="preserve">ad hoc-koordination og manglen på interoperabilitet mellem systemer, processer og aktiver </w:t>
      </w:r>
    </w:p>
    <w:p>
      <w:pPr>
        <w:pStyle w:val="Tiret1"/>
        <w:rPr>
          <w:noProof/>
        </w:rPr>
      </w:pPr>
      <w:r>
        <w:rPr>
          <w:noProof/>
        </w:rPr>
        <w:t xml:space="preserve">begrænset grad af fælles planlægning og fælles aktioner. </w:t>
      </w:r>
    </w:p>
    <w:p>
      <w:pPr>
        <w:rPr>
          <w:noProof/>
          <w:szCs w:val="24"/>
        </w:rPr>
      </w:pPr>
      <w:r>
        <w:rPr>
          <w:noProof/>
        </w:rPr>
        <w:t>En af de væsentligste konstateringer var, at den eksisterende operationelle overvågning spiller en central rolle, og det samme gælder udvekslingen af data, der understøtter samtlige funktioner og er afhængig af EMSA's systemer.</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Initiativet er ikke en del af REFIT-dagsordenen, men bør anvende dennes hovedprincipper.</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Initiativet kræver en stigning på ca. 22 mio. EUR pr. år i EU's bidrag til EMSA (dvs. omkring 87 mio. EUR for perioden 2017-2020) og ansættelse af 17 midlertidigt ansatte.</w:t>
      </w:r>
    </w:p>
    <w:p>
      <w:pPr>
        <w:pBdr>
          <w:top w:val="nil"/>
          <w:left w:val="nil"/>
          <w:bottom w:val="nil"/>
          <w:right w:val="nil"/>
          <w:between w:val="nil"/>
          <w:bar w:val="nil"/>
        </w:pBdr>
        <w:spacing w:before="0" w:after="240"/>
        <w:rPr>
          <w:rFonts w:eastAsia="Arial Unicode MS"/>
          <w:noProof/>
        </w:rPr>
      </w:pPr>
      <w:r>
        <w:rPr>
          <w:noProof/>
        </w:rPr>
        <w:t xml:space="preserve">Det drejer sig om driftsudgifter (afsnit 3) på ca. 81 mio. EUR, der først og fremmest går til at dække levering af RPAS-tjenester (67 mio. EUR) og SAT-AIS- og Satcom-data og -tjenester, som skal øge de tre agenturers og de nationale myndigheders overvågningskapacitet med det primære mål at styrke kontrollen med EU's ydre søgrænser. </w:t>
      </w:r>
    </w:p>
    <w:p>
      <w:pPr>
        <w:pBdr>
          <w:top w:val="nil"/>
          <w:left w:val="nil"/>
          <w:bottom w:val="nil"/>
          <w:right w:val="nil"/>
          <w:between w:val="nil"/>
          <w:bar w:val="nil"/>
        </w:pBdr>
        <w:spacing w:before="0" w:after="240"/>
        <w:rPr>
          <w:rFonts w:eastAsia="Arial Unicode MS"/>
          <w:noProof/>
        </w:rPr>
      </w:pPr>
      <w:r>
        <w:rPr>
          <w:noProof/>
        </w:rPr>
        <w:t>(Se desuden vedlagte finansieringsoversigt).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r>
      <w:r>
        <w:rPr>
          <w:rFonts w:eastAsia="Arial Unicode MS"/>
          <w:noProof/>
          <w:u w:color="000000"/>
          <w:bdr w:val="nil"/>
          <w:lang w:eastAsia="en-GB"/>
        </w:rPr>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 xml:space="preserve">Da denne foranstaltning gennemføres af EMSA, vil evalueringen af den indgå i femårsevalueringen af agenturet. Kommissionen fremsender resultaterne af evalueringen og anbefalingerne heri til Europa-Parlamentet og Rådet og offentliggør dem. </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r>
      <w:r>
        <w:rPr>
          <w:rFonts w:eastAsia="Arial Unicode MS"/>
          <w:noProof/>
          <w:u w:color="000000"/>
          <w:bdr w:val="nil"/>
          <w:lang w:eastAsia="en-GB"/>
        </w:rPr>
        <w:t>Nærmere redegørelse for de enkelte bestemmelser i forslaget</w:t>
      </w:r>
    </w:p>
    <w:p>
      <w:pPr>
        <w:pBdr>
          <w:top w:val="nil"/>
          <w:left w:val="nil"/>
          <w:bottom w:val="nil"/>
          <w:right w:val="nil"/>
          <w:between w:val="nil"/>
          <w:bar w:val="nil"/>
        </w:pBdr>
        <w:spacing w:before="0" w:after="240"/>
        <w:rPr>
          <w:b/>
          <w:noProof/>
          <w:szCs w:val="24"/>
        </w:rPr>
      </w:pPr>
      <w:r>
        <w:rPr>
          <w:b/>
          <w:noProof/>
          <w:u w:val="single"/>
        </w:rPr>
        <w:t>Initiativet tager sigte på at udbygge det europæiske samarbejde om kystvagtfunktioner</w:t>
      </w:r>
      <w:r>
        <w:rPr>
          <w:b/>
          <w:noProof/>
        </w:rPr>
        <w:t xml:space="preserve"> ved at udvikle former for tværsektorielt samarbejde mellem Det Europæiske Agentur for Grænse- og Kystbevogtning, EMSA og EFCA med henblik på at fremme synergierne mellem disse agenturer, således at kan levere mere effektive og omkostningseffektive tjenester med forskelligt sigte til de nationale myndigheder, der udfører kystvagtfunktioner.</w:t>
      </w:r>
      <w:r>
        <w:rPr>
          <w:noProof/>
        </w:rPr>
        <w:t xml:space="preserve"> </w:t>
      </w:r>
    </w:p>
    <w:p>
      <w:pPr>
        <w:pBdr>
          <w:top w:val="nil"/>
          <w:left w:val="nil"/>
          <w:bottom w:val="nil"/>
          <w:right w:val="nil"/>
          <w:between w:val="nil"/>
          <w:bar w:val="nil"/>
        </w:pBdr>
        <w:spacing w:before="0" w:after="240"/>
        <w:rPr>
          <w:noProof/>
        </w:rPr>
      </w:pPr>
      <w:r>
        <w:rPr>
          <w:noProof/>
        </w:rPr>
        <w:t xml:space="preserve">EMSA vil navnlig føre an, når det drejer sig om at skabe væsentlige forbedringer af overvågningskapaciteten med henblik på at styrke kontrollen af EU's ydre søgrænser gennem følgende foranstaltninger: </w:t>
      </w:r>
    </w:p>
    <w:p>
      <w:pPr>
        <w:pBdr>
          <w:top w:val="nil"/>
          <w:left w:val="nil"/>
          <w:bottom w:val="nil"/>
          <w:right w:val="nil"/>
          <w:between w:val="nil"/>
          <w:bar w:val="nil"/>
        </w:pBdr>
        <w:spacing w:before="0" w:after="240"/>
        <w:rPr>
          <w:noProof/>
        </w:rPr>
      </w:pPr>
      <w:r>
        <w:rPr>
          <w:noProof/>
        </w:rPr>
        <w:t>a.</w:t>
      </w:r>
      <w:r>
        <w:rPr>
          <w:noProof/>
        </w:rPr>
        <w:tab/>
        <w:t xml:space="preserve">Udveksling af oplysninger, der genereres ved samkøring og analyse af data i skibsmeldesystemer og andre informationssystemer, som agenturerne er vært for eller har adgang til, i overensstemmelse med disses respektive retsgrundlag og uden at det berører medlemsstaternes ejerskab til dataene. </w:t>
      </w:r>
    </w:p>
    <w:p>
      <w:pPr>
        <w:pBdr>
          <w:top w:val="nil"/>
          <w:left w:val="nil"/>
          <w:bottom w:val="nil"/>
          <w:right w:val="nil"/>
          <w:between w:val="nil"/>
          <w:bar w:val="nil"/>
        </w:pBdr>
        <w:spacing w:before="0" w:after="240"/>
        <w:rPr>
          <w:b/>
          <w:i/>
          <w:noProof/>
        </w:rPr>
      </w:pPr>
      <w:r>
        <w:rPr>
          <w:b/>
          <w:i/>
          <w:noProof/>
        </w:rPr>
        <w:t>Resultat: forbedret formidling af maritime overvågningsdata i realtid og næsten realtid mellem de tre agenturer og relevante myndigheder</w:t>
      </w:r>
    </w:p>
    <w:p>
      <w:pPr>
        <w:pBdr>
          <w:top w:val="nil"/>
          <w:left w:val="nil"/>
          <w:bottom w:val="nil"/>
          <w:right w:val="nil"/>
          <w:between w:val="nil"/>
          <w:bar w:val="nil"/>
        </w:pBdr>
        <w:spacing w:before="0" w:after="240"/>
        <w:rPr>
          <w:noProof/>
        </w:rPr>
      </w:pPr>
      <w:r>
        <w:rPr>
          <w:noProof/>
        </w:rPr>
        <w:t xml:space="preserve">På grundlag af de gældende serviceleveranceaftaler, som EMSA har med henholdsvis Det Europæiske Agentur for Grænse- og Kystbevogtning og EFCA, overføres information løbende til de andre agenturers systemer. I forbindelse med, at overvågningskapaciteten forbedres, bør data fra nye sensorer, særlig RPAS (herunder videodata og infrarøde data), indarbejdes i billedet af situationen til søs. Dette vil kræve nye funktioner i det nuværende system for at forbedre leveringen af information og udvekslingen af dem med de andre agenturer og relevante myndigheder. Der er behov for udvikling af software og opgraderinger af grænseflader for at opdatere systemerne, så de kan håndtere oplysningerne fra nye sensorer. </w:t>
      </w:r>
    </w:p>
    <w:p>
      <w:pPr>
        <w:pBdr>
          <w:top w:val="nil"/>
          <w:left w:val="nil"/>
          <w:bottom w:val="nil"/>
          <w:right w:val="nil"/>
          <w:between w:val="nil"/>
          <w:bar w:val="nil"/>
        </w:pBdr>
        <w:spacing w:before="0" w:after="240"/>
        <w:rPr>
          <w:noProof/>
        </w:rPr>
      </w:pPr>
      <w:r>
        <w:rPr>
          <w:noProof/>
        </w:rPr>
        <w:t>b.</w:t>
      </w:r>
      <w:r>
        <w:rPr>
          <w:noProof/>
        </w:rPr>
        <w:tab/>
        <w:t>Levering af overvågnings- og kommunikationstjenester på grundlag af den nyeste teknologi, herunder rumbaseret og jordbaseret infrastruktur og sensorer monteret på enhver form for platform, som f.eks. fjernstyrede luftfartøjssystemer</w:t>
      </w:r>
    </w:p>
    <w:p>
      <w:pPr>
        <w:pBdr>
          <w:top w:val="nil"/>
          <w:left w:val="nil"/>
          <w:bottom w:val="nil"/>
          <w:right w:val="nil"/>
          <w:between w:val="nil"/>
          <w:bar w:val="nil"/>
        </w:pBdr>
        <w:spacing w:before="0" w:after="240"/>
        <w:rPr>
          <w:b/>
          <w:i/>
          <w:noProof/>
        </w:rPr>
      </w:pPr>
      <w:r>
        <w:rPr>
          <w:b/>
          <w:i/>
          <w:noProof/>
        </w:rPr>
        <w:t>Resultat: fleksible RPAS-tjenester til brug ved grænseovervågning</w:t>
      </w:r>
    </w:p>
    <w:p>
      <w:pPr>
        <w:pBdr>
          <w:top w:val="nil"/>
          <w:left w:val="nil"/>
          <w:bottom w:val="nil"/>
          <w:right w:val="nil"/>
          <w:between w:val="nil"/>
          <w:bar w:val="nil"/>
        </w:pBdr>
        <w:spacing w:before="0" w:after="240"/>
        <w:rPr>
          <w:b/>
          <w:noProof/>
        </w:rPr>
      </w:pPr>
      <w:r>
        <w:rPr>
          <w:noProof/>
        </w:rPr>
        <w:t xml:space="preserve">Med de nuværende land- og satellitbaserede teknologier er det stadig vanskeligt at opspore de små både fremstillet af gummi eller træ, der anvendes til at sejle migranter over Middelhavet. Disse typer både giver generelt ikke tilstrækkelig refleksion til at kunne ses på radarsatellitbilleder. Med optisk billeddannelse er det kun muligt at dække meget små områder målrettet, og det kun ved dagslys og i skyfrit vejr. Satellitinformation er generelt kun tilgængelig på visse tidspunkter, afhængigt af hvor satellitterne befinder sig. Med yderligere tjenester baseret på RPAS (droner) kan disse begrænsninger overvindes. </w:t>
      </w:r>
    </w:p>
    <w:p>
      <w:pPr>
        <w:pBdr>
          <w:top w:val="nil"/>
          <w:left w:val="nil"/>
          <w:bottom w:val="nil"/>
          <w:right w:val="nil"/>
          <w:between w:val="nil"/>
          <w:bar w:val="nil"/>
        </w:pBdr>
        <w:spacing w:before="0" w:after="240"/>
        <w:rPr>
          <w:b/>
          <w:noProof/>
        </w:rPr>
      </w:pPr>
      <w:r>
        <w:rPr>
          <w:noProof/>
        </w:rPr>
        <w:t xml:space="preserve">Agenturet vil som institutionel tjenesteudbyder organisere og levere RPAS-tjenester til støtte for Det Europæiske Agentur for Grænse- og Kystbevogtning og grænsekontrolmyndighederne. Desuden vil EMSA som søfartssikkerhedsagentur bidrage til at vinde større accept af anvendelsen af denne teknologi. Teknologien har flere anvendelsesformål og kan anvendes til at løse en række offentlige opgaver til søs (grænsekontrol, søfartssikkerhed, eftersøgnings- og redningsaktioner, sporing af forurening, fiskerikontrol og retshåndhævelsesforanstaltninger). En styrkelse af samarbejdet mellem agenturerne vil yderligere styrke synergierne og anvendelsen af de samme aktiver til flere formål. </w:t>
      </w:r>
    </w:p>
    <w:p>
      <w:pPr>
        <w:pBdr>
          <w:top w:val="nil"/>
          <w:left w:val="nil"/>
          <w:bottom w:val="nil"/>
          <w:right w:val="nil"/>
          <w:between w:val="nil"/>
          <w:bar w:val="nil"/>
        </w:pBdr>
        <w:spacing w:before="0" w:after="240"/>
        <w:rPr>
          <w:noProof/>
        </w:rPr>
      </w:pPr>
      <w:r>
        <w:rPr>
          <w:noProof/>
        </w:rPr>
        <w:t xml:space="preserve">Det Europæiske Agentur for Grænse- og Kystbevogtning og grænsekontrolmyndighederne vil i vid udstrækning have gavn af, at EMSA leverer RPAS-tjenester, da EMSA allerede indsamler, behandler, samkører og koordinerer data om menneskelig aktivitet til søs. Information, der indhentes ved hjælp af RPAS, vil blive håndteret som endnu en datakilde og vil blive tilføjet til den information, der løbende overføres til EUROSUR. Der planlægges en tjeneste, som kan op- eller nedskaleres, med en række samtidige RPAS-operationer, fordelt over f.eks. fire interesseområder: den græsk-tyrkiske grænse (Det Ægæiske Hav), det centrale Middelhav (Libyen), det vestlige Middelhav (Gibraltarstrædet) og det østlige Middelhav (området omkring Cypern). Der bør indsættes mobile enheder, som kan flyttes, i takt med at der opstår nye hotspots. </w:t>
      </w:r>
    </w:p>
    <w:p>
      <w:pPr>
        <w:pBdr>
          <w:top w:val="nil"/>
          <w:left w:val="nil"/>
          <w:bottom w:val="nil"/>
          <w:right w:val="nil"/>
          <w:between w:val="nil"/>
          <w:bar w:val="nil"/>
        </w:pBdr>
        <w:spacing w:before="0" w:after="240"/>
        <w:rPr>
          <w:noProof/>
        </w:rPr>
      </w:pPr>
      <w:r>
        <w:rPr>
          <w:noProof/>
        </w:rPr>
        <w:t xml:space="preserve">RPAS-tjenesterne burde være billigere end bemandede patruljefly og bør anvendes som et komplementært værktøj i den samlede overvågningskæde, der består af satellitbilleder, oplysninger om fartøjers position og overvågning med marinepatruljefly og patruljefartøjer. </w:t>
      </w:r>
    </w:p>
    <w:p>
      <w:pPr>
        <w:pBdr>
          <w:top w:val="nil"/>
          <w:left w:val="nil"/>
          <w:bottom w:val="nil"/>
          <w:right w:val="nil"/>
          <w:between w:val="nil"/>
          <w:bar w:val="nil"/>
        </w:pBdr>
        <w:spacing w:before="0" w:after="240"/>
        <w:rPr>
          <w:b/>
          <w:i/>
          <w:noProof/>
        </w:rPr>
      </w:pPr>
      <w:r>
        <w:rPr>
          <w:b/>
          <w:i/>
          <w:noProof/>
        </w:rPr>
        <w:t xml:space="preserve">Resultat: sikring af AIS-data fra satellitter </w:t>
      </w:r>
    </w:p>
    <w:p>
      <w:pPr>
        <w:pBdr>
          <w:top w:val="nil"/>
          <w:left w:val="nil"/>
          <w:bottom w:val="nil"/>
          <w:right w:val="nil"/>
          <w:between w:val="nil"/>
          <w:bar w:val="nil"/>
        </w:pBdr>
        <w:spacing w:before="0" w:after="240"/>
        <w:rPr>
          <w:b/>
          <w:noProof/>
        </w:rPr>
      </w:pPr>
      <w:r>
        <w:rPr>
          <w:noProof/>
        </w:rPr>
        <w:t>Indtil nu har EMSA i samarbejde med Den Europæiske Rumorganisation (ESA) omkostningsfrit leveret satellitbaserede AIS-datatjenester (SAT-AIS) til andre EU-agenturer og EU-medlemsstaterne via sine maritime systemer. Disse data finansieres af ESA indtil den 31. august 2016, hvorefter forsknings- og udviklingsprogrammet udløber. SAT-AIS-data er en uvurderlig informationskilde, som i høj grad forbedrer det maritime situationskendskab. SAT-AIS-data er en hjælp for både medlemsstaterne og EU-agenturer og -organer (f.eks. Det Europæiske Agentur for Grænse- og Kystbevogtning, EFCA og MAOC-N), når disse udfører deres overvågningsopgaver. Uden disse data ville mange fartøjer ikke kunne spores, da der mangler andre datakilder, navnlig i det sydlige Middelhav, eller fordi fartøjerne sejler uden for rækkevidde af de AIS-stationer, der er placeret på kysten, og derfor ikke kan overvåges ved hjælp af landbaserede AIS-systemer (dette gælder for EU-fiskerfartøjer, når de fisker uden for EU).</w:t>
      </w:r>
    </w:p>
    <w:p>
      <w:pPr>
        <w:rPr>
          <w:b/>
          <w:noProof/>
        </w:rPr>
      </w:pPr>
      <w:r>
        <w:rPr>
          <w:noProof/>
        </w:rPr>
        <w:t>Uden SAT-AIS-data vil en stor del af merværdien gå tabt, hvilket i væsentlig grad vil gå ud over det maritime situationskendskab og påvirke overvågningskapaciteten ved de ydre grænser negativt. Det er derfor nødvendigt at indhente SAT-AIS-data.</w:t>
      </w:r>
    </w:p>
    <w:p>
      <w:pPr>
        <w:rPr>
          <w:b/>
          <w:i/>
          <w:noProof/>
        </w:rPr>
      </w:pPr>
      <w:r>
        <w:rPr>
          <w:b/>
          <w:i/>
          <w:noProof/>
        </w:rPr>
        <w:t>Resultat: kommunikationstjenester, særlig SAT-COM til støtte for fælles operationer.</w:t>
      </w:r>
    </w:p>
    <w:p>
      <w:pPr>
        <w:rPr>
          <w:b/>
          <w:noProof/>
        </w:rPr>
      </w:pPr>
      <w:r>
        <w:rPr>
          <w:noProof/>
        </w:rPr>
        <w:t>Der er behov for satellitkommunikation til at koordinere og levere maritime overvågningsdata indsamlet med RPAS og andre sensorer. Der anvendes satellitkommunikation til navigation af RPAS-fartøjer og til overførsel af de data, som indsamles ved hjælp af RPAS. Dette er en betydelig omkostningsfaktor. Agenturet vil skulle investere i grænseflader til at modtage data fra kommunikationssatellitter, særlig fra det europæiske datarelæsatellitsystem (EDRS). Input fra flere datastrømme i forskellige dataformater samtidig vil nødvendigvis kræve softwareudvikling. De angivne omkostninger omfatter ikke omkostninger til satellittransmission.</w:t>
      </w:r>
    </w:p>
    <w:p>
      <w:pPr>
        <w:rPr>
          <w:b/>
          <w:noProof/>
        </w:rPr>
      </w:pPr>
      <w:r>
        <w:rPr>
          <w:noProof/>
        </w:rPr>
        <w:t>EMSA vil desuden bidrage til:</w:t>
      </w:r>
    </w:p>
    <w:p>
      <w:pPr>
        <w:rPr>
          <w:b/>
          <w:noProof/>
        </w:rPr>
      </w:pPr>
      <w:r>
        <w:rPr>
          <w:noProof/>
        </w:rPr>
        <w:t>c.</w:t>
      </w:r>
      <w:r>
        <w:rPr>
          <w:noProof/>
        </w:rPr>
        <w:tab/>
        <w:t>Kapacitetsopbygning på nationalt plan og på EU-plan gennem udarbejdelse af retningslinjer, henstillinger og bedste praksis såvel som ved støtte til uddannelse og udveksling af personale med henblik på at fremme udvekslingen af oplysninger og samarbejdet om kystvagtfunktioner</w:t>
      </w:r>
    </w:p>
    <w:p>
      <w:pPr>
        <w:rPr>
          <w:b/>
          <w:i/>
          <w:noProof/>
        </w:rPr>
      </w:pPr>
      <w:r>
        <w:rPr>
          <w:b/>
          <w:i/>
          <w:noProof/>
        </w:rPr>
        <w:t>Resultat: Uddannelse, fjernundervisning og udveksling af bedste praksis samt projektbaseret udvikling af fælles eller interoperable operationsstandarder</w:t>
      </w:r>
    </w:p>
    <w:p>
      <w:pPr>
        <w:rPr>
          <w:b/>
          <w:noProof/>
        </w:rPr>
      </w:pPr>
      <w:r>
        <w:rPr>
          <w:noProof/>
        </w:rPr>
        <w:t xml:space="preserve">Styrkelse af de kystvagtfunktioner, som de nationale myndigheder udfører, omfatter også uddannelse og efteruddannelse. Agenturet råder allerede over et omfangsrigt uddannelsesprogram, der også omfatter e-læringsmoduler for eksperter fra medlemsstaterne, tiltrædelseslandene og de lande, der er omfattet af den europæiske naboskabspolitik. Dette grundlag vil blive benyttet til at udvikle nye moduler og kurser til at styrke færdigheder og kompetencer på nationalt plan. </w:t>
      </w:r>
    </w:p>
    <w:p>
      <w:pPr>
        <w:rPr>
          <w:noProof/>
        </w:rPr>
      </w:pPr>
      <w:r>
        <w:rPr>
          <w:noProof/>
        </w:rPr>
        <w:t xml:space="preserve">Nyligt udviklede uddannelseskurser, workshopper til udveksling af bedste praksis og e-læringsmoduler såvel som nye temaspecifikke projekter vil bidrage til at øge kystvagternes kapacitet og skabe fælles standarder og tilgange på EU-plan, hvilket vil gøre multinationalt samarbejde og fælles operationer lettere. </w:t>
      </w:r>
    </w:p>
    <w:p>
      <w:pPr>
        <w:rPr>
          <w:b/>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2015/0313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(EF) nr. 1406/2002 om oprettelse af et europæisk agentur for søfartssikkerhed</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100,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p>
    <w:p>
      <w:pPr>
        <w:rPr>
          <w:noProof/>
        </w:rPr>
      </w:pPr>
      <w:r>
        <w:rPr>
          <w:noProof/>
        </w:rPr>
        <w:t>efter høring af Regionsudvalget,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 xml:space="preserve">De nationale myndigheder, der udfører kystvagtfunktioner, er ansvarlige for en lang række opgaver, som omfatter, men ikke er begrænset til, maritim sikkerhed og sikring, eftersøgnings- og redningsaktioner, grænsekontrol, fiskerikontrol, toldkontrol, generel retshåndhævelse og miljøbeskyttelse. Det Europæiske Agentur for Grænse- og Kystbevogtning, EU-Fiskerikontrolagenturet og Det Europæiske Agentur for Søfartssikkerhed bør derfor styrke samarbejdet, både indbyrdes og med de nationale myndigheder, der udfører kystvagtfunktioner, med henblik på at forbedre det maritime situationskendskab såvel som på at støtte sammenhængende og omkostningseffektive foranstaltninger — </w:t>
      </w:r>
    </w:p>
    <w:p>
      <w:pPr>
        <w:rPr>
          <w:noProof/>
        </w:rPr>
      </w:pPr>
    </w:p>
    <w:p>
      <w:pPr>
        <w:pStyle w:val="Formuledadoption"/>
        <w:rPr>
          <w:noProof/>
        </w:rPr>
      </w:pPr>
      <w:r>
        <w:rPr>
          <w:noProof/>
        </w:rPr>
        <w:t>VEDTAGET DENNE FORORDNING:</w:t>
      </w:r>
    </w:p>
    <w:p>
      <w:pPr>
        <w:pStyle w:val="Titrearticle"/>
        <w:rPr>
          <w:noProof/>
        </w:rPr>
      </w:pPr>
      <w:r>
        <w:rPr>
          <w:noProof/>
        </w:rPr>
        <w:t>Artikel 1</w:t>
      </w:r>
    </w:p>
    <w:p>
      <w:pPr>
        <w:jc w:val="center"/>
        <w:rPr>
          <w:b/>
          <w:noProof/>
        </w:rPr>
      </w:pPr>
      <w:r>
        <w:rPr>
          <w:b/>
          <w:noProof/>
        </w:rPr>
        <w:t>Ændringer</w:t>
      </w:r>
    </w:p>
    <w:p>
      <w:pPr>
        <w:rPr>
          <w:noProof/>
        </w:rPr>
      </w:pPr>
      <w:r>
        <w:rPr>
          <w:noProof/>
        </w:rPr>
        <w:t>I forordning (EF) nr. 1406/2002 foretages følgende ændringer:</w:t>
      </w:r>
    </w:p>
    <w:p>
      <w:pPr>
        <w:rPr>
          <w:noProof/>
        </w:rPr>
      </w:pPr>
      <w:r>
        <w:rPr>
          <w:noProof/>
        </w:rPr>
        <w:t>1) I artikel 2 indsættes følgende stykke:</w:t>
      </w:r>
    </w:p>
    <w:p>
      <w:pPr>
        <w:rPr>
          <w:noProof/>
        </w:rPr>
      </w:pPr>
      <w:r>
        <w:rPr>
          <w:noProof/>
        </w:rPr>
        <w:t xml:space="preserve">"4a. Agenturet samarbejder med Det Europæiske Agentur for Grænse- og Kystbevogtning og EU-Fiskerikontrolagenturet om at støtte de nationale myndigheder, der udfører kystvagtfunktioner, ved at levere tjenester, oplysninger, udstyr og uddannelse, og ved at koordinere operationer, der tjener flere forskellige formål." </w:t>
      </w:r>
    </w:p>
    <w:p>
      <w:pPr>
        <w:rPr>
          <w:noProof/>
        </w:rPr>
      </w:pPr>
      <w:r>
        <w:rPr>
          <w:noProof/>
        </w:rPr>
        <w:t xml:space="preserve"> 2) Følgende artikel 2b indsættes:</w:t>
      </w:r>
    </w:p>
    <w:p>
      <w:pPr>
        <w:jc w:val="center"/>
        <w:rPr>
          <w:b/>
          <w:noProof/>
        </w:rPr>
      </w:pPr>
      <w:r>
        <w:rPr>
          <w:b/>
          <w:noProof/>
        </w:rPr>
        <w:t>"Artikel 2b</w:t>
      </w:r>
    </w:p>
    <w:p>
      <w:pPr>
        <w:jc w:val="center"/>
        <w:rPr>
          <w:b/>
          <w:noProof/>
        </w:rPr>
      </w:pPr>
      <w:r>
        <w:rPr>
          <w:b/>
          <w:noProof/>
        </w:rPr>
        <w:t>Europæisk samarbejde om kystvagtfunktioner</w:t>
      </w:r>
    </w:p>
    <w:p>
      <w:pPr>
        <w:rPr>
          <w:noProof/>
        </w:rPr>
      </w:pPr>
      <w:r>
        <w:rPr>
          <w:noProof/>
        </w:rPr>
        <w:t>1. Agenturet støtter i samarbejde med Det Europæiske Agentur for Grænse- og Kystbevogtning og EU-Fiskerikontrolagenturet de nationale myndigheder, der udfører kystvagtfunktioner på nationalt plan og EU-plan og, hvor det er relevant, på internationalt plan, ved at:</w:t>
      </w:r>
    </w:p>
    <w:p>
      <w:pPr>
        <w:rPr>
          <w:noProof/>
        </w:rPr>
      </w:pPr>
      <w:r>
        <w:rPr>
          <w:noProof/>
        </w:rPr>
        <w:t>a)</w:t>
      </w:r>
      <w:r>
        <w:rPr>
          <w:noProof/>
        </w:rPr>
        <w:tab/>
        <w:t xml:space="preserve">videreformidle oplysninger, der genereres ved samkøring og analyse af data i skibsmeldesystemer og andre informationssystemer, som agenturerne er vært for eller har adgang til, i overensstemmelse med disses respektive retsgrundlag og uden at det berører medlemsstaternes ejerskab til dataene. </w:t>
      </w:r>
    </w:p>
    <w:p>
      <w:pPr>
        <w:rPr>
          <w:noProof/>
        </w:rPr>
      </w:pPr>
      <w:r>
        <w:rPr>
          <w:noProof/>
        </w:rPr>
        <w:t>b)</w:t>
      </w:r>
      <w:r>
        <w:rPr>
          <w:noProof/>
        </w:rPr>
        <w:tab/>
        <w:t>yde overvågnings- og kommunikationstjenester baseret på den nyeste teknologi, herunder rumbaseret og jordbaseret infrastruktur og sensorer monteret på enhver form for platform, som f.eks. fjernstyrede luftfartøjssystemer</w:t>
      </w:r>
    </w:p>
    <w:p>
      <w:pPr>
        <w:rPr>
          <w:noProof/>
        </w:rPr>
      </w:pPr>
      <w:r>
        <w:rPr>
          <w:noProof/>
        </w:rPr>
        <w:t>c)</w:t>
      </w:r>
      <w:r>
        <w:rPr>
          <w:noProof/>
        </w:rPr>
        <w:tab/>
        <w:t>opbygge kapacitet gennem udarbejdelse af retningslinjer, henstillinger og bedste praksis såvel som gennem støtte til uddannelse og udveksling af personale med henblik på at fremme udvekslingen af oplysninger og samarbejdet om kystvagtfunktioner</w:t>
      </w:r>
    </w:p>
    <w:p>
      <w:pPr>
        <w:rPr>
          <w:noProof/>
        </w:rPr>
      </w:pPr>
      <w:r>
        <w:rPr>
          <w:noProof/>
        </w:rPr>
        <w:t>d)</w:t>
      </w:r>
      <w:r>
        <w:rPr>
          <w:noProof/>
        </w:rPr>
        <w:tab/>
        <w:t>tilbyde kapacitet, herunder til planlægning og gennemførelse af operationer, der tjener flere forskellige formål, samt stille aktiver og andre ydelser til rådighed på tværs af sektorer og grænser</w:t>
      </w:r>
    </w:p>
    <w:p>
      <w:pPr>
        <w:rPr>
          <w:noProof/>
        </w:rPr>
      </w:pPr>
      <w:r>
        <w:rPr>
          <w:noProof/>
        </w:rPr>
        <w:t xml:space="preserve">2. De nærmere bestemmelser vedrørende agenturets samarbejde med Det Europæiske Agentur for Grænse- og Kystbevogtning og EU-Fiskerikontrolagenturet fastsættes i en samarbejdsordning i overensstemmelse med de finansielle bestemmelser, der gælder for agenturerne. </w:t>
      </w:r>
    </w:p>
    <w:p>
      <w:pPr>
        <w:rPr>
          <w:noProof/>
          <w:szCs w:val="24"/>
        </w:rPr>
      </w:pPr>
      <w:r>
        <w:rPr>
          <w:noProof/>
        </w:rPr>
        <w:t>3. Kommissionen kan i form af en henstilling vedtage en praktisk håndbog om europæisk samarbejde om kystvagtfunktioner, med retningslinjer, henstillinger og bedste praksis for udveksling af oplysninger og samarbejde på nationalt plan, EU-plan og internationalt plan."</w:t>
      </w:r>
    </w:p>
    <w:p>
      <w:pPr>
        <w:rPr>
          <w:noProof/>
        </w:rPr>
      </w:pPr>
    </w:p>
    <w:p>
      <w:pPr>
        <w:pStyle w:val="Titrearticle"/>
        <w:rPr>
          <w:noProof/>
        </w:rPr>
      </w:pPr>
      <w:r>
        <w:rPr>
          <w:noProof/>
        </w:rPr>
        <w:t>Artikel 2</w:t>
      </w:r>
    </w:p>
    <w:p>
      <w:pPr>
        <w:jc w:val="center"/>
        <w:rPr>
          <w:b/>
          <w:noProof/>
        </w:rPr>
      </w:pPr>
      <w:r>
        <w:rPr>
          <w:b/>
          <w:noProof/>
        </w:rPr>
        <w:t>Ikrafttræden</w:t>
      </w:r>
    </w:p>
    <w:p>
      <w:pPr>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rPr>
          <w:noProof/>
        </w:rPr>
        <w:t>Udfærdiget i Strasbourg, den .</w:t>
      </w:r>
    </w:p>
    <w:p>
      <w:pPr>
        <w:pStyle w:val="Institutionquisigne"/>
        <w:rPr>
          <w:noProof/>
        </w:rPr>
      </w:pPr>
      <w:r>
        <w:rPr>
          <w:noProof/>
        </w:rPr>
        <w:t>På Europa-Parlamentets vegne</w:t>
      </w:r>
      <w:r>
        <w:rPr>
          <w:noProof/>
        </w:rPr>
        <w:tab/>
        <w:t>På Rådets vegne</w:t>
      </w:r>
    </w:p>
    <w:p>
      <w:pPr>
        <w:pStyle w:val="Personnequisigne"/>
        <w:keepNext/>
        <w:rPr>
          <w:noProof/>
        </w:rPr>
      </w:pP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Ændring af forordning (EF) nr. 1406/2002 om oprettelse af et europæisk agentur for søfartssikkerhed (som ændret ved forordning 1644/2003, 724/2004, 2038/2006, 100/2013)</w:t>
      </w:r>
    </w:p>
    <w:p>
      <w:pPr>
        <w:pStyle w:val="ManualHeading2"/>
        <w:rPr>
          <w:noProof/>
          <w:szCs w:val="24"/>
        </w:rPr>
      </w:pPr>
      <w:r>
        <w:rPr>
          <w:noProof/>
        </w:rPr>
        <w:t>1.2.</w:t>
      </w:r>
      <w:r>
        <w:rPr>
          <w:noProof/>
        </w:rPr>
        <w:tab/>
        <w:t>Berørt(e) politikområde(r) inden for ABM/ABB-strukturen</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Politikområde: Den europæiske transportpolitik </w:t>
      </w:r>
    </w:p>
    <w:p>
      <w:pPr>
        <w:pStyle w:val="Text1"/>
        <w:pBdr>
          <w:top w:val="single" w:sz="4" w:space="1" w:color="auto"/>
          <w:left w:val="single" w:sz="4" w:space="4" w:color="auto"/>
          <w:bottom w:val="single" w:sz="4" w:space="1" w:color="auto"/>
          <w:right w:val="single" w:sz="4" w:space="4" w:color="auto"/>
        </w:pBdr>
        <w:rPr>
          <w:noProof/>
        </w:rPr>
      </w:pPr>
      <w:r>
        <w:rPr>
          <w:noProof/>
        </w:rPr>
        <w:t>06: Mobilitet og transport</w:t>
      </w:r>
    </w:p>
    <w:p>
      <w:pPr>
        <w:pStyle w:val="Text1"/>
        <w:pBdr>
          <w:top w:val="single" w:sz="4" w:space="1" w:color="auto"/>
          <w:left w:val="single" w:sz="4" w:space="4" w:color="auto"/>
          <w:bottom w:val="single" w:sz="4" w:space="1" w:color="auto"/>
          <w:right w:val="single" w:sz="4" w:space="4" w:color="auto"/>
        </w:pBdr>
        <w:rPr>
          <w:noProof/>
        </w:rPr>
      </w:pPr>
      <w:r>
        <w:rPr>
          <w:noProof/>
        </w:rPr>
        <w:t>06 02: Politikken for land-, luft- og søtransport</w:t>
      </w:r>
    </w:p>
    <w:p>
      <w:pPr>
        <w:pStyle w:val="Text1"/>
        <w:pBdr>
          <w:top w:val="single" w:sz="4" w:space="1" w:color="auto"/>
          <w:left w:val="single" w:sz="4" w:space="4" w:color="auto"/>
          <w:bottom w:val="single" w:sz="4" w:space="1" w:color="auto"/>
          <w:right w:val="single" w:sz="4" w:space="4" w:color="auto"/>
        </w:pBdr>
        <w:rPr>
          <w:noProof/>
        </w:rPr>
      </w:pPr>
      <w:r>
        <w:rPr>
          <w:noProof/>
        </w:rPr>
        <w:t>06 02 03: Det Europæiske Søfartssikkerhedsagentur</w:t>
      </w:r>
    </w:p>
    <w:p>
      <w:pPr>
        <w:pStyle w:val="Text1"/>
        <w:pBdr>
          <w:top w:val="single" w:sz="4" w:space="1" w:color="auto"/>
          <w:left w:val="single" w:sz="4" w:space="4" w:color="auto"/>
          <w:bottom w:val="single" w:sz="4" w:space="1" w:color="auto"/>
          <w:right w:val="single" w:sz="4" w:space="4" w:color="auto"/>
        </w:pBdr>
        <w:rPr>
          <w:noProof/>
        </w:rPr>
      </w:pPr>
      <w:r>
        <w:rPr>
          <w:noProof/>
        </w:rPr>
        <w:t xml:space="preserve">06 02 03 01: Det Europæiske Søfartssikkerhedsagentur - bidrag til afsnit 1, 2 og 3 med undtagelse af forureningsbekæmpelsesforanstaltninger </w:t>
      </w:r>
    </w:p>
    <w:p>
      <w:pPr>
        <w:pStyle w:val="ManualHeading2"/>
        <w:rPr>
          <w:bCs/>
          <w:noProof/>
          <w:szCs w:val="24"/>
        </w:rPr>
      </w:pPr>
      <w:r>
        <w:rPr>
          <w:noProof/>
        </w:rPr>
        <w:t>1.3.</w:t>
      </w:r>
      <w:r>
        <w:rPr>
          <w:noProof/>
        </w:rPr>
        <w:tab/>
        <w:t xml:space="preserve">Forslagets/initiativets art </w:t>
      </w:r>
    </w:p>
    <w:p>
      <w:pPr>
        <w:pStyle w:val="Text1"/>
        <w:rPr>
          <w:b/>
          <w:noProof/>
          <w:sz w:val="22"/>
        </w:rPr>
      </w:pPr>
      <w:r>
        <w:rPr>
          <w:noProof/>
        </w:rPr>
        <w:sym w:font="Wingdings" w:char="F0FD"/>
      </w:r>
      <w:r>
        <w:rPr>
          <w:noProof/>
          <w:sz w:val="22"/>
        </w:rPr>
        <w:t xml:space="preserve"> </w:t>
      </w:r>
      <w:r>
        <w:rPr>
          <w:noProof/>
        </w:rPr>
        <w:t xml:space="preserve">Forslaget/initiativet drejer sig om </w:t>
      </w:r>
      <w:r>
        <w:rPr>
          <w:b/>
          <w:noProof/>
        </w:rPr>
        <w:t>en ny foranstaltning</w:t>
      </w:r>
      <w:r>
        <w:rPr>
          <w:b/>
          <w:noProof/>
          <w:sz w:val="22"/>
        </w:rPr>
        <w:t xml:space="preserve"> </w:t>
      </w:r>
    </w:p>
    <w:p>
      <w:pPr>
        <w:pStyle w:val="Text1"/>
        <w:rPr>
          <w:noProof/>
          <w:sz w:val="22"/>
        </w:rPr>
      </w:pPr>
      <w:r>
        <w:rPr>
          <w:noProof/>
          <w:sz w:val="22"/>
        </w:rPr>
        <w:sym w:font="Wingdings" w:char="F0A8"/>
      </w:r>
      <w:r>
        <w:rPr>
          <w:noProof/>
        </w:rPr>
        <w:t xml:space="preserve"> Forslaget/initiativet drejer sig om </w:t>
      </w:r>
      <w:r>
        <w:rPr>
          <w:b/>
          <w:noProof/>
        </w:rPr>
        <w:t>en ny foranstaltning som opfølgning på et pilotprojekt/en forberedende foranstaltning</w:t>
      </w:r>
      <w:r>
        <w:rPr>
          <w:rStyle w:val="FootnoteReference"/>
          <w:b/>
          <w:noProof/>
        </w:rPr>
        <w:footnoteReference w:id="4"/>
      </w:r>
      <w:r>
        <w:rPr>
          <w:noProof/>
          <w:sz w:val="22"/>
        </w:rPr>
        <w:t xml:space="preserve"> </w:t>
      </w:r>
    </w:p>
    <w:p>
      <w:pPr>
        <w:pStyle w:val="Text1"/>
        <w:rPr>
          <w:noProof/>
          <w:sz w:val="22"/>
        </w:rPr>
      </w:pPr>
      <w:r>
        <w:rPr>
          <w:noProof/>
          <w:sz w:val="22"/>
        </w:rPr>
        <w:sym w:font="Wingdings" w:char="F0A8"/>
      </w:r>
      <w:r>
        <w:rPr>
          <w:noProof/>
        </w:rPr>
        <w:t xml:space="preserve">Forslaget/initiativet drejer sig om </w:t>
      </w:r>
      <w:r>
        <w:rPr>
          <w:b/>
          <w:noProof/>
        </w:rPr>
        <w:t>en forlængelse af en eksisterende foranstaltning</w:t>
      </w:r>
      <w:r>
        <w:rPr>
          <w:noProof/>
          <w:sz w:val="22"/>
        </w:rPr>
        <w:t xml:space="preserve"> </w:t>
      </w:r>
    </w:p>
    <w:p>
      <w:pPr>
        <w:pStyle w:val="Text1"/>
        <w:rPr>
          <w:noProof/>
        </w:rPr>
      </w:pPr>
      <w:r>
        <w:rPr>
          <w:noProof/>
          <w:sz w:val="22"/>
        </w:rPr>
        <w:sym w:font="Wingdings" w:char="F0A8"/>
      </w:r>
      <w:r>
        <w:rPr>
          <w:noProof/>
        </w:rPr>
        <w:t xml:space="preserve"> Forslaget/initiativet drejer sig om </w:t>
      </w:r>
      <w:r>
        <w:rPr>
          <w:b/>
          <w:noProof/>
        </w:rPr>
        <w:t>en omlægning af en foranstaltning til en ny foranstaltning</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Dagsordenen for migration</w:t>
      </w:r>
    </w:p>
    <w:p>
      <w:pPr>
        <w:pStyle w:val="Text1"/>
        <w:pBdr>
          <w:top w:val="single" w:sz="4" w:space="1" w:color="auto"/>
          <w:left w:val="single" w:sz="4" w:space="4" w:color="auto"/>
          <w:bottom w:val="single" w:sz="4" w:space="1" w:color="auto"/>
          <w:right w:val="single" w:sz="4" w:space="4" w:color="auto"/>
        </w:pBdr>
        <w:rPr>
          <w:noProof/>
        </w:rPr>
      </w:pPr>
      <w:r>
        <w:rPr>
          <w:noProof/>
        </w:rPr>
        <w:t>Den europæiske transportpolitik</w:t>
      </w:r>
    </w:p>
    <w:p>
      <w:pPr>
        <w:pStyle w:val="ManualHeading3"/>
        <w:rPr>
          <w:bCs/>
          <w:noProof/>
          <w:szCs w:val="24"/>
        </w:rPr>
      </w:pPr>
      <w:r>
        <w:rPr>
          <w:noProof/>
        </w:rPr>
        <w:t>1.4.2.</w:t>
      </w:r>
      <w:r>
        <w:rPr>
          <w:noProof/>
        </w:rPr>
        <w:tab/>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w:t>
      </w:r>
    </w:p>
    <w:p>
      <w:pPr>
        <w:pStyle w:val="Text1"/>
        <w:pBdr>
          <w:top w:val="single" w:sz="4" w:space="1" w:color="auto"/>
          <w:left w:val="single" w:sz="4" w:space="4" w:color="auto"/>
          <w:bottom w:val="single" w:sz="4" w:space="1" w:color="auto"/>
          <w:right w:val="single" w:sz="4" w:space="4" w:color="auto"/>
        </w:pBdr>
        <w:rPr>
          <w:noProof/>
        </w:rPr>
      </w:pPr>
      <w:r>
        <w:rPr>
          <w:noProof/>
        </w:rPr>
        <w:t>Fremme af sikker transport gennem udvekling af fælles europæiske sikkerhedsstander og sikring af en høj gennemførelsesgrad</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pPr>
        <w:pStyle w:val="Text1"/>
        <w:pBdr>
          <w:top w:val="single" w:sz="4" w:space="1" w:color="auto"/>
          <w:left w:val="single" w:sz="4" w:space="4" w:color="auto"/>
          <w:bottom w:val="single" w:sz="4" w:space="1" w:color="auto"/>
          <w:right w:val="single" w:sz="4" w:space="4" w:color="auto"/>
        </w:pBdr>
        <w:rPr>
          <w:noProof/>
        </w:rPr>
      </w:pPr>
      <w:r>
        <w:rPr>
          <w:noProof/>
        </w:rPr>
        <w:t>0602 Politikken for land-, luft- og søtransport</w:t>
      </w:r>
    </w:p>
    <w:p>
      <w:pPr>
        <w:pStyle w:val="ManualHeading3"/>
        <w:rPr>
          <w:bCs/>
          <w:noProof/>
          <w:szCs w:val="24"/>
        </w:rPr>
      </w:pPr>
      <w:r>
        <w:rPr>
          <w:noProof/>
        </w:rPr>
        <w:br w:type="page"/>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Resultatet af det europæiske samarbejde om kystvagtfunktioner bør være en væsentlig forbedring af overvågningskapaciteten med henblik på at styrke kontrollen af EU's ydre (sø)grænser.</w:t>
      </w:r>
    </w:p>
    <w:p>
      <w:pPr>
        <w:pStyle w:val="Text1"/>
        <w:pBdr>
          <w:top w:val="single" w:sz="4" w:space="1" w:color="auto"/>
          <w:left w:val="single" w:sz="4" w:space="4" w:color="auto"/>
          <w:bottom w:val="single" w:sz="4" w:space="1" w:color="auto"/>
          <w:right w:val="single" w:sz="4" w:space="4" w:color="auto"/>
        </w:pBdr>
        <w:rPr>
          <w:i/>
          <w:noProof/>
        </w:rPr>
      </w:pPr>
      <w:r>
        <w:rPr>
          <w:i/>
          <w:noProof/>
        </w:rPr>
        <w:t>a. Udveksling af oplysninger, der genereres ved samkøring og analyse af data i skibsmeldesystemer og andre informationssystemer, som agenturerne er vært for eller har adgang til, i overensstemmelse med disses respektive retsgrundlag og uden at det berører medlemsstaternes ejerskab til dataene.</w:t>
      </w:r>
    </w:p>
    <w:p>
      <w:pPr>
        <w:pStyle w:val="Text1"/>
        <w:pBdr>
          <w:top w:val="single" w:sz="4" w:space="1" w:color="auto"/>
          <w:left w:val="single" w:sz="4" w:space="4" w:color="auto"/>
          <w:bottom w:val="single" w:sz="4" w:space="1" w:color="auto"/>
          <w:right w:val="single" w:sz="4" w:space="4" w:color="auto"/>
        </w:pBdr>
        <w:rPr>
          <w:b/>
          <w:i/>
          <w:noProof/>
        </w:rPr>
      </w:pPr>
      <w:r>
        <w:rPr>
          <w:b/>
          <w:i/>
          <w:noProof/>
        </w:rPr>
        <w:t>Resultat: forbedret formidling af maritime overvågningsdata i realtid og næsten realtid mellem de tre agenturer og relevante myndigheder</w:t>
      </w:r>
    </w:p>
    <w:p>
      <w:pPr>
        <w:pStyle w:val="Text1"/>
        <w:pBdr>
          <w:top w:val="single" w:sz="4" w:space="1" w:color="auto"/>
          <w:left w:val="single" w:sz="4" w:space="4" w:color="auto"/>
          <w:bottom w:val="single" w:sz="4" w:space="1" w:color="auto"/>
          <w:right w:val="single" w:sz="4" w:space="4" w:color="auto"/>
        </w:pBdr>
        <w:rPr>
          <w:noProof/>
        </w:rPr>
      </w:pPr>
      <w:r>
        <w:rPr>
          <w:noProof/>
        </w:rPr>
        <w:t>På grundlag af de gældende serviceleveranceaftaler, som EMSA har med henholdsvis Det Europæiske Agentur for Grænse- og Kystbevogtning og EFCA, overføres information løbende til de andre agenturers systemer. I forbindelse med, at overvågningskapaciteten forbedres, bør data fra nye sensorer, særlig fjernstyrede luftfartøjssystemer (herunder videodata og infrarøde data), indarbejdes i billedet af den maritime situation. Dette vil kræve nye funktioner i det nuværende system for at forbedre leveringen af information og udvekslingen af den med de andre agenturer og relevante myndigheder. Der er behov for udvikling af software og opgraderinger af grænseflader for at opdatere systemerne, så de kan håndtere oplysningerne fra nye sensorer.</w:t>
      </w:r>
    </w:p>
    <w:p>
      <w:pPr>
        <w:pStyle w:val="Text1"/>
        <w:pBdr>
          <w:top w:val="single" w:sz="4" w:space="1" w:color="auto"/>
          <w:left w:val="single" w:sz="4" w:space="4" w:color="auto"/>
          <w:bottom w:val="single" w:sz="4" w:space="1" w:color="auto"/>
          <w:right w:val="single" w:sz="4" w:space="4" w:color="auto"/>
        </w:pBdr>
        <w:rPr>
          <w:i/>
          <w:noProof/>
        </w:rPr>
      </w:pPr>
      <w:r>
        <w:rPr>
          <w:i/>
          <w:noProof/>
        </w:rPr>
        <w:t>b.</w:t>
      </w:r>
      <w:r>
        <w:rPr>
          <w:noProof/>
        </w:rPr>
        <w:tab/>
      </w:r>
      <w:r>
        <w:rPr>
          <w:i/>
          <w:noProof/>
        </w:rPr>
        <w:t>Levering af overvågnings- og kommunikationstjenester på grundlag af den nyeste teknologi, herunder rumbaseret og jordbaseret infrastruktur og sensorer monteret på enhver form for platform, som f.eks. fjernstyrede luftfartøjssystemer</w:t>
      </w:r>
    </w:p>
    <w:p>
      <w:pPr>
        <w:pStyle w:val="Text1"/>
        <w:pBdr>
          <w:top w:val="single" w:sz="4" w:space="1" w:color="auto"/>
          <w:left w:val="single" w:sz="4" w:space="4" w:color="auto"/>
          <w:bottom w:val="single" w:sz="4" w:space="1" w:color="auto"/>
          <w:right w:val="single" w:sz="4" w:space="4" w:color="auto"/>
        </w:pBdr>
        <w:rPr>
          <w:b/>
          <w:i/>
          <w:noProof/>
        </w:rPr>
      </w:pPr>
      <w:r>
        <w:rPr>
          <w:b/>
          <w:i/>
          <w:noProof/>
        </w:rPr>
        <w:t>Resultat: fleksible RPAS-tjenester (fjernstyrede luftfartøjssystemer) til brug ved grænseovervågning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 de nuværende land- og satellitbaserede teknologier er det stadig vanskeligt at opspore de små både fremstillet af gummi eller træ, der anvendes til at sejle migranter over Middelhavet. Disse typer både giver generelt ikke tilstrækkelig refleksion til at kunne ses på radarsatellitbilleder. Med optisk billeddannelse er det kun muligt at dække meget små områder målrettet, og det kun ved dagslys og i skyfrit vejr. Satellitinformation er generelt kun tilgængelig på visse tidspunkter, afhængigt af hvor satellitterne befinder sig. Med yderligere tjenester baseret på fjernstyrede luftfartøjssystemer (RPAS eller droner) kan disse begrænsninger overvindes.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Agenturet vil som institutionel tjenesteudbyder organisere og levere RPAS-tjenester til støtte for Det Europæiske Agentur for Grænse- og Kystbevogtning og grænsekontrolmyndighederne. Desuden vil EMSA som søfartssikkerhedsagentur bidrage til at vinde større accept af anvendelsen af denne teknologi. Teknologien har flere anvendelsesformål og kan anvendes til at løse en række offentlige opgaver til søs (grænsekontrol, søfartssikkerhed, eftersøgnings- og redningsaktioner, sporing af forurening, fiskerikontrol og retshåndhævelsesforanstaltninger). En styrkelse af samarbejdet mellem agenturerne vil yderligere styrke synergierne og anvendelsen af de samme aktiver til flere formål.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 Europæiske Agentur for Grænse- og Kystbevogtning og grænsekontrolmyndighederne vil i vid udstrækning have gavn af, at EMSA leverer RPAS-tjenester, da EMSA allerede indsamler, behandler, samkører og koordinerer data om menneskelig aktivitet til søs. Information, der indhentes ved hjælp af RPAS, vil blive håndteret som endnu en datakilde og vil blive tilføjet til den information, der løbende overføres til EUROSUR. Der planlægges en tjeneste, som kan op- eller nedskaleres, med en række samtidige RPAS-operationer, fordelt over f.eks. fire interesseområder: Den græsk-tyrkiske grænse (Det Ægæiske Hav), det centrale Middelhav (Libyen), det vestlige Middelhav (Gibraltarstrædet) og det østlige Middelhav (området omkring Cypern). Der bør indsættes mobile enheder, som kan flyttes, i takt med at der opstår nye hotspots. </w:t>
      </w:r>
    </w:p>
    <w:p>
      <w:pPr>
        <w:pStyle w:val="Text1"/>
        <w:pBdr>
          <w:top w:val="single" w:sz="4" w:space="1" w:color="auto"/>
          <w:left w:val="single" w:sz="4" w:space="4" w:color="auto"/>
          <w:bottom w:val="single" w:sz="4" w:space="1" w:color="auto"/>
          <w:right w:val="single" w:sz="4" w:space="4" w:color="auto"/>
        </w:pBdr>
        <w:rPr>
          <w:noProof/>
        </w:rPr>
      </w:pPr>
      <w:r>
        <w:rPr>
          <w:noProof/>
        </w:rPr>
        <w:t>RPAS-tjenesterne burde være billigere end bemandede patruljefly og bør anvendes som et komplementært værktøj i den samlede overvågningskæde, der består af satellitbilleder, oplysninger om fartøjers position og overvågning med marinepatruljefly og patruljefartøjer.</w:t>
      </w:r>
    </w:p>
    <w:p>
      <w:pPr>
        <w:pStyle w:val="Text1"/>
        <w:pBdr>
          <w:top w:val="single" w:sz="4" w:space="1" w:color="auto"/>
          <w:left w:val="single" w:sz="4" w:space="4" w:color="auto"/>
          <w:bottom w:val="single" w:sz="4" w:space="1" w:color="auto"/>
          <w:right w:val="single" w:sz="4" w:space="4" w:color="auto"/>
        </w:pBdr>
        <w:rPr>
          <w:b/>
          <w:i/>
          <w:noProof/>
        </w:rPr>
      </w:pPr>
      <w:r>
        <w:rPr>
          <w:b/>
          <w:i/>
          <w:noProof/>
        </w:rPr>
        <w:t>Resultat: sikring af AIS-data satellitter</w:t>
      </w:r>
    </w:p>
    <w:p>
      <w:pPr>
        <w:pStyle w:val="Text1"/>
        <w:pBdr>
          <w:top w:val="single" w:sz="4" w:space="1" w:color="auto"/>
          <w:left w:val="single" w:sz="4" w:space="4" w:color="auto"/>
          <w:bottom w:val="single" w:sz="4" w:space="1" w:color="auto"/>
          <w:right w:val="single" w:sz="4" w:space="4" w:color="auto"/>
        </w:pBdr>
        <w:rPr>
          <w:noProof/>
        </w:rPr>
      </w:pPr>
      <w:r>
        <w:rPr>
          <w:noProof/>
        </w:rPr>
        <w:t>Indtil nu har EMSA i samarbejde med Den Europæiske Rumorganisation (ESA) omkostningsfrit leveret satellitbaserede AIS-datatjenester (SAT-AIS) til andre EU-agenturer og EU-medlemsstaterne via sine maritime systemer. Disse data finansieres af ESA indtil den 31. august 2016, hvorefter forsknings- og udviklingsprogrammet udløber. SAT-AIS-data er en uvurderlig informationskilde, som i høj grad forbedrer det maritime situationskendskab. SAT-AIS-data er en hjælp for både medlemsstaterne og EU-agenturer og -organer (f.eks. Det Europæiske Agentur for Grænse- og Kystbevogtning, EFCA og MAOC-N), når disse udfører deres overvågningsopgaver. Uden disse data ville mange fartøjer ikke kunne spores, da der mangler andre datakilder, navnlig i det sydlige Middelhav, eller fordi fartøjerne sejler uden for rækkeviden af de AIS-stationer, der er placeret på kysten, og derfor ikke kan overvåges ved hjælp af landbaserede AIS-systemer (dette gælder for EU-fiskerfartøjer, når de fisker uden for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Uden SAT-AIS-data vil en stor del af merværdien gå tabt, hvilket i væsentlig grad vil gå ud over det maritime situationskendskab og påvirke overvågningskapaciteten ved de ydre grænser negativt. Det er derfor nødvendigt at indhente SAT-AIS-data. </w:t>
      </w:r>
    </w:p>
    <w:p>
      <w:pPr>
        <w:pStyle w:val="Italics"/>
        <w:rPr>
          <w:i/>
          <w:noProof/>
        </w:rPr>
      </w:pPr>
      <w:r>
        <w:rPr>
          <w:i/>
          <w:noProof/>
        </w:rPr>
        <w:t>Resultat: kommunikationstjenester, særlig SAT-COM til støtte for fælles operationer.</w:t>
      </w:r>
    </w:p>
    <w:p>
      <w:pPr>
        <w:pStyle w:val="Text1"/>
        <w:pBdr>
          <w:top w:val="single" w:sz="4" w:space="1" w:color="auto"/>
          <w:left w:val="single" w:sz="4" w:space="4" w:color="auto"/>
          <w:bottom w:val="single" w:sz="4" w:space="1" w:color="auto"/>
          <w:right w:val="single" w:sz="4" w:space="4" w:color="auto"/>
        </w:pBdr>
        <w:rPr>
          <w:noProof/>
        </w:rPr>
      </w:pPr>
      <w:r>
        <w:rPr>
          <w:noProof/>
        </w:rPr>
        <w:t>Der er behov for satellitkommunikation til at koordinere og levere maritime overvågningsdata indsamlet med RPAS og andre sensorer. Der anvendes satellitkommunikation til navigation af RPAS-fartøjer og til overførsel af de data, som indsamles ved hjælp af RPAS. Dette er en betydelig omkostningsfaktor. Agenturet vil skulle investere i grænseflader til at modtage data fra kommunikationssatellitter, særlig fra det europæiske datarelæsatellitsystem (EDRS). Input fra flere datastrømme i forskellige dataformater samtidig vil nødvendigvis kræve softwareudvikling. De angivne omkostninger omfatter ikke omkostninger til satellittransmission.</w:t>
      </w:r>
    </w:p>
    <w:p>
      <w:pPr>
        <w:pStyle w:val="Text1"/>
        <w:pBdr>
          <w:top w:val="single" w:sz="4" w:space="1" w:color="auto"/>
          <w:left w:val="single" w:sz="4" w:space="4" w:color="auto"/>
          <w:bottom w:val="single" w:sz="4" w:space="1" w:color="auto"/>
          <w:right w:val="single" w:sz="4" w:space="4" w:color="auto"/>
        </w:pBdr>
        <w:rPr>
          <w:i/>
          <w:noProof/>
        </w:rPr>
      </w:pPr>
      <w:r>
        <w:rPr>
          <w:i/>
          <w:noProof/>
        </w:rPr>
        <w:t>c.</w:t>
      </w:r>
      <w:r>
        <w:rPr>
          <w:noProof/>
        </w:rPr>
        <w:tab/>
      </w:r>
      <w:r>
        <w:rPr>
          <w:i/>
          <w:noProof/>
        </w:rPr>
        <w:t>Kapacitetsopbygning på nationalt plan og på EU-plan gennem udarbejdelse af retningslinjer, henstillinger og bedste praksis såvel som ved støtte til uddannelse og udveksling af personale med henblik på at fremme udvekslingen af oplysninger og samarbejdet om kystvagtfunktioner</w:t>
      </w:r>
    </w:p>
    <w:p>
      <w:pPr>
        <w:pStyle w:val="Text1"/>
        <w:pBdr>
          <w:top w:val="single" w:sz="4" w:space="1" w:color="auto"/>
          <w:left w:val="single" w:sz="4" w:space="4" w:color="auto"/>
          <w:bottom w:val="single" w:sz="4" w:space="1" w:color="auto"/>
          <w:right w:val="single" w:sz="4" w:space="4" w:color="auto"/>
        </w:pBdr>
        <w:rPr>
          <w:b/>
          <w:i/>
          <w:noProof/>
        </w:rPr>
      </w:pPr>
      <w:r>
        <w:rPr>
          <w:b/>
          <w:i/>
          <w:noProof/>
        </w:rPr>
        <w:t>Resultat: Uddannelse, fjernundervisning og udveksling af bedste praksis samt projektbaseret udvikling af fælles eller interoperable operationsstandarder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Styrkelse af de kystvagtfunktioner, som de nationale myndigheder udfører, omfatter også uddannelse og efteruddannelse. Agenturet råder allerede over et omfangsrigt uddannelsesprogram, der også omfatter e-læringsmoduler for eksperter fra medlemsstaterne, tiltrædelseslandene og ENP-landene. Dette grundlag vil blive benyttet til at udvikle nye moduler og kurser til at styrke færdigheder og kompetencer på nationalt plan.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Nyligt udviklede uddannelseskurser, workshopper til udveksling af bedste praksis og e-læringsmoduler såvel som nye temaspecifikke projekter vil bidrage til at øge kystvagternes kapacitet og skabe fælles standarder og tilgange på EU-plan, hvilket vil gøre multinationalt samarbejde og fælles operationer lettere. </w:t>
      </w:r>
    </w:p>
    <w:p>
      <w:pPr>
        <w:pStyle w:val="ManualHeading3"/>
        <w:rPr>
          <w:bCs/>
          <w:noProof/>
          <w:szCs w:val="24"/>
        </w:rPr>
      </w:pPr>
      <w:r>
        <w:rPr>
          <w:noProof/>
        </w:rPr>
        <w:t>1.4.4.</w:t>
      </w:r>
      <w:r>
        <w:rPr>
          <w:noProof/>
        </w:rPr>
        <w:tab/>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Forbedret videreformidling af maritime overvågningsdata i realtid og næsten realtid mellem de tre agenturer og relevante myndigheder:</w:t>
      </w:r>
    </w:p>
    <w:p>
      <w:pPr>
        <w:pStyle w:val="Text1"/>
        <w:pBdr>
          <w:top w:val="single" w:sz="4" w:space="1" w:color="auto"/>
          <w:left w:val="single" w:sz="4" w:space="4" w:color="auto"/>
          <w:bottom w:val="single" w:sz="4" w:space="1" w:color="auto"/>
          <w:right w:val="single" w:sz="4" w:space="4" w:color="auto"/>
        </w:pBdr>
        <w:rPr>
          <w:noProof/>
        </w:rPr>
      </w:pPr>
      <w:r>
        <w:rPr>
          <w:noProof/>
        </w:rPr>
        <w:t>Opgraderingen og forbedringerne af grænsefladerne og funktionerne vil:</w:t>
      </w:r>
    </w:p>
    <w:p>
      <w:pPr>
        <w:pStyle w:val="Text1"/>
        <w:pBdr>
          <w:top w:val="single" w:sz="4" w:space="1" w:color="auto"/>
          <w:left w:val="single" w:sz="4" w:space="4" w:color="auto"/>
          <w:bottom w:val="single" w:sz="4" w:space="1" w:color="auto"/>
          <w:right w:val="single" w:sz="4" w:space="4" w:color="auto"/>
        </w:pBdr>
        <w:rPr>
          <w:noProof/>
        </w:rPr>
      </w:pPr>
      <w:r>
        <w:rPr>
          <w:noProof/>
        </w:rPr>
        <w:t>- gøre det muligt at udveksle data fra nye sensorer (ved anvendelse af nye dataformater)</w:t>
      </w:r>
    </w:p>
    <w:p>
      <w:pPr>
        <w:pStyle w:val="Text1"/>
        <w:pBdr>
          <w:top w:val="single" w:sz="4" w:space="1" w:color="auto"/>
          <w:left w:val="single" w:sz="4" w:space="4" w:color="auto"/>
          <w:bottom w:val="single" w:sz="4" w:space="1" w:color="auto"/>
          <w:right w:val="single" w:sz="4" w:space="4" w:color="auto"/>
        </w:pBdr>
        <w:rPr>
          <w:noProof/>
        </w:rPr>
      </w:pPr>
      <w:r>
        <w:rPr>
          <w:noProof/>
        </w:rPr>
        <w:t>- bidrage til udveksling af større mængder overvågningsdata mellem alle relevante interessenter.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Fleksible RPAS-tjenester til brug ved grænseovervågning: </w:t>
      </w:r>
    </w:p>
    <w:p>
      <w:pPr>
        <w:pStyle w:val="Text1"/>
        <w:pBdr>
          <w:top w:val="single" w:sz="4" w:space="1" w:color="auto"/>
          <w:left w:val="single" w:sz="4" w:space="4" w:color="auto"/>
          <w:bottom w:val="single" w:sz="4" w:space="1" w:color="auto"/>
          <w:right w:val="single" w:sz="4" w:space="4" w:color="auto"/>
        </w:pBdr>
        <w:rPr>
          <w:noProof/>
        </w:rPr>
      </w:pPr>
      <w:r>
        <w:rPr>
          <w:noProof/>
        </w:rPr>
        <w:t>Øget havovervågning ved EU's ydre grænser bør resultere 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tidlig opsporing af trafik af migranter </w:t>
      </w:r>
    </w:p>
    <w:p>
      <w:pPr>
        <w:pStyle w:val="Text1"/>
        <w:pBdr>
          <w:top w:val="single" w:sz="4" w:space="1" w:color="auto"/>
          <w:left w:val="single" w:sz="4" w:space="4" w:color="auto"/>
          <w:bottom w:val="single" w:sz="4" w:space="1" w:color="auto"/>
          <w:right w:val="single" w:sz="4" w:space="4" w:color="auto"/>
        </w:pBdr>
        <w:rPr>
          <w:noProof/>
        </w:rPr>
      </w:pPr>
      <w:r>
        <w:rPr>
          <w:noProof/>
        </w:rPr>
        <w:t>- bedre opsporing af migranter i havsnød (flere liv reddes), støtte til eftersøgnings- og redningsaktioner til søs</w:t>
      </w:r>
    </w:p>
    <w:p>
      <w:pPr>
        <w:pStyle w:val="Text1"/>
        <w:pBdr>
          <w:top w:val="single" w:sz="4" w:space="1" w:color="auto"/>
          <w:left w:val="single" w:sz="4" w:space="4" w:color="auto"/>
          <w:bottom w:val="single" w:sz="4" w:space="1" w:color="auto"/>
          <w:right w:val="single" w:sz="4" w:space="4" w:color="auto"/>
        </w:pBdr>
        <w:rPr>
          <w:noProof/>
        </w:rPr>
      </w:pPr>
      <w:r>
        <w:rPr>
          <w:noProof/>
        </w:rPr>
        <w:t>- tidlig og bedre opsporing af enhver anden form for illegal aktivitet i forbindelse med passage af EU's ydre søgrænser</w:t>
      </w:r>
    </w:p>
    <w:p>
      <w:pPr>
        <w:pStyle w:val="Text1"/>
        <w:pBdr>
          <w:top w:val="single" w:sz="4" w:space="1" w:color="auto"/>
          <w:left w:val="single" w:sz="4" w:space="4" w:color="auto"/>
          <w:bottom w:val="single" w:sz="4" w:space="1" w:color="auto"/>
          <w:right w:val="single" w:sz="4" w:space="4" w:color="auto"/>
        </w:pBdr>
        <w:rPr>
          <w:noProof/>
        </w:rPr>
      </w:pPr>
      <w:r>
        <w:rPr>
          <w:noProof/>
        </w:rPr>
        <w:t>- anvendelse af disse operationer til flere forskellige formål (med forbindelse til kystbevogtning) og støtte til havovervågning med henblik på:</w:t>
      </w:r>
    </w:p>
    <w:p>
      <w:pPr>
        <w:pStyle w:val="Text1"/>
        <w:pBdr>
          <w:top w:val="single" w:sz="4" w:space="1" w:color="auto"/>
          <w:left w:val="single" w:sz="4" w:space="4" w:color="auto"/>
          <w:bottom w:val="single" w:sz="4" w:space="1" w:color="auto"/>
          <w:right w:val="single" w:sz="4" w:space="4" w:color="auto"/>
        </w:pBdr>
        <w:rPr>
          <w:noProof/>
        </w:rPr>
      </w:pPr>
      <w:r>
        <w:rPr>
          <w:noProof/>
        </w:rPr>
        <w:tab/>
        <w:t>- opsporing af illegalt fiskeri</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opsporing og standsning af narkotikahandel og -smugling </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opsporing og overvågning af forurening </w:t>
      </w:r>
    </w:p>
    <w:p>
      <w:pPr>
        <w:pStyle w:val="Text1"/>
        <w:pBdr>
          <w:top w:val="single" w:sz="4" w:space="1" w:color="auto"/>
          <w:left w:val="single" w:sz="4" w:space="4" w:color="auto"/>
          <w:bottom w:val="single" w:sz="4" w:space="1" w:color="auto"/>
          <w:right w:val="single" w:sz="4" w:space="4" w:color="auto"/>
        </w:pBdr>
        <w:rPr>
          <w:noProof/>
        </w:rPr>
      </w:pPr>
      <w:r>
        <w:rPr>
          <w:noProof/>
        </w:rPr>
        <w:tab/>
        <w:t>- støtte til retshåndhævelsesaktiviteter.</w:t>
      </w:r>
    </w:p>
    <w:p>
      <w:pPr>
        <w:pStyle w:val="Text1"/>
        <w:pBdr>
          <w:top w:val="single" w:sz="4" w:space="1" w:color="auto"/>
          <w:left w:val="single" w:sz="4" w:space="4" w:color="auto"/>
          <w:bottom w:val="single" w:sz="4" w:space="1" w:color="auto"/>
          <w:right w:val="single" w:sz="4" w:space="4" w:color="auto"/>
        </w:pBdr>
        <w:rPr>
          <w:noProof/>
        </w:rPr>
      </w:pPr>
      <w:r>
        <w:rPr>
          <w:noProof/>
        </w:rPr>
        <w:t>Overvågningsdata er "teknisk bistand" og leveres til de relevante kompetente myndigheder enten på nationalt plan eller EU-plan med henblik på passende opfølgning.</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Sikring af AIS-data fra satellitter:</w:t>
      </w:r>
    </w:p>
    <w:p>
      <w:pPr>
        <w:pStyle w:val="Text1"/>
        <w:pBdr>
          <w:top w:val="single" w:sz="4" w:space="1" w:color="auto"/>
          <w:left w:val="single" w:sz="4" w:space="4" w:color="auto"/>
          <w:bottom w:val="single" w:sz="4" w:space="1" w:color="auto"/>
          <w:right w:val="single" w:sz="4" w:space="4" w:color="auto"/>
        </w:pBdr>
        <w:rPr>
          <w:noProof/>
        </w:rPr>
      </w:pPr>
      <w:r>
        <w:rPr>
          <w:noProof/>
        </w:rPr>
        <w:t>Disse oplysninger gør det muligt at identificere fartøjer, der befinder sig uden for rækkevidde af de AIS-stationer, der er placeret på kysten i EU-medlemsstater, og vil hjælpe brugerne til at danne et mere fuldstændigt billede at situationen til søs. Disse informationer vil resultere 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mulighed for at skelne mellem normal trafik og ikke-identificerbar menneskelig aktivitet til søs, der kan kræve nærmere undersøgelse, ved at sammenholde informationerne med andre datakilder, som EMSA råder over </w:t>
      </w:r>
    </w:p>
    <w:p>
      <w:pPr>
        <w:pStyle w:val="Text1"/>
        <w:pBdr>
          <w:top w:val="single" w:sz="4" w:space="1" w:color="auto"/>
          <w:left w:val="single" w:sz="4" w:space="4" w:color="auto"/>
          <w:bottom w:val="single" w:sz="4" w:space="1" w:color="auto"/>
          <w:right w:val="single" w:sz="4" w:space="4" w:color="auto"/>
        </w:pBdr>
        <w:rPr>
          <w:noProof/>
        </w:rPr>
      </w:pPr>
      <w:r>
        <w:rPr>
          <w:noProof/>
        </w:rPr>
        <w:t>- bedre mulighed for at følge nationale aktiver eller aktiver tilhørende EU ved indsats i forbindelse med eftersøgnings- og redningsaktioner, med henblik på optimal koordination</w:t>
      </w:r>
    </w:p>
    <w:p>
      <w:pPr>
        <w:pStyle w:val="Text1"/>
        <w:pBdr>
          <w:top w:val="single" w:sz="4" w:space="1" w:color="auto"/>
          <w:left w:val="single" w:sz="4" w:space="4" w:color="auto"/>
          <w:bottom w:val="single" w:sz="4" w:space="1" w:color="auto"/>
          <w:right w:val="single" w:sz="4" w:space="4" w:color="auto"/>
        </w:pBdr>
        <w:rPr>
          <w:noProof/>
        </w:rPr>
      </w:pPr>
      <w:r>
        <w:rPr>
          <w:noProof/>
        </w:rPr>
        <w:t>- bedre mulighed for at indsætte aktiver på den korrekte geografiske position, hvor der befinder sig fartøjer, der har behov for støtte, hvorved den tid, det tager myndighederne / eftersøgnings- og redningsaktioner at nå frem, minimeres</w:t>
      </w:r>
    </w:p>
    <w:p>
      <w:pPr>
        <w:pStyle w:val="Text1"/>
        <w:pBdr>
          <w:top w:val="single" w:sz="4" w:space="1" w:color="auto"/>
          <w:left w:val="single" w:sz="4" w:space="4" w:color="auto"/>
          <w:bottom w:val="single" w:sz="4" w:space="1" w:color="auto"/>
          <w:right w:val="single" w:sz="4" w:space="4" w:color="auto"/>
        </w:pBdr>
        <w:rPr>
          <w:noProof/>
        </w:rPr>
      </w:pPr>
      <w:r>
        <w:rPr>
          <w:noProof/>
        </w:rPr>
        <w:t>- mulighed for at tilbyde geospatiale efterretninger med henblik på præcis og rettidig overvågning af fartøjer på globalt plan.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Hvis SAT-AIS-data ikke var tilgængelige, ville der blive leveret mindre omfattende oplysninger om, hvad der foregår ved de ydre søgrænser.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Kommunikationstjenester, særlig SAT-COM til støtte ved fælles operationer: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Satellitkommunikation spiller en afgørende rolle i forbindelse med anvendelsen af nye teknologier såsom fjernstyrede luftfartøjssystemer. Det er denne satellitkommunikationsteknologi, der giver forbedret havovervågning i (næsten) realtid.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Uddannelse, fjernundervisning og udveksling af bedste praksis samt projektbaseret udvikling af fælles eller interoperable operationsstandarder:</w:t>
      </w:r>
    </w:p>
    <w:p>
      <w:pPr>
        <w:pStyle w:val="Text1"/>
        <w:pBdr>
          <w:top w:val="single" w:sz="4" w:space="1" w:color="auto"/>
          <w:left w:val="single" w:sz="4" w:space="4" w:color="auto"/>
          <w:bottom w:val="single" w:sz="4" w:space="1" w:color="auto"/>
          <w:right w:val="single" w:sz="4" w:space="4" w:color="auto"/>
        </w:pBdr>
        <w:rPr>
          <w:noProof/>
        </w:rPr>
      </w:pPr>
      <w:r>
        <w:rPr>
          <w:noProof/>
        </w:rPr>
        <w:t>Investering i uddannelse, fjernundervisning, udveksling af bedste praksis og projektbaseret udvikling af fælles eller interoperable operationsstandarder bør resultere i:</w:t>
      </w:r>
    </w:p>
    <w:p>
      <w:pPr>
        <w:pStyle w:val="Text1"/>
        <w:pBdr>
          <w:top w:val="single" w:sz="4" w:space="1" w:color="auto"/>
          <w:left w:val="single" w:sz="4" w:space="4" w:color="auto"/>
          <w:bottom w:val="single" w:sz="4" w:space="1" w:color="auto"/>
          <w:right w:val="single" w:sz="4" w:space="4" w:color="auto"/>
        </w:pBdr>
        <w:rPr>
          <w:noProof/>
        </w:rPr>
      </w:pPr>
      <w:r>
        <w:rPr>
          <w:noProof/>
        </w:rPr>
        <w:t>- en forbedring af færdigheder og kompetencer, når det drejer sig om kystvagtfunktioner på nationalt plan, hvilket fører til mere effektive operationer</w:t>
      </w:r>
    </w:p>
    <w:p>
      <w:pPr>
        <w:pStyle w:val="Text1"/>
        <w:pBdr>
          <w:top w:val="single" w:sz="4" w:space="1" w:color="auto"/>
          <w:left w:val="single" w:sz="4" w:space="4" w:color="auto"/>
          <w:bottom w:val="single" w:sz="4" w:space="1" w:color="auto"/>
          <w:right w:val="single" w:sz="4" w:space="4" w:color="auto"/>
        </w:pBdr>
        <w:rPr>
          <w:noProof/>
        </w:rPr>
      </w:pPr>
      <w:r>
        <w:rPr>
          <w:noProof/>
        </w:rPr>
        <w:t>- en højere grad af harmonisering og fælles tilgang til havovervågning og andre kystvagtfunktioner, som fører til interoperabilitet og fælles operationsstandarder, hvilket bør lette fælles operationer.</w:t>
      </w:r>
    </w:p>
    <w:p>
      <w:pPr>
        <w:pStyle w:val="ManualHeading2"/>
        <w:rPr>
          <w:bCs/>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Den mest komplekse og kritiske proces er at tilrettelægge pilotprojekter for RPAS-tjenester.</w:t>
      </w:r>
    </w:p>
    <w:p>
      <w:pPr>
        <w:pStyle w:val="Text1"/>
        <w:pBdr>
          <w:top w:val="single" w:sz="4" w:space="1" w:color="auto"/>
          <w:left w:val="single" w:sz="4" w:space="4" w:color="auto"/>
          <w:bottom w:val="single" w:sz="4" w:space="1" w:color="auto"/>
          <w:right w:val="single" w:sz="4" w:space="4" w:color="auto"/>
        </w:pBdr>
        <w:rPr>
          <w:noProof/>
        </w:rPr>
      </w:pPr>
      <w:r>
        <w:rPr>
          <w:noProof/>
        </w:rPr>
        <w:t>I 2016 planlægger agenturet at fremvise en pilot-RPAS-tjeneste for medlemsstaterne og EU-agenturerne. På reguleringssiden har agenturet til hensigt at inddrage EASA og Eurocontrol, og på brugersiden er Det Europæiske Agentur for Grænse- og Kystbevogtning og EFCA inviteret til at deltage i denne pilotaktivitet. Desuden bør høringer med Den Europæiske Rumorganisation bidrage til yderligere udvikling af RPAS-løsninger til brug ved civil havovervågning.</w:t>
      </w:r>
    </w:p>
    <w:p>
      <w:pPr>
        <w:pStyle w:val="ManualHeading3"/>
        <w:rPr>
          <w:bCs/>
          <w:noProof/>
          <w:szCs w:val="24"/>
        </w:rPr>
      </w:pPr>
      <w:r>
        <w:rPr>
          <w:noProof/>
        </w:rPr>
        <w:t>1.5.2.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Merværdien af disse aktiviteter på EU-plan er: </w:t>
      </w:r>
    </w:p>
    <w:p>
      <w:pPr>
        <w:pStyle w:val="Text1"/>
        <w:pBdr>
          <w:top w:val="single" w:sz="4" w:space="1" w:color="auto"/>
          <w:left w:val="single" w:sz="4" w:space="4" w:color="auto"/>
          <w:bottom w:val="single" w:sz="4" w:space="1" w:color="auto"/>
          <w:right w:val="single" w:sz="4" w:space="4" w:color="auto"/>
        </w:pBdr>
        <w:rPr>
          <w:noProof/>
        </w:rPr>
      </w:pPr>
      <w:r>
        <w:rPr>
          <w:noProof/>
        </w:rPr>
        <w:t>- levering af værdifulde oplysninger til forbedring af overvågningen af EU's ydre grænser ved hjælp af nye RPAS-tjenester samt fortsatte SAT-AIS-tjenester, som ellers ikke ville blive leveret eller ville blive leveret i mindre udstrækning (overvågning fra luften, hvilket er meget dyrt)</w:t>
      </w:r>
    </w:p>
    <w:p>
      <w:pPr>
        <w:pStyle w:val="Text1"/>
        <w:pBdr>
          <w:top w:val="single" w:sz="4" w:space="1" w:color="auto"/>
          <w:left w:val="single" w:sz="4" w:space="4" w:color="auto"/>
          <w:bottom w:val="single" w:sz="4" w:space="1" w:color="auto"/>
          <w:right w:val="single" w:sz="4" w:space="4" w:color="auto"/>
        </w:pBdr>
        <w:rPr>
          <w:noProof/>
        </w:rPr>
      </w:pPr>
      <w:r>
        <w:rPr>
          <w:noProof/>
        </w:rPr>
        <w:t>- omkostningseffektiv levering af tjenester og data på EU-plan takket være stordriftsfordele, som ikke kan opnås med tilsvarende aktioner på nationalt plan</w:t>
      </w:r>
    </w:p>
    <w:p>
      <w:pPr>
        <w:pStyle w:val="Text1"/>
        <w:pBdr>
          <w:top w:val="single" w:sz="4" w:space="1" w:color="auto"/>
          <w:left w:val="single" w:sz="4" w:space="4" w:color="auto"/>
          <w:bottom w:val="single" w:sz="4" w:space="1" w:color="auto"/>
          <w:right w:val="single" w:sz="4" w:space="4" w:color="auto"/>
        </w:pBdr>
        <w:rPr>
          <w:noProof/>
        </w:rPr>
      </w:pPr>
      <w:r>
        <w:rPr>
          <w:noProof/>
        </w:rPr>
        <w:t>- genbrug og udveksling af data med alle berørte EU-medlemsstater og EU-agenturer, hvorved dobbeltarbejde undgås, og det bliver muligt at anvende de samme data og tjenester til forskellige formål, ligesom det bliver muligt at anvende nye og moderne teknologier.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samling af alle relevante maritime data vedrørende menneskelig aktivitet til søs på ét sted, hvorfra andre myndigheder på nationalt plan og EU-plan kan hente data. IKT-infrastrukturen og distributionsnetværket er for det meste på plads, og det er ikke nødvendigt at udvikle dem på ny. EMSA leverer allerede forskellige maritime datasæt til Det Europæiske Agentur for Grænse- og Kystbevogtning og EFCA via de dertil oprettede grænseflader</w:t>
      </w:r>
    </w:p>
    <w:p>
      <w:pPr>
        <w:pStyle w:val="Text1"/>
        <w:pBdr>
          <w:top w:val="single" w:sz="4" w:space="1" w:color="auto"/>
          <w:left w:val="single" w:sz="4" w:space="4" w:color="auto"/>
          <w:bottom w:val="single" w:sz="4" w:space="1" w:color="auto"/>
          <w:right w:val="single" w:sz="4" w:space="4" w:color="auto"/>
        </w:pBdr>
        <w:rPr>
          <w:noProof/>
        </w:rPr>
      </w:pPr>
      <w:r>
        <w:rPr>
          <w:noProof/>
        </w:rPr>
        <w:t>- anvendelse af EMSA's allerede etablerede maritime informationssystemer, harmonisering af eksisterende systemer og tjenester med henblik på at fremme informationsudveksling mellem kystvagtmyndigheder på EU-plan</w:t>
      </w:r>
    </w:p>
    <w:p>
      <w:pPr>
        <w:pStyle w:val="Text1"/>
        <w:pBdr>
          <w:top w:val="single" w:sz="4" w:space="1" w:color="auto"/>
          <w:left w:val="single" w:sz="4" w:space="4" w:color="auto"/>
          <w:bottom w:val="single" w:sz="4" w:space="1" w:color="auto"/>
          <w:right w:val="single" w:sz="4" w:space="4" w:color="auto"/>
        </w:pBdr>
        <w:rPr>
          <w:noProof/>
        </w:rPr>
      </w:pPr>
      <w:r>
        <w:rPr>
          <w:noProof/>
        </w:rPr>
        <w:t>- udbygning af kollektive færdigheder og kapacitet til udførelse af kystvagtfunktioner og bistand til samarbejde og handling i fællesskab på grundlag af en fælles tilgang.</w:t>
      </w:r>
    </w:p>
    <w:p>
      <w:pPr>
        <w:pStyle w:val="ManualHeading3"/>
        <w:rPr>
          <w:bCs/>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0" w:color="auto"/>
          <w:right w:val="single" w:sz="4" w:space="4" w:color="auto"/>
        </w:pBdr>
        <w:rPr>
          <w:noProof/>
        </w:rPr>
      </w:pPr>
      <w:r>
        <w:rPr>
          <w:noProof/>
        </w:rPr>
        <w:t xml:space="preserve">På grundlag af tidligere militære anvendelser af RPAS-teknologi har EMSA fået indsigt i, hvad der er gennemførligt, når det drejer sig om civil RPAS-kapacitet, og hvordan RPAS kan medvirke til at forbedre havovervågningen med et bedre forhold mellem pris og kvalitet og bidrage til at opnå bedre kendskab til, hvad der foregår ved EU's ydre søgrænser.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På grundlag af det løbende samarbejde med Den Europæiske Rumorganisation har det vist sig, at SAT-AIS-data i vid udstrækning forbedrer den maritime situationsbevidsthed. I praksis har anvendelse af SAT-AIS-data hos mange brugere i medlemsstaterne og EU-agenturer vist sig at være så nyttig, at den daglige drift hos brugerne nu i vid udstrækning sker på grundlag af anvendelse af SAT-AIS-data. Der er indsamlet beretninger fra brugerne efter flere møder med dem i løbet af de seneste tre år. Det er således tydeligt, at der uden SAT-AIS-data utvivlsomt ville være en grænse for kvaliteten af det maritime områdekendskab, hvilket ville påvirke de øvrige brugeres evne til at handle på effektiv vis negativt. </w:t>
      </w:r>
    </w:p>
    <w:p>
      <w:pPr>
        <w:pStyle w:val="Text1"/>
        <w:pBdr>
          <w:top w:val="single" w:sz="4" w:space="1" w:color="auto"/>
          <w:left w:val="single" w:sz="4" w:space="4" w:color="auto"/>
          <w:bottom w:val="single" w:sz="4" w:space="0" w:color="auto"/>
          <w:right w:val="single" w:sz="4" w:space="4" w:color="auto"/>
        </w:pBdr>
        <w:rPr>
          <w:noProof/>
        </w:rPr>
      </w:pPr>
      <w:r>
        <w:rPr>
          <w:noProof/>
        </w:rPr>
        <w:t>Når det drejer sig om havnestatskontrol, støtter agenturet en EU-ordning til etablering af et minimumsniveau af uddannelse, hvilket fremmer kapacitetsopbygning på EU-plan og nationalt plan. Desuden har kurser i kernekompetencer for visse funktioner som supplement til uddannelsen på nationalt plan vist sig at give merværdi og fremme udveksling af bedste praksis, og kurserne kan derfor udgøre en merværdi for forskellige kystvagtfunktioner.</w:t>
      </w:r>
    </w:p>
    <w:p>
      <w:pPr>
        <w:pStyle w:val="Text1"/>
        <w:pBdr>
          <w:top w:val="single" w:sz="4" w:space="1" w:color="auto"/>
          <w:left w:val="single" w:sz="4" w:space="4" w:color="auto"/>
          <w:bottom w:val="single" w:sz="4" w:space="0" w:color="auto"/>
          <w:right w:val="single" w:sz="4" w:space="4" w:color="auto"/>
        </w:pBdr>
        <w:rPr>
          <w:noProof/>
        </w:rPr>
      </w:pPr>
      <w:r>
        <w:rPr>
          <w:noProof/>
        </w:rPr>
        <w:t xml:space="preserve">Agenturet ligger inde med en omfattende erfaring, når det drejer sig om at arbejde sammen med de nationale myndigheder, der udfører kystvagtfunktioner, og om at fremme grænseoverskridende samarbejde. Et nyligt eksempel er hjælp til fartøjer i nød, i forbindelse med hvilken agenturet sammen med Kommissionen har støttet udarbejdelsen af operationelle retningslinjer vedrørende tilflugtsområder på grundlag af EU-lovgivningen, hvilket vil fremme en harmoniseret og effektiv indsats hos de nationale myndigheder. Der kunne også udarbejdes sådanne operationelle retningslinjer og fælles/interoperable standarder og processer for andre områder. </w:t>
      </w:r>
    </w:p>
    <w:p>
      <w:pPr>
        <w:pStyle w:val="ManualHeading3"/>
        <w:rPr>
          <w:bCs/>
          <w:noProof/>
          <w:szCs w:val="24"/>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Disse yderligere opgaver, der tildeles EMSA, er i fuld overensstemmelse med de mandater, der er tildelt Det Europæiske Agentur for Grænse- og Kystbevogtning og EFCA, og vil bidrage til, at disse også kan udøve deres hverv. De data, der indhentes ved hjælp af RPAS og SAT-AIS vil i vid udstrækning forbedre deres situationskendskab. Der er allerede bilaterale serviceleveranceaftaler mellem EMSA og Frontex og mellem EMSA og EFCA vedrørende levering af maritime informationstjenester. Siden 2013 har EMSA udvekslet oplysninger med Frontex, og data overføres kontinuerligt fra EMSA til EUROSUR og Frontex' Situationscenter. Den etablerede praksis vil blive benyttet ved forbedringen af datastrømmene.</w:t>
      </w:r>
    </w:p>
    <w:p>
      <w:pPr>
        <w:pStyle w:val="ManualHeading2"/>
        <w:rPr>
          <w:bCs/>
          <w:noProof/>
          <w:szCs w:val="24"/>
        </w:rPr>
      </w:pPr>
      <w:r>
        <w:rPr>
          <w:noProof/>
        </w:rPr>
        <w:br w:type="page"/>
        <w:t>1.6.</w:t>
      </w:r>
      <w:r>
        <w:rPr>
          <w:noProof/>
        </w:rPr>
        <w:tab/>
        <w:t xml:space="preserve">Varighed og finansielle virkninger </w:t>
      </w:r>
    </w:p>
    <w:p>
      <w:pPr>
        <w:pStyle w:val="Text1"/>
        <w:rPr>
          <w:noProof/>
        </w:rPr>
      </w:pPr>
      <w:r>
        <w:rPr>
          <w:noProof/>
        </w:rPr>
        <w:sym w:font="Wingdings" w:char="F0A8"/>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[DD/MM]ÅÅÅÅ til [DD/MM]ÅÅÅÅ </w:t>
      </w:r>
    </w:p>
    <w:p>
      <w:pPr>
        <w:pStyle w:val="ListDash2"/>
        <w:rPr>
          <w:noProof/>
          <w:lang w:val="nb-NO"/>
        </w:rPr>
      </w:pPr>
      <w:r>
        <w:rPr>
          <w:noProof/>
        </w:rPr>
        <w:sym w:font="Wingdings" w:char="F0A8"/>
      </w:r>
      <w:r>
        <w:rPr>
          <w:noProof/>
          <w:lang w:val="nb-NO"/>
        </w:rPr>
        <w:tab/>
        <w:t xml:space="preserve">Finansielle virkninger fra ÅÅÅÅ til ÅÅÅÅ </w:t>
      </w:r>
    </w:p>
    <w:p>
      <w:pPr>
        <w:pStyle w:val="Text1"/>
        <w:rPr>
          <w:noProof/>
        </w:rPr>
      </w:pPr>
      <w:r>
        <w:rPr>
          <w:noProof/>
        </w:rPr>
        <w:sym w:font="Wingdings" w:char="F078"/>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ÅÅÅÅ to ÅÅÅÅ,</w:t>
      </w:r>
    </w:p>
    <w:p>
      <w:pPr>
        <w:pStyle w:val="ListDash1"/>
        <w:rPr>
          <w:noProof/>
        </w:rPr>
      </w:pPr>
      <w:r>
        <w:rPr>
          <w:noProof/>
        </w:rPr>
        <w:t>derefter gennemførelse i fuldt omfang.</w:t>
      </w:r>
    </w:p>
    <w:p>
      <w:pPr>
        <w:pStyle w:val="ManualHeading2"/>
        <w:rPr>
          <w:bCs/>
          <w:noProof/>
          <w:szCs w:val="24"/>
        </w:rPr>
      </w:pPr>
      <w:r>
        <w:rPr>
          <w:noProof/>
        </w:rPr>
        <w:t>1.7.</w:t>
      </w:r>
      <w:r>
        <w:rPr>
          <w:noProof/>
        </w:rPr>
        <w:tab/>
        <w:t>Påtænkt(e) forvaltningsmetode(r)</w:t>
      </w:r>
      <w:r>
        <w:rPr>
          <w:rStyle w:val="FootnoteReference"/>
          <w:noProof/>
        </w:rPr>
        <w:footnoteReference w:id="5"/>
      </w:r>
      <w:r>
        <w:rPr>
          <w:rStyle w:val="FootnoteReference"/>
          <w:noProof/>
        </w:rPr>
        <w:t xml:space="preserve"> </w:t>
      </w:r>
    </w:p>
    <w:p>
      <w:pPr>
        <w:pStyle w:val="Text1"/>
        <w:rPr>
          <w:noProof/>
        </w:rPr>
      </w:pPr>
      <w:r>
        <w:rPr>
          <w:noProof/>
        </w:rPr>
        <w:sym w:font="Wingdings" w:char="F0A8"/>
      </w:r>
      <w:r>
        <w:rPr>
          <w:i/>
          <w:noProof/>
        </w:rPr>
        <w:t xml:space="preserve"> </w:t>
      </w:r>
      <w:r>
        <w:rPr>
          <w:b/>
          <w:noProof/>
        </w:rPr>
        <w:t>Direkte forvaltning</w:t>
      </w:r>
      <w:r>
        <w:rPr>
          <w:noProof/>
        </w:rPr>
        <w:t xml:space="preserve"> 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t xml:space="preserve"> i gennemførelsesorganer </w:t>
      </w:r>
    </w:p>
    <w:p>
      <w:pPr>
        <w:pStyle w:val="Text1"/>
        <w:rPr>
          <w:noProof/>
        </w:rPr>
      </w:pPr>
      <w:r>
        <w:rPr>
          <w:noProof/>
        </w:rPr>
        <w:sym w:font="Wingdings" w:char="F0A8"/>
      </w:r>
      <w:r>
        <w:rPr>
          <w:noProof/>
        </w:rPr>
        <w:t xml:space="preserve"> </w:t>
      </w:r>
      <w:r>
        <w:rPr>
          <w:b/>
          <w:noProof/>
        </w:rPr>
        <w:t>Delt forvaltning</w:t>
      </w:r>
      <w:r>
        <w:rPr>
          <w:noProof/>
        </w:rPr>
        <w:t xml:space="preserve"> i samarbejde med medlemsstaterne </w:t>
      </w:r>
    </w:p>
    <w:p>
      <w:pPr>
        <w:pStyle w:val="Text1"/>
        <w:rPr>
          <w:noProof/>
        </w:rPr>
      </w:pPr>
      <w:r>
        <w:rPr>
          <w:noProof/>
        </w:rPr>
        <w:sym w:font="Wingdings" w:char="F078"/>
      </w:r>
      <w:r>
        <w:rPr>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7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Agenturet er underlagt årlig revision af Revisionsretten og Kommissionens interne revisionstjeneste. Bestyrelsen, der omfatter repræsentanter for Kommissionen, fører tilsyn med aktiviteter, programmering og budgetter. Dette system, der er fastsat i EMSA-grundforordningen, finder fortsat anvendelse.</w:t>
      </w:r>
    </w:p>
    <w:p>
      <w:pPr>
        <w:pStyle w:val="ManualHeading2"/>
        <w:rPr>
          <w:bCs/>
          <w:noProof/>
          <w:szCs w:val="24"/>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Der er ingen yderligere risici sammenholdt med agenturets eksisterende opgaver og aktiviteter.</w:t>
      </w:r>
    </w:p>
    <w:p>
      <w:pPr>
        <w:pStyle w:val="ManualHeading3"/>
        <w:rPr>
          <w:bCs/>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Tillægsbudgettet er underlagt de samme bestemmelser og garantier som alle agenturets andre aktiviteter.</w:t>
      </w:r>
    </w:p>
    <w:p>
      <w:pPr>
        <w:pStyle w:val="ManualHeading3"/>
        <w:rPr>
          <w:noProof/>
        </w:rPr>
      </w:pPr>
      <w:r>
        <w:rPr>
          <w:noProof/>
        </w:rPr>
        <w:t>2.2.3.</w:t>
      </w:r>
      <w:r>
        <w:rPr>
          <w:noProof/>
        </w:rPr>
        <w:tab/>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Foranstaltninger til bekæmpelse af svig er fastsat i EMSA-grundforordningens artikel 20, der regulerer OLAF's myndighed i forhold til agenturets aktiviteter, og finder fortsat anvendelse. I november 2015 vedtog EMSA's bestyrelse en særlig strategi for bekæmpelse af svig.</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000"/>
        <w:gridCol w:w="1080"/>
        <w:gridCol w:w="1080"/>
        <w:gridCol w:w="1320"/>
        <w:gridCol w:w="1080"/>
        <w:gridCol w:w="1680"/>
      </w:tblGrid>
      <w:tr>
        <w:tc>
          <w:tcPr>
            <w:tcW w:w="1320" w:type="dxa"/>
            <w:vMerge w:val="restart"/>
            <w:vAlign w:val="center"/>
          </w:tcPr>
          <w:p>
            <w:pPr>
              <w:spacing w:before="60" w:after="60"/>
              <w:jc w:val="center"/>
              <w:rPr>
                <w:noProof/>
                <w:sz w:val="22"/>
              </w:rPr>
            </w:pPr>
            <w:r>
              <w:rPr>
                <w:noProof/>
                <w:sz w:val="18"/>
              </w:rPr>
              <w:t>Udgiftsområde i den flerårige finansielle ramme</w:t>
            </w:r>
          </w:p>
        </w:tc>
        <w:tc>
          <w:tcPr>
            <w:tcW w:w="300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 xml:space="preserve">Udgiftens </w:t>
            </w:r>
            <w:r>
              <w:rPr>
                <w:noProof/>
                <w:sz w:val="22"/>
              </w:rPr>
              <w:br/>
            </w:r>
            <w:r>
              <w:rPr>
                <w:noProof/>
                <w:sz w:val="18"/>
              </w:rPr>
              <w:t>art</w:t>
            </w:r>
          </w:p>
        </w:tc>
        <w:tc>
          <w:tcPr>
            <w:tcW w:w="5160" w:type="dxa"/>
            <w:gridSpan w:val="4"/>
            <w:vAlign w:val="center"/>
          </w:tcPr>
          <w:p>
            <w:pPr>
              <w:spacing w:before="60" w:after="60"/>
              <w:jc w:val="center"/>
              <w:rPr>
                <w:noProof/>
                <w:sz w:val="22"/>
              </w:rPr>
            </w:pPr>
            <w:r>
              <w:rPr>
                <w:noProof/>
                <w:sz w:val="20"/>
              </w:rPr>
              <w:t xml:space="preserve">Bidrag </w:t>
            </w:r>
          </w:p>
        </w:tc>
      </w:tr>
      <w:tr>
        <w:tc>
          <w:tcPr>
            <w:tcW w:w="1320" w:type="dxa"/>
            <w:vMerge/>
            <w:vAlign w:val="center"/>
          </w:tcPr>
          <w:p>
            <w:pPr>
              <w:jc w:val="center"/>
              <w:rPr>
                <w:noProof/>
                <w:sz w:val="22"/>
              </w:rPr>
            </w:pPr>
          </w:p>
        </w:tc>
        <w:tc>
          <w:tcPr>
            <w:tcW w:w="3000" w:type="dxa"/>
            <w:vAlign w:val="center"/>
          </w:tcPr>
          <w:p>
            <w:pPr>
              <w:rPr>
                <w:noProof/>
                <w:sz w:val="22"/>
              </w:rPr>
            </w:pPr>
            <w:r>
              <w:rPr>
                <w:noProof/>
                <w:sz w:val="20"/>
              </w:rPr>
              <w:t xml:space="preserve">Nummer </w:t>
            </w:r>
            <w:r>
              <w:rPr>
                <w:noProof/>
                <w:sz w:val="22"/>
              </w:rPr>
              <w:br/>
            </w:r>
            <w:r>
              <w:rPr>
                <w:noProof/>
                <w:sz w:val="20"/>
              </w:rPr>
              <w:t>[Betegnelse…...........................…]</w:t>
            </w:r>
          </w:p>
        </w:tc>
        <w:tc>
          <w:tcPr>
            <w:tcW w:w="1080" w:type="dxa"/>
            <w:vAlign w:val="center"/>
          </w:tcPr>
          <w:p>
            <w:pPr>
              <w:jc w:val="center"/>
              <w:rPr>
                <w:noProof/>
                <w:sz w:val="22"/>
              </w:rPr>
            </w:pPr>
            <w:r>
              <w:rPr>
                <w:noProof/>
                <w:sz w:val="18"/>
              </w:rPr>
              <w:t>OB/IOB</w:t>
            </w:r>
            <w:r>
              <w:rPr>
                <w:rStyle w:val="FootnoteReference"/>
                <w:noProof/>
                <w:sz w:val="18"/>
              </w:rPr>
              <w:footnoteReference w:id="6"/>
            </w:r>
            <w:r>
              <w:rPr>
                <w:noProof/>
              </w:rPr>
              <w:t>.</w:t>
            </w:r>
          </w:p>
        </w:tc>
        <w:tc>
          <w:tcPr>
            <w:tcW w:w="1080" w:type="dxa"/>
            <w:vAlign w:val="center"/>
          </w:tcPr>
          <w:p>
            <w:pPr>
              <w:jc w:val="center"/>
              <w:rPr>
                <w:noProof/>
                <w:sz w:val="22"/>
              </w:rPr>
            </w:pPr>
            <w:r>
              <w:rPr>
                <w:noProof/>
                <w:sz w:val="18"/>
              </w:rPr>
              <w:t>fra EFTA-lande</w:t>
            </w:r>
            <w:r>
              <w:rPr>
                <w:rStyle w:val="FootnoteReference"/>
                <w:noProof/>
                <w:sz w:val="18"/>
              </w:rPr>
              <w:footnoteReference w:id="7"/>
            </w:r>
          </w:p>
          <w:p>
            <w:pPr>
              <w:spacing w:before="0" w:after="0"/>
              <w:jc w:val="center"/>
              <w:rPr>
                <w:b/>
                <w:noProof/>
                <w:sz w:val="18"/>
              </w:rPr>
            </w:pPr>
          </w:p>
        </w:tc>
        <w:tc>
          <w:tcPr>
            <w:tcW w:w="1320" w:type="dxa"/>
            <w:vAlign w:val="center"/>
          </w:tcPr>
          <w:p>
            <w:pPr>
              <w:jc w:val="center"/>
              <w:rPr>
                <w:noProof/>
                <w:sz w:val="22"/>
              </w:rPr>
            </w:pPr>
            <w:r>
              <w:rPr>
                <w:noProof/>
                <w:sz w:val="18"/>
              </w:rPr>
              <w:t>fra kandidatlande</w:t>
            </w:r>
            <w:r>
              <w:rPr>
                <w:rStyle w:val="FootnoteReference"/>
                <w:noProof/>
                <w:sz w:val="18"/>
              </w:rPr>
              <w:footnoteReference w:id="8"/>
            </w:r>
          </w:p>
          <w:p>
            <w:pPr>
              <w:spacing w:before="0" w:after="0"/>
              <w:jc w:val="center"/>
              <w:rPr>
                <w:noProof/>
                <w:sz w:val="18"/>
              </w:rPr>
            </w:pPr>
          </w:p>
        </w:tc>
        <w:tc>
          <w:tcPr>
            <w:tcW w:w="1080" w:type="dxa"/>
            <w:vAlign w:val="center"/>
          </w:tcPr>
          <w:p>
            <w:pPr>
              <w:jc w:val="center"/>
              <w:rPr>
                <w:noProof/>
                <w:sz w:val="18"/>
              </w:rPr>
            </w:pPr>
            <w:r>
              <w:rPr>
                <w:noProof/>
                <w:sz w:val="18"/>
              </w:rPr>
              <w:t>fra tredjelande</w:t>
            </w:r>
          </w:p>
        </w:tc>
        <w:tc>
          <w:tcPr>
            <w:tcW w:w="1680" w:type="dxa"/>
            <w:vAlign w:val="center"/>
          </w:tcPr>
          <w:p>
            <w:pPr>
              <w:jc w:val="center"/>
              <w:rPr>
                <w:noProof/>
                <w:sz w:val="22"/>
              </w:rPr>
            </w:pPr>
            <w:r>
              <w:rPr>
                <w:noProof/>
                <w:sz w:val="16"/>
              </w:rPr>
              <w:t xml:space="preserve">iht. finansforordningens artikel 21, stk. 2, </w:t>
            </w:r>
            <w:r>
              <w:rPr>
                <w:noProof/>
                <w:sz w:val="16"/>
              </w:rPr>
              <w:br/>
              <w:t xml:space="preserve">litra b) </w:t>
            </w:r>
          </w:p>
        </w:tc>
      </w:tr>
      <w:tr>
        <w:tc>
          <w:tcPr>
            <w:tcW w:w="1320" w:type="dxa"/>
            <w:vAlign w:val="center"/>
          </w:tcPr>
          <w:p>
            <w:pPr>
              <w:jc w:val="center"/>
              <w:rPr>
                <w:noProof/>
                <w:color w:val="0000FF"/>
                <w:sz w:val="22"/>
              </w:rPr>
            </w:pPr>
            <w:r>
              <w:rPr>
                <w:noProof/>
                <w:sz w:val="22"/>
              </w:rPr>
              <w:t>1A</w:t>
            </w:r>
          </w:p>
        </w:tc>
        <w:tc>
          <w:tcPr>
            <w:tcW w:w="3000" w:type="dxa"/>
            <w:vAlign w:val="center"/>
          </w:tcPr>
          <w:p>
            <w:pPr>
              <w:spacing w:before="60"/>
              <w:rPr>
                <w:noProof/>
                <w:sz w:val="22"/>
              </w:rPr>
            </w:pPr>
            <w:r>
              <w:rPr>
                <w:noProof/>
                <w:sz w:val="22"/>
              </w:rPr>
              <w:t>060203 Det Europæiske Agentur for Søfartssikkerhed</w:t>
            </w:r>
          </w:p>
        </w:tc>
        <w:tc>
          <w:tcPr>
            <w:tcW w:w="1080" w:type="dxa"/>
            <w:vAlign w:val="center"/>
          </w:tcPr>
          <w:p>
            <w:pPr>
              <w:jc w:val="center"/>
              <w:rPr>
                <w:noProof/>
                <w:color w:val="0000FF"/>
                <w:sz w:val="22"/>
              </w:rPr>
            </w:pPr>
            <w:r>
              <w:rPr>
                <w:noProof/>
                <w:sz w:val="22"/>
              </w:rPr>
              <w:t>IOB</w:t>
            </w:r>
          </w:p>
        </w:tc>
        <w:tc>
          <w:tcPr>
            <w:tcW w:w="1080" w:type="dxa"/>
            <w:vAlign w:val="center"/>
          </w:tcPr>
          <w:p>
            <w:pPr>
              <w:jc w:val="center"/>
              <w:rPr>
                <w:noProof/>
                <w:sz w:val="22"/>
              </w:rPr>
            </w:pPr>
            <w:r>
              <w:rPr>
                <w:noProof/>
                <w:sz w:val="22"/>
              </w:rPr>
              <w:t>NEJ</w:t>
            </w:r>
          </w:p>
        </w:tc>
        <w:tc>
          <w:tcPr>
            <w:tcW w:w="1320"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1680" w:type="dxa"/>
            <w:vAlign w:val="center"/>
          </w:tcPr>
          <w:p>
            <w:pPr>
              <w:jc w:val="center"/>
              <w:rPr>
                <w:noProof/>
                <w:sz w:val="22"/>
              </w:rPr>
            </w:pPr>
            <w:r>
              <w:rPr>
                <w:noProof/>
                <w:sz w:val="22"/>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000"/>
        <w:gridCol w:w="1080"/>
        <w:gridCol w:w="1080"/>
        <w:gridCol w:w="1320"/>
        <w:gridCol w:w="1080"/>
        <w:gridCol w:w="1680"/>
      </w:tblGrid>
      <w:tr>
        <w:tc>
          <w:tcPr>
            <w:tcW w:w="1320" w:type="dxa"/>
            <w:vMerge w:val="restart"/>
            <w:vAlign w:val="center"/>
          </w:tcPr>
          <w:p>
            <w:pPr>
              <w:spacing w:before="60" w:after="60"/>
              <w:jc w:val="center"/>
              <w:rPr>
                <w:noProof/>
                <w:sz w:val="18"/>
                <w:szCs w:val="18"/>
              </w:rPr>
            </w:pPr>
            <w:r>
              <w:rPr>
                <w:noProof/>
                <w:sz w:val="18"/>
              </w:rPr>
              <w:t>Udgiftsområde i den flerårige finansielle ramme</w:t>
            </w:r>
          </w:p>
        </w:tc>
        <w:tc>
          <w:tcPr>
            <w:tcW w:w="300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Udgiftens</w:t>
            </w:r>
            <w:r>
              <w:rPr>
                <w:noProof/>
                <w:sz w:val="22"/>
              </w:rPr>
              <w:br/>
            </w:r>
            <w:r>
              <w:rPr>
                <w:noProof/>
                <w:sz w:val="18"/>
              </w:rPr>
              <w:t>art</w:t>
            </w:r>
          </w:p>
        </w:tc>
        <w:tc>
          <w:tcPr>
            <w:tcW w:w="5160" w:type="dxa"/>
            <w:gridSpan w:val="4"/>
            <w:vAlign w:val="center"/>
          </w:tcPr>
          <w:p>
            <w:pPr>
              <w:spacing w:before="60" w:after="60"/>
              <w:jc w:val="center"/>
              <w:rPr>
                <w:noProof/>
                <w:sz w:val="22"/>
              </w:rPr>
            </w:pPr>
            <w:r>
              <w:rPr>
                <w:noProof/>
                <w:sz w:val="20"/>
              </w:rPr>
              <w:t xml:space="preserve">Bidrag </w:t>
            </w:r>
          </w:p>
        </w:tc>
      </w:tr>
      <w:tr>
        <w:tc>
          <w:tcPr>
            <w:tcW w:w="1320" w:type="dxa"/>
            <w:vMerge/>
            <w:vAlign w:val="center"/>
          </w:tcPr>
          <w:p>
            <w:pPr>
              <w:jc w:val="center"/>
              <w:rPr>
                <w:noProof/>
                <w:sz w:val="22"/>
              </w:rPr>
            </w:pPr>
          </w:p>
        </w:tc>
        <w:tc>
          <w:tcPr>
            <w:tcW w:w="3000" w:type="dxa"/>
            <w:vAlign w:val="center"/>
          </w:tcPr>
          <w:p>
            <w:pPr>
              <w:rPr>
                <w:noProof/>
                <w:sz w:val="22"/>
              </w:rPr>
            </w:pPr>
            <w:r>
              <w:rPr>
                <w:noProof/>
                <w:sz w:val="20"/>
              </w:rPr>
              <w:t xml:space="preserve">Nummer </w:t>
            </w:r>
            <w:r>
              <w:rPr>
                <w:noProof/>
                <w:sz w:val="22"/>
              </w:rPr>
              <w:br/>
            </w:r>
            <w:r>
              <w:rPr>
                <w:noProof/>
                <w:sz w:val="20"/>
              </w:rPr>
              <w:t>[Udgiftsområde….....................…]</w:t>
            </w:r>
          </w:p>
        </w:tc>
        <w:tc>
          <w:tcPr>
            <w:tcW w:w="1080" w:type="dxa"/>
            <w:vAlign w:val="center"/>
          </w:tcPr>
          <w:p>
            <w:pPr>
              <w:jc w:val="center"/>
              <w:rPr>
                <w:noProof/>
                <w:sz w:val="22"/>
              </w:rPr>
            </w:pPr>
            <w:r>
              <w:rPr>
                <w:noProof/>
                <w:sz w:val="18"/>
              </w:rPr>
              <w:t>OB/IOB</w:t>
            </w:r>
          </w:p>
        </w:tc>
        <w:tc>
          <w:tcPr>
            <w:tcW w:w="1080" w:type="dxa"/>
            <w:vAlign w:val="center"/>
          </w:tcPr>
          <w:p>
            <w:pPr>
              <w:jc w:val="center"/>
              <w:rPr>
                <w:noProof/>
                <w:sz w:val="18"/>
              </w:rPr>
            </w:pPr>
            <w:r>
              <w:rPr>
                <w:noProof/>
                <w:sz w:val="18"/>
              </w:rPr>
              <w:t>fra EFTA-lande</w:t>
            </w:r>
          </w:p>
        </w:tc>
        <w:tc>
          <w:tcPr>
            <w:tcW w:w="1320" w:type="dxa"/>
            <w:vAlign w:val="center"/>
          </w:tcPr>
          <w:p>
            <w:pPr>
              <w:jc w:val="center"/>
              <w:rPr>
                <w:noProof/>
                <w:sz w:val="18"/>
              </w:rPr>
            </w:pPr>
            <w:r>
              <w:rPr>
                <w:noProof/>
                <w:sz w:val="18"/>
              </w:rPr>
              <w:t>fra kandidatlande</w:t>
            </w:r>
          </w:p>
        </w:tc>
        <w:tc>
          <w:tcPr>
            <w:tcW w:w="1080" w:type="dxa"/>
            <w:vAlign w:val="center"/>
          </w:tcPr>
          <w:p>
            <w:pPr>
              <w:jc w:val="center"/>
              <w:rPr>
                <w:noProof/>
                <w:sz w:val="18"/>
              </w:rPr>
            </w:pPr>
            <w:r>
              <w:rPr>
                <w:noProof/>
                <w:sz w:val="18"/>
              </w:rPr>
              <w:t>fra tredjelande</w:t>
            </w:r>
          </w:p>
        </w:tc>
        <w:tc>
          <w:tcPr>
            <w:tcW w:w="1680" w:type="dxa"/>
            <w:vAlign w:val="center"/>
          </w:tcPr>
          <w:p>
            <w:pPr>
              <w:jc w:val="center"/>
              <w:rPr>
                <w:noProof/>
                <w:sz w:val="22"/>
              </w:rPr>
            </w:pPr>
            <w:r>
              <w:rPr>
                <w:noProof/>
                <w:sz w:val="16"/>
              </w:rPr>
              <w:t xml:space="preserve">iht. finansforordningens artikel 21, stk. 2, litra b) </w:t>
            </w:r>
          </w:p>
        </w:tc>
      </w:tr>
      <w:tr>
        <w:tc>
          <w:tcPr>
            <w:tcW w:w="1320" w:type="dxa"/>
            <w:vAlign w:val="center"/>
          </w:tcPr>
          <w:p>
            <w:pPr>
              <w:jc w:val="center"/>
              <w:rPr>
                <w:noProof/>
                <w:color w:val="0000FF"/>
                <w:sz w:val="22"/>
              </w:rPr>
            </w:pPr>
          </w:p>
        </w:tc>
        <w:tc>
          <w:tcPr>
            <w:tcW w:w="300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1080" w:type="dxa"/>
            <w:vAlign w:val="center"/>
          </w:tcPr>
          <w:p>
            <w:pPr>
              <w:jc w:val="center"/>
              <w:rPr>
                <w:noProof/>
                <w:sz w:val="22"/>
              </w:rPr>
            </w:pPr>
            <w:r>
              <w:rPr>
                <w:noProof/>
                <w:sz w:val="22"/>
              </w:rPr>
              <w:t>JA/NEJ</w:t>
            </w:r>
          </w:p>
        </w:tc>
        <w:tc>
          <w:tcPr>
            <w:tcW w:w="1320" w:type="dxa"/>
            <w:vAlign w:val="center"/>
          </w:tcPr>
          <w:p>
            <w:pPr>
              <w:jc w:val="center"/>
              <w:rPr>
                <w:noProof/>
                <w:color w:val="0000FF"/>
                <w:sz w:val="18"/>
              </w:rPr>
            </w:pPr>
            <w:r>
              <w:rPr>
                <w:noProof/>
                <w:sz w:val="22"/>
              </w:rPr>
              <w:t>JA/NEJ</w:t>
            </w:r>
          </w:p>
        </w:tc>
        <w:tc>
          <w:tcPr>
            <w:tcW w:w="1080" w:type="dxa"/>
            <w:vAlign w:val="center"/>
          </w:tcPr>
          <w:p>
            <w:pPr>
              <w:jc w:val="center"/>
              <w:rPr>
                <w:noProof/>
                <w:color w:val="0000FF"/>
                <w:sz w:val="18"/>
              </w:rPr>
            </w:pPr>
            <w:r>
              <w:rPr>
                <w:noProof/>
                <w:sz w:val="22"/>
              </w:rPr>
              <w:t>JA/NEJ</w:t>
            </w:r>
          </w:p>
        </w:tc>
        <w:tc>
          <w:tcPr>
            <w:tcW w:w="1680" w:type="dxa"/>
            <w:vAlign w:val="center"/>
          </w:tcPr>
          <w:p>
            <w:pPr>
              <w:jc w:val="center"/>
              <w:rPr>
                <w:noProof/>
                <w:sz w:val="22"/>
              </w:rPr>
            </w:pPr>
            <w:r>
              <w:rPr>
                <w:noProof/>
                <w:sz w:val="22"/>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Anslåede virkninger for udgifterne </w:t>
      </w:r>
    </w:p>
    <w:p>
      <w:pPr>
        <w:pStyle w:val="ManualHeading3"/>
        <w:rPr>
          <w:noProof/>
          <w:u w:val="single"/>
        </w:rPr>
      </w:pPr>
      <w:r>
        <w:rPr>
          <w:noProof/>
        </w:rPr>
        <w:t>3.2.1.</w:t>
      </w:r>
      <w:r>
        <w:rPr>
          <w:noProof/>
        </w:rPr>
        <w:tab/>
        <w:t xml:space="preserve">Sammenfatning af de anslåede virkninger for udgifterne </w:t>
      </w:r>
    </w:p>
    <w:p>
      <w:pPr>
        <w:jc w:val="right"/>
        <w:rPr>
          <w:noProof/>
          <w:sz w:val="20"/>
          <w:lang w:val="it-IT"/>
        </w:rPr>
      </w:pPr>
      <w:r>
        <w:rPr>
          <w:noProof/>
          <w:sz w:val="20"/>
          <w:lang w:val="it-IT"/>
        </w:rPr>
        <w:t>i mio. EUR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060203 Det Europæiske Søfartssikkerhedsagentur</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1881"/>
        <w:gridCol w:w="2027"/>
      </w:tblGrid>
      <w:tr>
        <w:tc>
          <w:tcPr>
            <w:tcW w:w="396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Det Europæiske Søfartssikkerhedsagentur</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p>
        </w:tc>
        <w:tc>
          <w:tcPr>
            <w:tcW w:w="96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2017</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2018</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2019</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2020</w:t>
            </w:r>
          </w:p>
        </w:tc>
        <w:tc>
          <w:tcPr>
            <w:tcW w:w="1881"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2021</w:t>
            </w:r>
            <w:r>
              <w:rPr>
                <w:b/>
                <w:noProof/>
                <w:sz w:val="18"/>
                <w:vertAlign w:val="superscript"/>
              </w:rPr>
              <w:t>*1</w:t>
            </w:r>
          </w:p>
        </w:tc>
        <w:tc>
          <w:tcPr>
            <w:tcW w:w="20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UDGIFTSOMRÅDE</w:t>
            </w:r>
            <w:r>
              <w:rPr>
                <w:b/>
                <w:noProof/>
                <w:sz w:val="18"/>
                <w:vertAlign w:val="superscript"/>
              </w:rPr>
              <w:t>*2</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Afsnit 1:</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Forpligtelser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€ 1,034</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€ 1,423</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€ 1,385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€ 1,408</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€ 0,000</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€ 5,250</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Betalinger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€ 1,034</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€ 1,423</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€ 1,385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€ 1,408</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€ 0,000</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€ 5,250</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Afsnit 2:</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Forpligtelser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€ 0,086</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€ 0,182</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€ 0,185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€ 0,190</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€ 0,000</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€ 0,643</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Betalinger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€ 0,086</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€ 0,182</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€ 0,185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€ 0,190</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€ 0,000</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€ 0,643</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Afsnit 3:</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Forpligtelser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€ 16,550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€ 21,502</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€ 21,578</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€ 21,678</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€ 0,000</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€ 81,308</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Betalinger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€ 9,930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€ 19,521</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€ 21,548</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€ 21,638</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€ 8,671</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€ 72,637</w:t>
            </w:r>
          </w:p>
        </w:tc>
      </w:tr>
      <w:tr>
        <w:tc>
          <w:tcPr>
            <w:tcW w:w="3960" w:type="dxa"/>
            <w:vMerge w:val="restart"/>
            <w:tcBorders>
              <w:top w:val="single" w:sz="4" w:space="0" w:color="auto"/>
              <w:left w:val="single" w:sz="4" w:space="0" w:color="auto"/>
              <w:right w:val="single" w:sz="4" w:space="0" w:color="auto"/>
            </w:tcBorders>
            <w:vAlign w:val="center"/>
          </w:tcPr>
          <w:p>
            <w:pPr>
              <w:jc w:val="center"/>
              <w:rPr>
                <w:b/>
                <w:noProof/>
                <w:sz w:val="18"/>
                <w:szCs w:val="18"/>
              </w:rPr>
            </w:pPr>
            <w:r>
              <w:rPr>
                <w:b/>
                <w:noProof/>
                <w:sz w:val="18"/>
              </w:rPr>
              <w:t>Bevillinger I ALT</w:t>
            </w:r>
            <w:r>
              <w:rPr>
                <w:b/>
                <w:noProof/>
                <w:sz w:val="18"/>
                <w:szCs w:val="18"/>
              </w:rPr>
              <w:br/>
            </w:r>
            <w:r>
              <w:rPr>
                <w:b/>
                <w:noProof/>
                <w:sz w:val="18"/>
              </w:rPr>
              <w:t>til Det Europæiske Søfartssikkerhedsagentur</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Forpligtelser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=1+1a +3a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€ 17,670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€ 23,107</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€ 23,148</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€ 23,276</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€ 0,000</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€ 87,201</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Betalinger</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=2+2a</w:t>
            </w:r>
          </w:p>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€ 11,050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€ 21,126</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€ 23,117</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€ 23,236</w:t>
            </w:r>
          </w:p>
        </w:tc>
        <w:tc>
          <w:tcPr>
            <w:tcW w:w="188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€ 8,671</w:t>
            </w:r>
          </w:p>
        </w:tc>
        <w:tc>
          <w:tcPr>
            <w:tcW w:w="202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€ 78,530</w:t>
            </w:r>
          </w:p>
        </w:tc>
      </w:tr>
    </w:tbl>
    <w:p>
      <w:pPr>
        <w:rPr>
          <w:noProof/>
        </w:rPr>
      </w:pPr>
      <w:r>
        <w:rPr>
          <w:noProof/>
        </w:rPr>
        <w:br/>
      </w:r>
      <w:r>
        <w:rPr>
          <w:noProof/>
          <w:sz w:val="18"/>
        </w:rPr>
        <w:t>*1</w:t>
      </w:r>
      <w:r>
        <w:rPr>
          <w:noProof/>
        </w:rPr>
        <w:t xml:space="preserve"> Ikke omfattet af den nuværende FFR</w:t>
      </w:r>
    </w:p>
    <w:p>
      <w:pPr>
        <w:rPr>
          <w:noProof/>
        </w:rPr>
      </w:pPr>
      <w:r>
        <w:rPr>
          <w:noProof/>
          <w:sz w:val="18"/>
        </w:rPr>
        <w:t>*2</w:t>
      </w:r>
      <w:r>
        <w:rPr>
          <w:noProof/>
        </w:rPr>
        <w:t xml:space="preserve"> I alt for den nuværende FFR.</w:t>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"Administrative udgifter"</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p>
        </w:tc>
        <w:tc>
          <w:tcPr>
            <w:tcW w:w="868" w:type="dxa"/>
            <w:vAlign w:val="center"/>
          </w:tcPr>
          <w:p>
            <w:pPr>
              <w:jc w:val="center"/>
              <w:rPr>
                <w:noProof/>
                <w:sz w:val="20"/>
              </w:rPr>
            </w:pPr>
            <w:r>
              <w:rPr>
                <w:noProof/>
                <w:sz w:val="20"/>
              </w:rPr>
              <w:t>År</w:t>
            </w:r>
            <w:r>
              <w:rPr>
                <w:noProof/>
                <w:sz w:val="22"/>
              </w:rPr>
              <w:br/>
            </w:r>
            <w:r>
              <w:rPr>
                <w:b/>
                <w:noProof/>
                <w:sz w:val="20"/>
              </w:rPr>
              <w:t>N+1</w:t>
            </w:r>
          </w:p>
        </w:tc>
        <w:tc>
          <w:tcPr>
            <w:tcW w:w="868" w:type="dxa"/>
            <w:vAlign w:val="center"/>
          </w:tcPr>
          <w:p>
            <w:pPr>
              <w:jc w:val="center"/>
              <w:rPr>
                <w:noProof/>
                <w:sz w:val="20"/>
              </w:rPr>
            </w:pPr>
            <w:r>
              <w:rPr>
                <w:noProof/>
                <w:sz w:val="20"/>
              </w:rPr>
              <w:t>År</w:t>
            </w:r>
            <w:r>
              <w:rPr>
                <w:noProof/>
                <w:sz w:val="22"/>
              </w:rPr>
              <w:br/>
            </w:r>
            <w:r>
              <w:rPr>
                <w:b/>
                <w:noProof/>
                <w:sz w:val="20"/>
              </w:rPr>
              <w:t>N+2</w:t>
            </w:r>
          </w:p>
        </w:tc>
        <w:tc>
          <w:tcPr>
            <w:tcW w:w="868" w:type="dxa"/>
            <w:vAlign w:val="center"/>
          </w:tcPr>
          <w:p>
            <w:pPr>
              <w:jc w:val="center"/>
              <w:rPr>
                <w:noProof/>
                <w:sz w:val="20"/>
              </w:rPr>
            </w:pPr>
            <w:r>
              <w:rPr>
                <w:noProof/>
                <w:sz w:val="20"/>
              </w:rPr>
              <w:t>År</w:t>
            </w:r>
            <w:r>
              <w:rPr>
                <w:noProof/>
                <w:sz w:val="22"/>
              </w:rPr>
              <w:br/>
            </w:r>
            <w:r>
              <w:rPr>
                <w:b/>
                <w:noProof/>
                <w:sz w:val="20"/>
              </w:rPr>
              <w:t>N+3</w:t>
            </w:r>
          </w:p>
        </w:tc>
        <w:tc>
          <w:tcPr>
            <w:tcW w:w="2604" w:type="dxa"/>
            <w:gridSpan w:val="3"/>
            <w:vAlign w:val="center"/>
          </w:tcPr>
          <w:p>
            <w:pPr>
              <w:jc w:val="center"/>
              <w:rPr>
                <w:b/>
                <w:noProof/>
                <w:sz w:val="18"/>
              </w:rPr>
            </w:pPr>
            <w:r>
              <w:rPr>
                <w:noProof/>
                <w:sz w:val="18"/>
              </w:rPr>
              <w:t>Der indsættes flere år, hvis virkningerne varer længere</w:t>
            </w:r>
            <w:r>
              <w:rPr>
                <w:noProof/>
                <w:sz w:val="18"/>
              </w:rPr>
              <w:br/>
              <w:t xml:space="preserve"> (jf. punkt 1.6) </w:t>
            </w: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sz w:val="22"/>
              </w:rPr>
            </w:pPr>
            <w:r>
              <w:rPr>
                <w:noProof/>
                <w:sz w:val="22"/>
              </w:rPr>
              <w:t>DG: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Menneskelige ressourcer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rPr>
              <w:t>I ALT GD</w:t>
            </w:r>
            <w:r>
              <w:rPr>
                <w:noProof/>
              </w:rPr>
              <w:t xml:space="preserve"> &lt;….&gt;</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sz w:val="22"/>
              </w:rPr>
            </w:pPr>
            <w:r>
              <w:rPr>
                <w:noProof/>
                <w:sz w:val="18"/>
              </w:rPr>
              <w:t>(Forpligtelser i alt = betalinger i alt)</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395"/>
        <w:gridCol w:w="868"/>
        <w:gridCol w:w="868"/>
        <w:gridCol w:w="1777"/>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969" w:type="dxa"/>
            <w:vAlign w:val="center"/>
          </w:tcPr>
          <w:p>
            <w:pPr>
              <w:jc w:val="center"/>
              <w:rPr>
                <w:noProof/>
                <w:sz w:val="20"/>
              </w:rPr>
            </w:pPr>
            <w:r>
              <w:rPr>
                <w:noProof/>
                <w:sz w:val="20"/>
              </w:rPr>
              <w:t>2017</w:t>
            </w:r>
          </w:p>
        </w:tc>
        <w:tc>
          <w:tcPr>
            <w:tcW w:w="992" w:type="dxa"/>
            <w:vAlign w:val="center"/>
          </w:tcPr>
          <w:p>
            <w:pPr>
              <w:jc w:val="center"/>
              <w:rPr>
                <w:noProof/>
                <w:sz w:val="20"/>
              </w:rPr>
            </w:pPr>
            <w:r>
              <w:rPr>
                <w:noProof/>
                <w:sz w:val="20"/>
              </w:rPr>
              <w:t>2018</w:t>
            </w:r>
          </w:p>
        </w:tc>
        <w:tc>
          <w:tcPr>
            <w:tcW w:w="992" w:type="dxa"/>
            <w:vAlign w:val="center"/>
          </w:tcPr>
          <w:p>
            <w:pPr>
              <w:jc w:val="center"/>
              <w:rPr>
                <w:noProof/>
                <w:sz w:val="20"/>
              </w:rPr>
            </w:pPr>
            <w:r>
              <w:rPr>
                <w:noProof/>
                <w:sz w:val="20"/>
              </w:rPr>
              <w:t>2019</w:t>
            </w:r>
          </w:p>
        </w:tc>
        <w:tc>
          <w:tcPr>
            <w:tcW w:w="992" w:type="dxa"/>
            <w:vAlign w:val="center"/>
          </w:tcPr>
          <w:p>
            <w:pPr>
              <w:jc w:val="center"/>
              <w:rPr>
                <w:noProof/>
                <w:sz w:val="20"/>
              </w:rPr>
            </w:pPr>
            <w:r>
              <w:rPr>
                <w:noProof/>
                <w:sz w:val="20"/>
              </w:rPr>
              <w:t>2020</w:t>
            </w:r>
          </w:p>
        </w:tc>
        <w:tc>
          <w:tcPr>
            <w:tcW w:w="2131"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sz w:val="22"/>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969" w:type="dxa"/>
          </w:tcPr>
          <w:p>
            <w:pPr>
              <w:rPr>
                <w:noProof/>
                <w:sz w:val="18"/>
                <w:szCs w:val="18"/>
              </w:rPr>
            </w:pPr>
            <w:r>
              <w:rPr>
                <w:noProof/>
                <w:sz w:val="18"/>
              </w:rPr>
              <w:t>€ 17,670</w:t>
            </w:r>
          </w:p>
        </w:tc>
        <w:tc>
          <w:tcPr>
            <w:tcW w:w="992" w:type="dxa"/>
          </w:tcPr>
          <w:p>
            <w:pPr>
              <w:rPr>
                <w:noProof/>
                <w:sz w:val="18"/>
                <w:szCs w:val="18"/>
              </w:rPr>
            </w:pPr>
            <w:r>
              <w:rPr>
                <w:noProof/>
                <w:sz w:val="18"/>
              </w:rPr>
              <w:t>€ 23,107</w:t>
            </w:r>
          </w:p>
        </w:tc>
        <w:tc>
          <w:tcPr>
            <w:tcW w:w="992" w:type="dxa"/>
          </w:tcPr>
          <w:p>
            <w:pPr>
              <w:rPr>
                <w:noProof/>
                <w:sz w:val="18"/>
                <w:szCs w:val="18"/>
              </w:rPr>
            </w:pPr>
            <w:r>
              <w:rPr>
                <w:noProof/>
                <w:sz w:val="18"/>
              </w:rPr>
              <w:t>€ 23,148</w:t>
            </w:r>
          </w:p>
        </w:tc>
        <w:tc>
          <w:tcPr>
            <w:tcW w:w="992" w:type="dxa"/>
          </w:tcPr>
          <w:p>
            <w:pPr>
              <w:rPr>
                <w:noProof/>
                <w:sz w:val="18"/>
                <w:szCs w:val="18"/>
              </w:rPr>
            </w:pPr>
            <w:r>
              <w:rPr>
                <w:noProof/>
                <w:sz w:val="18"/>
              </w:rPr>
              <w:t>€ 23,276</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€ 87,201</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969" w:type="dxa"/>
          </w:tcPr>
          <w:p>
            <w:pPr>
              <w:rPr>
                <w:noProof/>
                <w:sz w:val="18"/>
                <w:szCs w:val="18"/>
              </w:rPr>
            </w:pPr>
            <w:r>
              <w:rPr>
                <w:noProof/>
                <w:sz w:val="18"/>
              </w:rPr>
              <w:t>€ 11,050</w:t>
            </w:r>
          </w:p>
        </w:tc>
        <w:tc>
          <w:tcPr>
            <w:tcW w:w="992" w:type="dxa"/>
          </w:tcPr>
          <w:p>
            <w:pPr>
              <w:rPr>
                <w:noProof/>
                <w:sz w:val="18"/>
                <w:szCs w:val="18"/>
              </w:rPr>
            </w:pPr>
            <w:r>
              <w:rPr>
                <w:noProof/>
                <w:sz w:val="18"/>
              </w:rPr>
              <w:t>€ 21,126</w:t>
            </w:r>
          </w:p>
        </w:tc>
        <w:tc>
          <w:tcPr>
            <w:tcW w:w="992" w:type="dxa"/>
          </w:tcPr>
          <w:p>
            <w:pPr>
              <w:rPr>
                <w:noProof/>
                <w:sz w:val="18"/>
                <w:szCs w:val="18"/>
              </w:rPr>
            </w:pPr>
            <w:r>
              <w:rPr>
                <w:noProof/>
                <w:sz w:val="18"/>
              </w:rPr>
              <w:t>€ 23,117</w:t>
            </w:r>
          </w:p>
        </w:tc>
        <w:tc>
          <w:tcPr>
            <w:tcW w:w="992" w:type="dxa"/>
          </w:tcPr>
          <w:p>
            <w:pPr>
              <w:rPr>
                <w:noProof/>
                <w:sz w:val="18"/>
                <w:szCs w:val="18"/>
              </w:rPr>
            </w:pPr>
            <w:r>
              <w:rPr>
                <w:noProof/>
                <w:sz w:val="18"/>
              </w:rPr>
              <w:t>€ 23,236</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€ 78,530</w:t>
            </w: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sym w:font="Wingdings" w:char="F078"/>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14400" w:type="dxa"/>
        <w:tblInd w:w="348" w:type="dxa"/>
        <w:tblLayout w:type="fixed"/>
        <w:tblLook w:val="04A0" w:firstRow="1" w:lastRow="0" w:firstColumn="1" w:lastColumn="0" w:noHBand="0" w:noVBand="1"/>
      </w:tblPr>
      <w:tblGrid>
        <w:gridCol w:w="2760"/>
        <w:gridCol w:w="840"/>
        <w:gridCol w:w="311"/>
        <w:gridCol w:w="1009"/>
        <w:gridCol w:w="840"/>
        <w:gridCol w:w="960"/>
        <w:gridCol w:w="1115"/>
        <w:gridCol w:w="1045"/>
        <w:gridCol w:w="840"/>
        <w:gridCol w:w="1080"/>
        <w:gridCol w:w="960"/>
        <w:gridCol w:w="960"/>
        <w:gridCol w:w="720"/>
        <w:gridCol w:w="960"/>
      </w:tblGrid>
      <w:tr>
        <w:trPr>
          <w:trHeight w:val="315"/>
        </w:trPr>
        <w:tc>
          <w:tcPr>
            <w:tcW w:w="2760" w:type="dxa"/>
            <w:tcBorders>
              <w:top w:val="nil"/>
              <w:left w:val="nil"/>
              <w:bottom w:val="single" w:sz="8" w:space="0" w:color="auto"/>
              <w:right w:val="nil"/>
            </w:tcBorders>
            <w:shd w:val="clear" w:color="auto" w:fill="auto"/>
            <w:noWrap/>
            <w:vAlign w:val="bottom"/>
          </w:tcPr>
          <w:p>
            <w:pPr>
              <w:spacing w:before="0" w:after="0"/>
              <w:jc w:val="left"/>
              <w:rPr>
                <w:noProof/>
                <w:color w:val="000000"/>
                <w:sz w:val="18"/>
                <w:szCs w:val="18"/>
              </w:rPr>
            </w:pPr>
            <w:r>
              <w:rPr>
                <w:noProof/>
                <w:color w:val="000000"/>
                <w:sz w:val="18"/>
              </w:rPr>
              <w:t> </w:t>
            </w:r>
          </w:p>
        </w:tc>
        <w:tc>
          <w:tcPr>
            <w:tcW w:w="1151" w:type="dxa"/>
            <w:gridSpan w:val="2"/>
            <w:tcBorders>
              <w:top w:val="nil"/>
              <w:left w:val="nil"/>
              <w:bottom w:val="single" w:sz="8" w:space="0" w:color="auto"/>
              <w:right w:val="nil"/>
            </w:tcBorders>
          </w:tcPr>
          <w:p>
            <w:pPr>
              <w:spacing w:before="0" w:after="0"/>
              <w:jc w:val="left"/>
              <w:rPr>
                <w:noProof/>
                <w:color w:val="000000"/>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pPr>
              <w:spacing w:before="0" w:after="0"/>
              <w:jc w:val="left"/>
              <w:rPr>
                <w:noProof/>
                <w:color w:val="000000"/>
                <w:sz w:val="18"/>
                <w:szCs w:val="18"/>
              </w:rPr>
            </w:pPr>
            <w:r>
              <w:rPr>
                <w:noProof/>
                <w:color w:val="000000"/>
                <w:sz w:val="18"/>
              </w:rPr>
              <w:t> </w:t>
            </w:r>
          </w:p>
        </w:tc>
        <w:tc>
          <w:tcPr>
            <w:tcW w:w="1800"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2017</w:t>
            </w:r>
          </w:p>
        </w:tc>
        <w:tc>
          <w:tcPr>
            <w:tcW w:w="2160"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2018</w:t>
            </w:r>
          </w:p>
        </w:tc>
        <w:tc>
          <w:tcPr>
            <w:tcW w:w="1920"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2019</w:t>
            </w:r>
          </w:p>
        </w:tc>
        <w:tc>
          <w:tcPr>
            <w:tcW w:w="1920" w:type="dxa"/>
            <w:gridSpan w:val="2"/>
            <w:tcBorders>
              <w:top w:val="single" w:sz="8" w:space="0" w:color="auto"/>
              <w:left w:val="nil"/>
              <w:bottom w:val="single" w:sz="4" w:space="0" w:color="auto"/>
              <w:right w:val="nil"/>
            </w:tcBorders>
            <w:shd w:val="clear" w:color="auto" w:fill="auto"/>
            <w:noWrap/>
            <w:vAlign w:val="center"/>
          </w:tcPr>
          <w:p>
            <w:pPr>
              <w:spacing w:before="0" w:after="0"/>
              <w:jc w:val="center"/>
              <w:rPr>
                <w:b/>
                <w:bCs/>
                <w:noProof/>
                <w:color w:val="000000"/>
                <w:sz w:val="18"/>
                <w:szCs w:val="18"/>
              </w:rPr>
            </w:pPr>
            <w:r>
              <w:rPr>
                <w:b/>
                <w:noProof/>
                <w:color w:val="000000"/>
                <w:sz w:val="18"/>
              </w:rPr>
              <w:t>2020</w:t>
            </w:r>
          </w:p>
        </w:tc>
        <w:tc>
          <w:tcPr>
            <w:tcW w:w="16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b/>
                <w:bCs/>
                <w:noProof/>
                <w:color w:val="000000"/>
                <w:sz w:val="18"/>
                <w:szCs w:val="18"/>
              </w:rPr>
            </w:pPr>
            <w:r>
              <w:rPr>
                <w:b/>
                <w:noProof/>
                <w:color w:val="000000"/>
                <w:sz w:val="18"/>
              </w:rPr>
              <w:t>I alt</w:t>
            </w:r>
          </w:p>
        </w:tc>
      </w:tr>
      <w:tr>
        <w:trPr>
          <w:cantSplit/>
          <w:trHeight w:val="369"/>
        </w:trPr>
        <w:tc>
          <w:tcPr>
            <w:tcW w:w="2760" w:type="dxa"/>
            <w:vMerge w:val="restart"/>
            <w:tcBorders>
              <w:top w:val="nil"/>
              <w:left w:val="single" w:sz="8" w:space="0" w:color="auto"/>
              <w:right w:val="single" w:sz="8" w:space="0" w:color="auto"/>
            </w:tcBorders>
            <w:shd w:val="clear" w:color="auto" w:fill="auto"/>
            <w:vAlign w:val="center"/>
          </w:tcPr>
          <w:p>
            <w:pPr>
              <w:ind w:right="-29"/>
              <w:jc w:val="center"/>
              <w:rPr>
                <w:b/>
                <w:noProof/>
                <w:sz w:val="18"/>
              </w:rPr>
            </w:pPr>
            <w:r>
              <w:rPr>
                <w:b/>
                <w:noProof/>
                <w:sz w:val="18"/>
              </w:rPr>
              <w:t xml:space="preserve">Der angives mål og resultater </w:t>
            </w:r>
          </w:p>
          <w:p>
            <w:pPr>
              <w:ind w:right="-29"/>
              <w:jc w:val="center"/>
              <w:rPr>
                <w:b/>
                <w:noProof/>
                <w:sz w:val="18"/>
              </w:rPr>
            </w:pPr>
          </w:p>
          <w:p>
            <w:pPr>
              <w:spacing w:before="0" w:after="0"/>
              <w:jc w:val="center"/>
              <w:rPr>
                <w:b/>
                <w:noProof/>
                <w:sz w:val="18"/>
              </w:rPr>
            </w:pPr>
            <w:r>
              <w:rPr>
                <w:noProof/>
                <w:sz w:val="18"/>
              </w:rPr>
              <w:sym w:font="Wingdings" w:char="F0F2"/>
            </w:r>
          </w:p>
        </w:tc>
        <w:tc>
          <w:tcPr>
            <w:tcW w:w="11640" w:type="dxa"/>
            <w:gridSpan w:val="13"/>
            <w:tcBorders>
              <w:top w:val="single" w:sz="8" w:space="0" w:color="auto"/>
              <w:left w:val="nil"/>
              <w:bottom w:val="single" w:sz="8" w:space="0" w:color="auto"/>
              <w:right w:val="single" w:sz="8" w:space="0" w:color="auto"/>
            </w:tcBorders>
            <w:vAlign w:val="center"/>
          </w:tcPr>
          <w:p>
            <w:pPr>
              <w:spacing w:before="0" w:after="0"/>
              <w:jc w:val="center"/>
              <w:rPr>
                <w:b/>
                <w:bCs/>
                <w:noProof/>
                <w:color w:val="000000"/>
                <w:sz w:val="18"/>
                <w:szCs w:val="18"/>
              </w:rPr>
            </w:pPr>
            <w:r>
              <w:rPr>
                <w:b/>
                <w:noProof/>
                <w:color w:val="000000"/>
                <w:sz w:val="18"/>
              </w:rPr>
              <w:t>RESULTATER</w:t>
            </w:r>
          </w:p>
        </w:tc>
      </w:tr>
      <w:tr>
        <w:trPr>
          <w:cantSplit/>
          <w:trHeight w:val="559"/>
        </w:trPr>
        <w:tc>
          <w:tcPr>
            <w:tcW w:w="2760" w:type="dxa"/>
            <w:vMerge/>
            <w:tcBorders>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pPr>
              <w:spacing w:before="0" w:after="0"/>
              <w:jc w:val="center"/>
              <w:rPr>
                <w:bCs/>
                <w:noProof/>
                <w:color w:val="000000"/>
                <w:sz w:val="18"/>
                <w:szCs w:val="18"/>
              </w:rPr>
            </w:pPr>
            <w:r>
              <w:rPr>
                <w:noProof/>
                <w:color w:val="000000"/>
                <w:sz w:val="18"/>
              </w:rPr>
              <w:t>Type</w:t>
            </w:r>
          </w:p>
        </w:tc>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r>
              <w:rPr>
                <w:noProof/>
                <w:color w:val="000000"/>
                <w:sz w:val="18"/>
              </w:rPr>
              <w:t>Resultaternes gnsntl. omkostninger</w:t>
            </w:r>
          </w:p>
        </w:tc>
        <w:tc>
          <w:tcPr>
            <w:tcW w:w="840"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An</w:t>
            </w:r>
            <w:r>
              <w:rPr>
                <w:noProof/>
                <w:color w:val="000000"/>
                <w:sz w:val="18"/>
              </w:rPr>
              <w:softHyphen/>
              <w:t>tal</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Omkost-ninger</w:t>
            </w:r>
          </w:p>
        </w:tc>
        <w:tc>
          <w:tcPr>
            <w:tcW w:w="111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An</w:t>
            </w:r>
            <w:r>
              <w:rPr>
                <w:noProof/>
                <w:color w:val="000000"/>
                <w:sz w:val="18"/>
              </w:rPr>
              <w:softHyphen/>
              <w:t>tal</w:t>
            </w:r>
          </w:p>
        </w:tc>
        <w:tc>
          <w:tcPr>
            <w:tcW w:w="1045"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Omkost-ninger</w:t>
            </w:r>
          </w:p>
        </w:tc>
        <w:tc>
          <w:tcPr>
            <w:tcW w:w="840"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An</w:t>
            </w:r>
            <w:r>
              <w:rPr>
                <w:noProof/>
                <w:color w:val="000000"/>
                <w:sz w:val="18"/>
              </w:rPr>
              <w:softHyphen/>
              <w:t>tal</w:t>
            </w:r>
          </w:p>
        </w:tc>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Omkost-ninger</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An</w:t>
            </w:r>
            <w:r>
              <w:rPr>
                <w:noProof/>
                <w:color w:val="000000"/>
                <w:sz w:val="18"/>
              </w:rPr>
              <w:softHyphen/>
              <w:t>tal</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Omkost-ninger</w:t>
            </w:r>
          </w:p>
        </w:tc>
        <w:tc>
          <w:tcPr>
            <w:tcW w:w="720"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bCs/>
                <w:noProof/>
                <w:color w:val="000000"/>
                <w:sz w:val="18"/>
                <w:szCs w:val="18"/>
              </w:rPr>
            </w:pPr>
            <w:r>
              <w:rPr>
                <w:noProof/>
                <w:color w:val="000000"/>
                <w:sz w:val="18"/>
              </w:rPr>
              <w:t>An</w:t>
            </w:r>
            <w:r>
              <w:rPr>
                <w:noProof/>
                <w:color w:val="000000"/>
                <w:sz w:val="18"/>
              </w:rPr>
              <w:softHyphen/>
              <w:t>tal</w:t>
            </w:r>
          </w:p>
        </w:tc>
        <w:tc>
          <w:tcPr>
            <w:tcW w:w="960" w:type="dxa"/>
            <w:tcBorders>
              <w:top w:val="single" w:sz="8" w:space="0" w:color="auto"/>
              <w:left w:val="single" w:sz="8" w:space="0" w:color="auto"/>
              <w:bottom w:val="single" w:sz="8" w:space="0" w:color="auto"/>
              <w:right w:val="single" w:sz="8" w:space="0" w:color="auto"/>
            </w:tcBorders>
            <w:shd w:val="clear" w:color="000000" w:fill="D9D9D9"/>
            <w:vAlign w:val="center"/>
          </w:tcPr>
          <w:p>
            <w:pPr>
              <w:spacing w:before="0" w:after="0"/>
              <w:jc w:val="center"/>
              <w:rPr>
                <w:bCs/>
                <w:noProof/>
                <w:color w:val="000000"/>
                <w:sz w:val="18"/>
                <w:szCs w:val="18"/>
              </w:rPr>
            </w:pPr>
            <w:r>
              <w:rPr>
                <w:noProof/>
                <w:color w:val="000000"/>
                <w:sz w:val="18"/>
              </w:rPr>
              <w:t>Omkost-ninger</w:t>
            </w:r>
          </w:p>
        </w:tc>
      </w:tr>
      <w:tr>
        <w:trPr>
          <w:cantSplit/>
          <w:trHeight w:val="910"/>
        </w:trPr>
        <w:tc>
          <w:tcPr>
            <w:tcW w:w="276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Specifikt mål nr. 1 </w:t>
            </w:r>
            <w:r>
              <w:rPr>
                <w:b/>
                <w:noProof/>
                <w:color w:val="000000"/>
                <w:sz w:val="18"/>
              </w:rPr>
              <w:br/>
              <w:t xml:space="preserve">(artikel 1a): </w:t>
            </w:r>
            <w:r>
              <w:rPr>
                <w:b/>
                <w:bCs/>
                <w:noProof/>
                <w:color w:val="000000"/>
                <w:sz w:val="18"/>
                <w:szCs w:val="18"/>
              </w:rPr>
              <w:br/>
            </w:r>
            <w:r>
              <w:rPr>
                <w:b/>
                <w:noProof/>
                <w:color w:val="000000"/>
                <w:sz w:val="18"/>
              </w:rPr>
              <w:t>Analyse, samkøring og udveksling af data</w:t>
            </w:r>
          </w:p>
        </w:tc>
        <w:tc>
          <w:tcPr>
            <w:tcW w:w="840" w:type="dxa"/>
            <w:tcBorders>
              <w:top w:val="single" w:sz="8" w:space="0" w:color="auto"/>
              <w:left w:val="single" w:sz="8" w:space="0" w:color="auto"/>
              <w:bottom w:val="single" w:sz="8" w:space="0" w:color="auto"/>
              <w:right w:val="single" w:sz="8" w:space="0" w:color="auto"/>
            </w:tcBorders>
          </w:tcPr>
          <w:p>
            <w:pPr>
              <w:spacing w:before="0" w:after="0"/>
              <w:jc w:val="center"/>
              <w:rPr>
                <w:bCs/>
                <w:noProof/>
                <w:color w:val="000000"/>
                <w:sz w:val="18"/>
                <w:szCs w:val="18"/>
              </w:rPr>
            </w:pPr>
          </w:p>
        </w:tc>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pPr>
              <w:spacing w:before="0" w:after="0"/>
              <w:jc w:val="center"/>
              <w:rPr>
                <w:bCs/>
                <w:noProof/>
                <w:color w:val="000000"/>
                <w:sz w:val="18"/>
                <w:szCs w:val="18"/>
              </w:rPr>
            </w:pPr>
          </w:p>
        </w:tc>
        <w:tc>
          <w:tcPr>
            <w:tcW w:w="84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1115"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045"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84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2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bCs/>
                <w:noProof/>
                <w:color w:val="000000"/>
                <w:sz w:val="18"/>
                <w:szCs w:val="18"/>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p>
        </w:tc>
      </w:tr>
      <w:tr>
        <w:trPr>
          <w:trHeight w:val="255"/>
        </w:trPr>
        <w:tc>
          <w:tcPr>
            <w:tcW w:w="2760"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Tjenester til analyse, samkøring og udveksling af data</w:t>
            </w:r>
          </w:p>
        </w:tc>
        <w:tc>
          <w:tcPr>
            <w:tcW w:w="840" w:type="dxa"/>
            <w:tcBorders>
              <w:top w:val="single" w:sz="8" w:space="0" w:color="auto"/>
              <w:left w:val="single" w:sz="8" w:space="0" w:color="auto"/>
              <w:bottom w:val="single" w:sz="8" w:space="0" w:color="auto"/>
              <w:right w:val="single" w:sz="8" w:space="0" w:color="auto"/>
            </w:tcBorders>
          </w:tcPr>
          <w:p>
            <w:pPr>
              <w:rPr>
                <w:noProof/>
                <w:sz w:val="18"/>
                <w:szCs w:val="18"/>
              </w:rPr>
            </w:pPr>
          </w:p>
        </w:tc>
        <w:tc>
          <w:tcPr>
            <w:tcW w:w="1320" w:type="dxa"/>
            <w:gridSpan w:val="2"/>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84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€ 0,800</w:t>
            </w:r>
          </w:p>
        </w:tc>
        <w:tc>
          <w:tcPr>
            <w:tcW w:w="1115"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045"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€ 0,400</w:t>
            </w:r>
          </w:p>
        </w:tc>
        <w:tc>
          <w:tcPr>
            <w:tcW w:w="84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08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€ 0,400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€ 0,400</w:t>
            </w:r>
          </w:p>
        </w:tc>
        <w:tc>
          <w:tcPr>
            <w:tcW w:w="720"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p>
        </w:tc>
        <w:tc>
          <w:tcPr>
            <w:tcW w:w="960" w:type="dxa"/>
            <w:tcBorders>
              <w:top w:val="single" w:sz="8" w:space="0" w:color="auto"/>
              <w:left w:val="single" w:sz="8" w:space="0" w:color="auto"/>
              <w:bottom w:val="single" w:sz="8" w:space="0" w:color="auto"/>
              <w:right w:val="single" w:sz="8" w:space="0" w:color="auto"/>
            </w:tcBorders>
            <w:shd w:val="clear" w:color="auto" w:fill="auto"/>
          </w:tcPr>
          <w:p>
            <w:pPr>
              <w:rPr>
                <w:noProof/>
                <w:sz w:val="18"/>
                <w:szCs w:val="18"/>
              </w:rPr>
            </w:pPr>
            <w:r>
              <w:rPr>
                <w:noProof/>
                <w:sz w:val="18"/>
              </w:rPr>
              <w:t>€ 2,000</w:t>
            </w:r>
          </w:p>
        </w:tc>
      </w:tr>
      <w:tr>
        <w:trPr>
          <w:trHeight w:val="270"/>
        </w:trPr>
        <w:tc>
          <w:tcPr>
            <w:tcW w:w="2760" w:type="dxa"/>
            <w:tcBorders>
              <w:top w:val="single" w:sz="8"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lang w:val="nn-NO"/>
              </w:rPr>
            </w:pPr>
            <w:r>
              <w:rPr>
                <w:noProof/>
                <w:sz w:val="18"/>
                <w:lang w:val="nn-NO"/>
              </w:rPr>
              <w:t>Subtotal for specifikt mål nr. 1</w:t>
            </w:r>
          </w:p>
        </w:tc>
        <w:tc>
          <w:tcPr>
            <w:tcW w:w="840" w:type="dxa"/>
            <w:tcBorders>
              <w:top w:val="single" w:sz="8" w:space="0" w:color="auto"/>
              <w:left w:val="single" w:sz="8" w:space="0" w:color="auto"/>
              <w:bottom w:val="single" w:sz="12" w:space="0" w:color="auto"/>
              <w:right w:val="single" w:sz="8" w:space="0" w:color="auto"/>
            </w:tcBorders>
          </w:tcPr>
          <w:p>
            <w:pPr>
              <w:rPr>
                <w:noProof/>
                <w:sz w:val="18"/>
                <w:szCs w:val="18"/>
                <w:lang w:val="nn-NO"/>
              </w:rPr>
            </w:pPr>
          </w:p>
        </w:tc>
        <w:tc>
          <w:tcPr>
            <w:tcW w:w="1320" w:type="dxa"/>
            <w:gridSpan w:val="2"/>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84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96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€ 0,800</w:t>
            </w:r>
          </w:p>
        </w:tc>
        <w:tc>
          <w:tcPr>
            <w:tcW w:w="1115"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045"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€ 0,400</w:t>
            </w:r>
          </w:p>
        </w:tc>
        <w:tc>
          <w:tcPr>
            <w:tcW w:w="84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08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€ 0,400</w:t>
            </w:r>
          </w:p>
        </w:tc>
        <w:tc>
          <w:tcPr>
            <w:tcW w:w="96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96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€ 0,400</w:t>
            </w:r>
          </w:p>
        </w:tc>
        <w:tc>
          <w:tcPr>
            <w:tcW w:w="720"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p>
        </w:tc>
        <w:tc>
          <w:tcPr>
            <w:tcW w:w="960" w:type="dxa"/>
            <w:tcBorders>
              <w:top w:val="single" w:sz="8" w:space="0" w:color="auto"/>
              <w:left w:val="single" w:sz="8" w:space="0" w:color="auto"/>
              <w:bottom w:val="single" w:sz="12" w:space="0" w:color="auto"/>
              <w:right w:val="single" w:sz="8" w:space="0" w:color="auto"/>
            </w:tcBorders>
            <w:shd w:val="clear" w:color="auto" w:fill="auto"/>
          </w:tcPr>
          <w:p>
            <w:pPr>
              <w:rPr>
                <w:noProof/>
                <w:sz w:val="18"/>
                <w:szCs w:val="18"/>
              </w:rPr>
            </w:pPr>
            <w:r>
              <w:rPr>
                <w:noProof/>
                <w:sz w:val="18"/>
              </w:rPr>
              <w:t>€ 2,000</w:t>
            </w:r>
          </w:p>
        </w:tc>
      </w:tr>
      <w:tr>
        <w:trPr>
          <w:trHeight w:val="510"/>
        </w:trPr>
        <w:tc>
          <w:tcPr>
            <w:tcW w:w="2760"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lang w:val="sv-SE"/>
              </w:rPr>
            </w:pPr>
            <w:r>
              <w:rPr>
                <w:b/>
                <w:noProof/>
                <w:color w:val="000000"/>
                <w:sz w:val="18"/>
                <w:lang w:val="sv-SE"/>
              </w:rPr>
              <w:t xml:space="preserve">Specifikt mål nr. 2 </w:t>
            </w:r>
            <w:r>
              <w:rPr>
                <w:b/>
                <w:noProof/>
                <w:color w:val="000000"/>
                <w:sz w:val="18"/>
                <w:lang w:val="sv-SE"/>
              </w:rPr>
              <w:br/>
              <w:t xml:space="preserve">(artikel 1b): </w:t>
            </w:r>
            <w:r>
              <w:rPr>
                <w:b/>
                <w:bCs/>
                <w:noProof/>
                <w:color w:val="000000"/>
                <w:sz w:val="18"/>
                <w:szCs w:val="18"/>
                <w:lang w:val="sv-SE"/>
              </w:rPr>
              <w:br/>
            </w:r>
            <w:r>
              <w:rPr>
                <w:b/>
                <w:noProof/>
                <w:color w:val="000000"/>
                <w:sz w:val="18"/>
                <w:lang w:val="sv-SE"/>
              </w:rPr>
              <w:t>RPAS-operationer</w:t>
            </w:r>
          </w:p>
        </w:tc>
        <w:tc>
          <w:tcPr>
            <w:tcW w:w="840" w:type="dxa"/>
            <w:tcBorders>
              <w:top w:val="single" w:sz="12" w:space="0" w:color="auto"/>
              <w:left w:val="nil"/>
              <w:bottom w:val="single" w:sz="4" w:space="0" w:color="auto"/>
              <w:right w:val="single" w:sz="4" w:space="0" w:color="auto"/>
            </w:tcBorders>
          </w:tcPr>
          <w:p>
            <w:pPr>
              <w:rPr>
                <w:noProof/>
                <w:sz w:val="18"/>
                <w:szCs w:val="18"/>
                <w:lang w:val="sv-SE"/>
              </w:rPr>
            </w:pPr>
          </w:p>
        </w:tc>
        <w:tc>
          <w:tcPr>
            <w:tcW w:w="1320" w:type="dxa"/>
            <w:gridSpan w:val="2"/>
            <w:tcBorders>
              <w:top w:val="single" w:sz="12" w:space="0" w:color="auto"/>
              <w:left w:val="single" w:sz="4" w:space="0" w:color="auto"/>
              <w:bottom w:val="single" w:sz="4" w:space="0" w:color="auto"/>
              <w:right w:val="single" w:sz="4" w:space="0" w:color="auto"/>
            </w:tcBorders>
            <w:shd w:val="clear" w:color="auto" w:fill="auto"/>
          </w:tcPr>
          <w:p>
            <w:pPr>
              <w:rPr>
                <w:noProof/>
                <w:sz w:val="18"/>
                <w:szCs w:val="18"/>
                <w:lang w:val="sv-SE"/>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111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104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108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72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lang w:val="sv-SE"/>
              </w:rPr>
            </w:pP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lang w:val="sv-SE"/>
              </w:rPr>
              <w:t xml:space="preserve"> </w:t>
            </w:r>
            <w:r>
              <w:rPr>
                <w:noProof/>
                <w:color w:val="000000"/>
                <w:sz w:val="18"/>
              </w:rPr>
              <w:t>- Etablering</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€ 0,263</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€ 0,150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€ 0,300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€ 0,300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€ 1,050</w:t>
            </w: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Flytning</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€ 0,050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€ 0,050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€ 0,050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€ 0,050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€ 0,200</w:t>
            </w: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Drift</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€ 16,463</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4 250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€ 12,750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€ 17,700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5 900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€ 17,700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5 900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€ 17,700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21 950</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€ 65,850</w:t>
            </w: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Tjenesterejser</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€ 0,053</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€ 0,030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€ 0,060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€ 0,060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€ 0,060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105</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€ 0,210</w:t>
            </w:r>
          </w:p>
        </w:tc>
      </w:tr>
      <w:tr>
        <w:trPr>
          <w:trHeight w:val="270"/>
        </w:trPr>
        <w:tc>
          <w:tcPr>
            <w:tcW w:w="2760"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lang w:val="nn-NO"/>
              </w:rPr>
            </w:pPr>
            <w:r>
              <w:rPr>
                <w:noProof/>
                <w:sz w:val="18"/>
                <w:lang w:val="nn-NO"/>
              </w:rPr>
              <w:t>Subtotal for specifikt mål nr. 2</w:t>
            </w:r>
          </w:p>
        </w:tc>
        <w:tc>
          <w:tcPr>
            <w:tcW w:w="840" w:type="dxa"/>
            <w:tcBorders>
              <w:top w:val="single" w:sz="4" w:space="0" w:color="auto"/>
              <w:left w:val="nil"/>
              <w:bottom w:val="single" w:sz="12" w:space="0" w:color="auto"/>
              <w:right w:val="single" w:sz="4" w:space="0" w:color="auto"/>
            </w:tcBorders>
          </w:tcPr>
          <w:p>
            <w:pPr>
              <w:rPr>
                <w:noProof/>
                <w:sz w:val="18"/>
                <w:szCs w:val="18"/>
                <w:lang w:val="nn-NO"/>
              </w:rPr>
            </w:pPr>
          </w:p>
        </w:tc>
        <w:tc>
          <w:tcPr>
            <w:tcW w:w="1320" w:type="dxa"/>
            <w:gridSpan w:val="2"/>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€ 12,980</w:t>
            </w:r>
          </w:p>
        </w:tc>
        <w:tc>
          <w:tcPr>
            <w:tcW w:w="111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€ 18,110</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€ 18,110</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€ 18,110</w:t>
            </w:r>
          </w:p>
        </w:tc>
        <w:tc>
          <w:tcPr>
            <w:tcW w:w="72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€ 67,310</w:t>
            </w:r>
          </w:p>
        </w:tc>
      </w:tr>
      <w:tr>
        <w:trPr>
          <w:trHeight w:val="510"/>
        </w:trPr>
        <w:tc>
          <w:tcPr>
            <w:tcW w:w="2760"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lang w:val="sv-SE"/>
              </w:rPr>
            </w:pPr>
            <w:r>
              <w:rPr>
                <w:b/>
                <w:noProof/>
                <w:color w:val="000000"/>
                <w:sz w:val="18"/>
                <w:lang w:val="sv-SE"/>
              </w:rPr>
              <w:t xml:space="preserve">Specifikt mål nr. 3 </w:t>
            </w:r>
            <w:r>
              <w:rPr>
                <w:b/>
                <w:noProof/>
                <w:color w:val="000000"/>
                <w:sz w:val="18"/>
                <w:lang w:val="sv-SE"/>
              </w:rPr>
              <w:br/>
              <w:t xml:space="preserve">(artikel 1b): </w:t>
            </w:r>
            <w:r>
              <w:rPr>
                <w:b/>
                <w:bCs/>
                <w:noProof/>
                <w:color w:val="000000"/>
                <w:sz w:val="18"/>
                <w:szCs w:val="18"/>
                <w:lang w:val="sv-SE"/>
              </w:rPr>
              <w:br/>
            </w:r>
            <w:r>
              <w:rPr>
                <w:b/>
                <w:noProof/>
                <w:color w:val="000000"/>
                <w:sz w:val="18"/>
                <w:lang w:val="sv-SE"/>
              </w:rPr>
              <w:t>Satellitkommunikation</w:t>
            </w:r>
          </w:p>
        </w:tc>
        <w:tc>
          <w:tcPr>
            <w:tcW w:w="840" w:type="dxa"/>
            <w:tcBorders>
              <w:top w:val="single" w:sz="12" w:space="0" w:color="auto"/>
              <w:left w:val="nil"/>
              <w:bottom w:val="single" w:sz="4" w:space="0" w:color="auto"/>
              <w:right w:val="single" w:sz="4" w:space="0" w:color="auto"/>
            </w:tcBorders>
          </w:tcPr>
          <w:p>
            <w:pPr>
              <w:rPr>
                <w:noProof/>
                <w:sz w:val="18"/>
                <w:szCs w:val="18"/>
                <w:lang w:val="sv-SE"/>
              </w:rPr>
            </w:pPr>
          </w:p>
        </w:tc>
        <w:tc>
          <w:tcPr>
            <w:tcW w:w="1320" w:type="dxa"/>
            <w:gridSpan w:val="2"/>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111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104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108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72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lang w:val="sv-SE"/>
              </w:rPr>
            </w:pPr>
          </w:p>
        </w:tc>
        <w:tc>
          <w:tcPr>
            <w:tcW w:w="960"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lang w:val="sv-SE"/>
              </w:rPr>
            </w:pPr>
          </w:p>
        </w:tc>
      </w:tr>
      <w:tr>
        <w:trPr>
          <w:trHeight w:val="344"/>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lang w:val="sv-SE"/>
              </w:rPr>
              <w:t xml:space="preserve"> </w:t>
            </w:r>
            <w:r>
              <w:rPr>
                <w:noProof/>
                <w:color w:val="000000"/>
                <w:sz w:val="18"/>
              </w:rPr>
              <w:t>- Satellitkommunikations-</w:t>
            </w:r>
            <w:r>
              <w:rPr>
                <w:noProof/>
                <w:color w:val="000000"/>
                <w:sz w:val="18"/>
              </w:rPr>
              <w:br/>
              <w:t>data og -tjenester</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€ 0,500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€ 0,500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€ 0,500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€ 0,500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€ 2,000</w:t>
            </w:r>
          </w:p>
        </w:tc>
      </w:tr>
      <w:tr>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tcPr>
          <w:p>
            <w:pPr>
              <w:spacing w:after="0"/>
              <w:ind w:firstLineChars="300" w:firstLine="540"/>
              <w:jc w:val="left"/>
              <w:rPr>
                <w:noProof/>
                <w:color w:val="000000"/>
                <w:sz w:val="18"/>
                <w:szCs w:val="18"/>
              </w:rPr>
            </w:pPr>
            <w:r>
              <w:rPr>
                <w:noProof/>
                <w:color w:val="000000"/>
                <w:sz w:val="18"/>
              </w:rPr>
              <w:t xml:space="preserve"> - Tjenesterejser</w:t>
            </w:r>
          </w:p>
        </w:tc>
        <w:tc>
          <w:tcPr>
            <w:tcW w:w="840" w:type="dxa"/>
            <w:tcBorders>
              <w:top w:val="single" w:sz="4" w:space="0" w:color="auto"/>
              <w:left w:val="single" w:sz="4" w:space="0" w:color="auto"/>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€ 0,014</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€ 0,015</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€ 0,015</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€ 0,055</w:t>
            </w:r>
          </w:p>
        </w:tc>
      </w:tr>
      <w:tr>
        <w:trPr>
          <w:trHeight w:val="270"/>
        </w:trPr>
        <w:tc>
          <w:tcPr>
            <w:tcW w:w="2760"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lang w:val="nn-NO"/>
              </w:rPr>
            </w:pPr>
            <w:r>
              <w:rPr>
                <w:noProof/>
                <w:sz w:val="18"/>
                <w:lang w:val="nn-NO"/>
              </w:rPr>
              <w:t>Subtotal for specifikt mål nr. 3</w:t>
            </w:r>
          </w:p>
        </w:tc>
        <w:tc>
          <w:tcPr>
            <w:tcW w:w="840" w:type="dxa"/>
            <w:tcBorders>
              <w:top w:val="single" w:sz="4" w:space="0" w:color="auto"/>
              <w:left w:val="nil"/>
              <w:bottom w:val="single" w:sz="12" w:space="0" w:color="auto"/>
              <w:right w:val="single" w:sz="4" w:space="0" w:color="auto"/>
            </w:tcBorders>
          </w:tcPr>
          <w:p>
            <w:pPr>
              <w:rPr>
                <w:noProof/>
                <w:sz w:val="18"/>
                <w:szCs w:val="18"/>
                <w:lang w:val="nn-NO"/>
              </w:rPr>
            </w:pPr>
          </w:p>
        </w:tc>
        <w:tc>
          <w:tcPr>
            <w:tcW w:w="1320" w:type="dxa"/>
            <w:gridSpan w:val="2"/>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€ 0,510</w:t>
            </w:r>
          </w:p>
        </w:tc>
        <w:tc>
          <w:tcPr>
            <w:tcW w:w="111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€ 0,515</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€ 0,515</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€ 0,515</w:t>
            </w:r>
          </w:p>
        </w:tc>
        <w:tc>
          <w:tcPr>
            <w:tcW w:w="72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€ 2,055</w:t>
            </w:r>
          </w:p>
        </w:tc>
      </w:tr>
      <w:tr>
        <w:trPr>
          <w:trHeight w:val="510"/>
        </w:trPr>
        <w:tc>
          <w:tcPr>
            <w:tcW w:w="2760"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Specifikt mål nr. 4 (artikel 1b): </w:t>
            </w:r>
            <w:r>
              <w:rPr>
                <w:b/>
                <w:bCs/>
                <w:noProof/>
                <w:color w:val="000000"/>
                <w:sz w:val="18"/>
                <w:szCs w:val="18"/>
              </w:rPr>
              <w:br/>
            </w:r>
            <w:r>
              <w:rPr>
                <w:b/>
                <w:noProof/>
                <w:color w:val="000000"/>
                <w:sz w:val="18"/>
              </w:rPr>
              <w:t>Satellitbaseret AIS</w:t>
            </w:r>
          </w:p>
        </w:tc>
        <w:tc>
          <w:tcPr>
            <w:tcW w:w="840"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320" w:type="dxa"/>
            <w:gridSpan w:val="2"/>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1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Levering af globale satellitbaserede AIS-tjenester </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€ 2,000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€ 2,000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€ 2,000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€ 8,000</w:t>
            </w: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Tjenesterejser</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€ 0,014</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€ 0,015</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€ 0,015</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€ 0,055</w:t>
            </w:r>
          </w:p>
        </w:tc>
      </w:tr>
      <w:tr>
        <w:trPr>
          <w:trHeight w:val="270"/>
        </w:trPr>
        <w:tc>
          <w:tcPr>
            <w:tcW w:w="2760"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lang w:val="nn-NO"/>
              </w:rPr>
            </w:pPr>
            <w:r>
              <w:rPr>
                <w:noProof/>
                <w:sz w:val="18"/>
                <w:lang w:val="nn-NO"/>
              </w:rPr>
              <w:t>Subtotal for specifikt mål nr. 4</w:t>
            </w:r>
          </w:p>
        </w:tc>
        <w:tc>
          <w:tcPr>
            <w:tcW w:w="840" w:type="dxa"/>
            <w:tcBorders>
              <w:top w:val="single" w:sz="4" w:space="0" w:color="auto"/>
              <w:left w:val="nil"/>
              <w:bottom w:val="single" w:sz="12" w:space="0" w:color="auto"/>
              <w:right w:val="single" w:sz="4" w:space="0" w:color="auto"/>
            </w:tcBorders>
          </w:tcPr>
          <w:p>
            <w:pPr>
              <w:rPr>
                <w:noProof/>
                <w:sz w:val="18"/>
                <w:szCs w:val="18"/>
                <w:lang w:val="nn-NO"/>
              </w:rPr>
            </w:pPr>
          </w:p>
        </w:tc>
        <w:tc>
          <w:tcPr>
            <w:tcW w:w="1320" w:type="dxa"/>
            <w:gridSpan w:val="2"/>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€ 2,010</w:t>
            </w:r>
          </w:p>
        </w:tc>
        <w:tc>
          <w:tcPr>
            <w:tcW w:w="111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€ 2,015</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€ 2,015</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€ 2,015</w:t>
            </w:r>
          </w:p>
        </w:tc>
        <w:tc>
          <w:tcPr>
            <w:tcW w:w="72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€ 8,055</w:t>
            </w:r>
          </w:p>
        </w:tc>
      </w:tr>
      <w:tr>
        <w:trPr>
          <w:trHeight w:val="765"/>
        </w:trPr>
        <w:tc>
          <w:tcPr>
            <w:tcW w:w="2760"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Specifikt mål nr. 5 (artikel 1c): </w:t>
            </w:r>
            <w:r>
              <w:rPr>
                <w:b/>
                <w:bCs/>
                <w:noProof/>
                <w:color w:val="000000"/>
                <w:sz w:val="18"/>
                <w:szCs w:val="18"/>
              </w:rPr>
              <w:br/>
            </w:r>
            <w:r>
              <w:rPr>
                <w:b/>
                <w:noProof/>
                <w:color w:val="000000"/>
                <w:sz w:val="18"/>
              </w:rPr>
              <w:t>Kapacitetsopbygning</w:t>
            </w:r>
          </w:p>
        </w:tc>
        <w:tc>
          <w:tcPr>
            <w:tcW w:w="840"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320" w:type="dxa"/>
            <w:gridSpan w:val="2"/>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1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5"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84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Uddannelse, e-læring og kapacitetsopbygning</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€ 0,230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€ 0,422</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€ 0,498</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€ 0,598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€ 1,748</w:t>
            </w:r>
          </w:p>
        </w:tc>
      </w:tr>
      <w:tr>
        <w:trPr>
          <w:trHeight w:val="255"/>
        </w:trPr>
        <w:tc>
          <w:tcPr>
            <w:tcW w:w="2760"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Tjenesterejser</w:t>
            </w:r>
          </w:p>
        </w:tc>
        <w:tc>
          <w:tcPr>
            <w:tcW w:w="840" w:type="dxa"/>
            <w:tcBorders>
              <w:top w:val="single" w:sz="4" w:space="0" w:color="auto"/>
              <w:left w:val="nil"/>
              <w:bottom w:val="single" w:sz="4" w:space="0" w:color="auto"/>
              <w:right w:val="single" w:sz="4" w:space="0" w:color="auto"/>
            </w:tcBorders>
          </w:tcPr>
          <w:p>
            <w:pPr>
              <w:rPr>
                <w:noProof/>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€ 0,035</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€ 0,020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€ 0,040</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€ 0,040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€ 0,040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70</w:t>
            </w:r>
          </w:p>
        </w:tc>
        <w:tc>
          <w:tcPr>
            <w:tcW w:w="960"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€ 0,140</w:t>
            </w:r>
          </w:p>
        </w:tc>
      </w:tr>
      <w:tr>
        <w:trPr>
          <w:trHeight w:val="270"/>
        </w:trPr>
        <w:tc>
          <w:tcPr>
            <w:tcW w:w="2760"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lang w:val="nn-NO"/>
              </w:rPr>
            </w:pPr>
            <w:r>
              <w:rPr>
                <w:noProof/>
                <w:sz w:val="18"/>
                <w:lang w:val="nn-NO"/>
              </w:rPr>
              <w:t>Subtotal for specifikt mål nr. 5</w:t>
            </w:r>
          </w:p>
        </w:tc>
        <w:tc>
          <w:tcPr>
            <w:tcW w:w="840" w:type="dxa"/>
            <w:tcBorders>
              <w:top w:val="single" w:sz="4" w:space="0" w:color="auto"/>
              <w:left w:val="nil"/>
              <w:bottom w:val="single" w:sz="12" w:space="0" w:color="auto"/>
              <w:right w:val="single" w:sz="4" w:space="0" w:color="auto"/>
            </w:tcBorders>
          </w:tcPr>
          <w:p>
            <w:pPr>
              <w:rPr>
                <w:noProof/>
                <w:sz w:val="18"/>
                <w:szCs w:val="18"/>
                <w:lang w:val="nn-NO"/>
              </w:rPr>
            </w:pPr>
          </w:p>
        </w:tc>
        <w:tc>
          <w:tcPr>
            <w:tcW w:w="1320" w:type="dxa"/>
            <w:gridSpan w:val="2"/>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€ 0,250</w:t>
            </w:r>
          </w:p>
        </w:tc>
        <w:tc>
          <w:tcPr>
            <w:tcW w:w="111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5"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€ 0,462</w:t>
            </w:r>
          </w:p>
        </w:tc>
        <w:tc>
          <w:tcPr>
            <w:tcW w:w="84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8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€ 0,538</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6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€ 0,638</w:t>
            </w:r>
          </w:p>
        </w:tc>
        <w:tc>
          <w:tcPr>
            <w:tcW w:w="720"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960"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€ 1,888</w:t>
            </w:r>
          </w:p>
        </w:tc>
      </w:tr>
      <w:tr>
        <w:trPr>
          <w:trHeight w:val="315"/>
        </w:trPr>
        <w:tc>
          <w:tcPr>
            <w:tcW w:w="2760" w:type="dxa"/>
            <w:tcBorders>
              <w:top w:val="single" w:sz="12" w:space="0" w:color="auto"/>
              <w:left w:val="single" w:sz="12" w:space="0" w:color="auto"/>
              <w:bottom w:val="single" w:sz="12" w:space="0" w:color="auto"/>
              <w:right w:val="single" w:sz="6" w:space="0" w:color="auto"/>
            </w:tcBorders>
            <w:shd w:val="clear" w:color="auto" w:fill="auto"/>
            <w:noWrap/>
            <w:vAlign w:val="center"/>
          </w:tcPr>
          <w:p>
            <w:pPr>
              <w:spacing w:before="0" w:after="0"/>
              <w:jc w:val="center"/>
              <w:rPr>
                <w:b/>
                <w:bCs/>
                <w:noProof/>
                <w:color w:val="000000"/>
                <w:sz w:val="18"/>
                <w:szCs w:val="18"/>
              </w:rPr>
            </w:pPr>
            <w:r>
              <w:rPr>
                <w:b/>
                <w:noProof/>
                <w:color w:val="000000"/>
                <w:sz w:val="18"/>
              </w:rPr>
              <w:t>I ALT</w:t>
            </w:r>
          </w:p>
        </w:tc>
        <w:tc>
          <w:tcPr>
            <w:tcW w:w="840" w:type="dxa"/>
            <w:tcBorders>
              <w:top w:val="single" w:sz="12" w:space="0" w:color="auto"/>
              <w:left w:val="single" w:sz="6" w:space="0" w:color="auto"/>
              <w:bottom w:val="single" w:sz="12" w:space="0" w:color="auto"/>
              <w:right w:val="single" w:sz="6" w:space="0" w:color="auto"/>
            </w:tcBorders>
            <w:vAlign w:val="center"/>
          </w:tcPr>
          <w:p>
            <w:pPr>
              <w:jc w:val="center"/>
              <w:rPr>
                <w:b/>
                <w:noProof/>
                <w:sz w:val="18"/>
                <w:szCs w:val="18"/>
              </w:rPr>
            </w:pPr>
          </w:p>
        </w:tc>
        <w:tc>
          <w:tcPr>
            <w:tcW w:w="1320" w:type="dxa"/>
            <w:gridSpan w:val="2"/>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84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96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€ 16,550</w:t>
            </w:r>
          </w:p>
        </w:tc>
        <w:tc>
          <w:tcPr>
            <w:tcW w:w="1115"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045"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€ 21,502</w:t>
            </w:r>
          </w:p>
        </w:tc>
        <w:tc>
          <w:tcPr>
            <w:tcW w:w="84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08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€ 21,578</w:t>
            </w:r>
          </w:p>
        </w:tc>
        <w:tc>
          <w:tcPr>
            <w:tcW w:w="96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0</w:t>
            </w:r>
          </w:p>
        </w:tc>
        <w:tc>
          <w:tcPr>
            <w:tcW w:w="96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€ 21,678</w:t>
            </w:r>
          </w:p>
        </w:tc>
        <w:tc>
          <w:tcPr>
            <w:tcW w:w="720"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p>
        </w:tc>
        <w:tc>
          <w:tcPr>
            <w:tcW w:w="960" w:type="dxa"/>
            <w:tcBorders>
              <w:top w:val="single" w:sz="12" w:space="0" w:color="auto"/>
              <w:left w:val="single" w:sz="6" w:space="0" w:color="auto"/>
              <w:bottom w:val="single" w:sz="12" w:space="0" w:color="auto"/>
              <w:right w:val="single" w:sz="12" w:space="0" w:color="auto"/>
            </w:tcBorders>
            <w:shd w:val="clear" w:color="auto" w:fill="auto"/>
            <w:vAlign w:val="center"/>
          </w:tcPr>
          <w:p>
            <w:pPr>
              <w:jc w:val="center"/>
              <w:rPr>
                <w:b/>
                <w:noProof/>
                <w:sz w:val="18"/>
                <w:szCs w:val="18"/>
              </w:rPr>
            </w:pPr>
            <w:r>
              <w:rPr>
                <w:b/>
                <w:noProof/>
                <w:sz w:val="18"/>
              </w:rPr>
              <w:t>€ 81,308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Anslåede virkninger for administrationsbevillingerne</w:t>
      </w:r>
    </w:p>
    <w:p>
      <w:pPr>
        <w:pStyle w:val="ManualHeading4"/>
        <w:rPr>
          <w:noProof/>
        </w:rPr>
      </w:pPr>
      <w:r>
        <w:rPr>
          <w:noProof/>
        </w:rPr>
        <w:t>3.2.3.1.</w:t>
      </w:r>
      <w:r>
        <w:rPr>
          <w:noProof/>
        </w:rPr>
        <w:tab/>
        <w:t xml:space="preserve">Sammenfatning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ingdings" w:char="F078"/>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76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60"/>
        <w:gridCol w:w="1080"/>
        <w:gridCol w:w="1200"/>
        <w:gridCol w:w="1080"/>
        <w:gridCol w:w="1080"/>
        <w:gridCol w:w="1080"/>
      </w:tblGrid>
      <w:tr>
        <w:trPr>
          <w:trHeight w:val="585"/>
        </w:trPr>
        <w:tc>
          <w:tcPr>
            <w:tcW w:w="2160" w:type="dxa"/>
          </w:tcPr>
          <w:p>
            <w:pPr>
              <w:spacing w:before="60" w:after="60"/>
              <w:ind w:left="142" w:hanging="142"/>
              <w:rPr>
                <w:noProof/>
                <w:sz w:val="20"/>
                <w:lang w:val="it-IT"/>
              </w:rPr>
            </w:pPr>
          </w:p>
        </w:tc>
        <w:tc>
          <w:tcPr>
            <w:tcW w:w="1080" w:type="dxa"/>
            <w:vAlign w:val="center"/>
          </w:tcPr>
          <w:p>
            <w:pPr>
              <w:spacing w:before="60" w:after="60"/>
              <w:ind w:left="142" w:hanging="142"/>
              <w:jc w:val="center"/>
              <w:rPr>
                <w:b/>
                <w:noProof/>
                <w:sz w:val="20"/>
              </w:rPr>
            </w:pPr>
            <w:r>
              <w:rPr>
                <w:b/>
                <w:noProof/>
                <w:sz w:val="20"/>
              </w:rPr>
              <w:t>2017*</w:t>
            </w:r>
          </w:p>
        </w:tc>
        <w:tc>
          <w:tcPr>
            <w:tcW w:w="1200" w:type="dxa"/>
            <w:vAlign w:val="center"/>
          </w:tcPr>
          <w:p>
            <w:pPr>
              <w:spacing w:before="60" w:after="60"/>
              <w:ind w:left="142" w:hanging="142"/>
              <w:jc w:val="center"/>
              <w:rPr>
                <w:b/>
                <w:noProof/>
                <w:sz w:val="20"/>
              </w:rPr>
            </w:pPr>
            <w:r>
              <w:rPr>
                <w:b/>
                <w:noProof/>
                <w:sz w:val="20"/>
              </w:rPr>
              <w:t>2018</w:t>
            </w:r>
          </w:p>
        </w:tc>
        <w:tc>
          <w:tcPr>
            <w:tcW w:w="1080" w:type="dxa"/>
            <w:vAlign w:val="center"/>
          </w:tcPr>
          <w:p>
            <w:pPr>
              <w:spacing w:before="60" w:after="60"/>
              <w:ind w:left="142" w:hanging="142"/>
              <w:jc w:val="center"/>
              <w:rPr>
                <w:b/>
                <w:noProof/>
                <w:sz w:val="20"/>
              </w:rPr>
            </w:pPr>
            <w:r>
              <w:rPr>
                <w:b/>
                <w:noProof/>
                <w:sz w:val="20"/>
              </w:rPr>
              <w:t>2019</w:t>
            </w:r>
          </w:p>
        </w:tc>
        <w:tc>
          <w:tcPr>
            <w:tcW w:w="1080" w:type="dxa"/>
            <w:vAlign w:val="center"/>
          </w:tcPr>
          <w:p>
            <w:pPr>
              <w:spacing w:before="60" w:after="60"/>
              <w:ind w:left="142" w:hanging="142"/>
              <w:jc w:val="center"/>
              <w:rPr>
                <w:b/>
                <w:noProof/>
                <w:sz w:val="20"/>
              </w:rPr>
            </w:pPr>
            <w:r>
              <w:rPr>
                <w:b/>
                <w:noProof/>
                <w:sz w:val="20"/>
              </w:rPr>
              <w:t>2020</w:t>
            </w:r>
          </w:p>
        </w:tc>
        <w:tc>
          <w:tcPr>
            <w:tcW w:w="1080" w:type="dxa"/>
            <w:vAlign w:val="center"/>
          </w:tcPr>
          <w:p>
            <w:pPr>
              <w:spacing w:before="60" w:after="60"/>
              <w:ind w:left="142" w:hanging="142"/>
              <w:jc w:val="center"/>
              <w:rPr>
                <w:b/>
                <w:noProof/>
                <w:sz w:val="20"/>
              </w:rPr>
            </w:pPr>
            <w:r>
              <w:rPr>
                <w:b/>
                <w:noProof/>
                <w:sz w:val="20"/>
              </w:rPr>
              <w:t>I ALT</w:t>
            </w:r>
          </w:p>
        </w:tc>
      </w:tr>
    </w:tbl>
    <w:p>
      <w:pPr>
        <w:ind w:left="142" w:hanging="142"/>
        <w:rPr>
          <w:noProof/>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60"/>
        <w:gridCol w:w="1080"/>
        <w:gridCol w:w="1200"/>
        <w:gridCol w:w="1080"/>
        <w:gridCol w:w="1080"/>
        <w:gridCol w:w="1080"/>
      </w:tblGrid>
      <w:tr>
        <w:trPr>
          <w:trHeight w:val="585"/>
        </w:trPr>
        <w:tc>
          <w:tcPr>
            <w:tcW w:w="2160" w:type="dxa"/>
            <w:shd w:val="clear" w:color="auto" w:fill="BFBFBF"/>
            <w:vAlign w:val="center"/>
          </w:tcPr>
          <w:p>
            <w:pPr>
              <w:spacing w:before="60" w:after="60"/>
              <w:rPr>
                <w:b/>
                <w:noProof/>
                <w:sz w:val="20"/>
                <w:szCs w:val="20"/>
              </w:rPr>
            </w:pPr>
            <w:r>
              <w:rPr>
                <w:b/>
                <w:noProof/>
                <w:sz w:val="20"/>
              </w:rPr>
              <w:t>Midlertidigt ansatte 2f (AD-stillinger)</w:t>
            </w:r>
          </w:p>
        </w:tc>
        <w:tc>
          <w:tcPr>
            <w:tcW w:w="1080" w:type="dxa"/>
            <w:shd w:val="clear" w:color="auto" w:fill="BFBFBF"/>
            <w:vAlign w:val="center"/>
          </w:tcPr>
          <w:p>
            <w:pPr>
              <w:spacing w:before="60" w:after="60"/>
              <w:ind w:left="142" w:hanging="142"/>
              <w:jc w:val="right"/>
              <w:rPr>
                <w:noProof/>
                <w:sz w:val="20"/>
                <w:szCs w:val="20"/>
              </w:rPr>
            </w:pPr>
            <w:r>
              <w:rPr>
                <w:noProof/>
                <w:sz w:val="20"/>
              </w:rPr>
              <w:t>13</w:t>
            </w:r>
          </w:p>
        </w:tc>
        <w:tc>
          <w:tcPr>
            <w:tcW w:w="120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r>
      <w:tr>
        <w:trPr>
          <w:trHeight w:val="585"/>
        </w:trPr>
        <w:tc>
          <w:tcPr>
            <w:tcW w:w="2160" w:type="dxa"/>
            <w:shd w:val="clear" w:color="auto" w:fill="BFBFBF"/>
            <w:vAlign w:val="center"/>
          </w:tcPr>
          <w:p>
            <w:pPr>
              <w:spacing w:before="60" w:after="60"/>
              <w:ind w:left="142" w:hanging="142"/>
              <w:rPr>
                <w:b/>
                <w:noProof/>
                <w:sz w:val="20"/>
                <w:szCs w:val="20"/>
              </w:rPr>
            </w:pPr>
            <w:r>
              <w:rPr>
                <w:b/>
                <w:noProof/>
                <w:sz w:val="20"/>
              </w:rPr>
              <w:t>Midlertidigt ansatte 2f (AST-stillinger)</w:t>
            </w:r>
          </w:p>
        </w:tc>
        <w:tc>
          <w:tcPr>
            <w:tcW w:w="1080" w:type="dxa"/>
            <w:shd w:val="clear" w:color="auto" w:fill="BFBFBF"/>
            <w:vAlign w:val="center"/>
          </w:tcPr>
          <w:p>
            <w:pPr>
              <w:spacing w:before="60" w:after="60"/>
              <w:ind w:left="142" w:hanging="142"/>
              <w:jc w:val="right"/>
              <w:rPr>
                <w:noProof/>
                <w:sz w:val="20"/>
                <w:szCs w:val="20"/>
              </w:rPr>
            </w:pPr>
            <w:r>
              <w:rPr>
                <w:noProof/>
                <w:sz w:val="20"/>
              </w:rPr>
              <w:t>1</w:t>
            </w:r>
          </w:p>
        </w:tc>
        <w:tc>
          <w:tcPr>
            <w:tcW w:w="120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r>
      <w:tr>
        <w:trPr>
          <w:trHeight w:val="585"/>
        </w:trPr>
        <w:tc>
          <w:tcPr>
            <w:tcW w:w="2160" w:type="dxa"/>
            <w:shd w:val="clear" w:color="auto" w:fill="BFBFBF"/>
            <w:vAlign w:val="center"/>
          </w:tcPr>
          <w:p>
            <w:pPr>
              <w:spacing w:before="60" w:after="60"/>
              <w:ind w:left="142" w:hanging="142"/>
              <w:rPr>
                <w:b/>
                <w:noProof/>
                <w:sz w:val="20"/>
                <w:szCs w:val="20"/>
              </w:rPr>
            </w:pPr>
            <w:r>
              <w:rPr>
                <w:b/>
                <w:noProof/>
                <w:sz w:val="20"/>
              </w:rPr>
              <w:t xml:space="preserve">Kontraktansatte </w:t>
            </w:r>
          </w:p>
          <w:p>
            <w:pPr>
              <w:spacing w:before="60" w:after="60"/>
              <w:ind w:left="142" w:hanging="142"/>
              <w:rPr>
                <w:b/>
                <w:noProof/>
                <w:sz w:val="20"/>
                <w:szCs w:val="20"/>
              </w:rPr>
            </w:pPr>
            <w:r>
              <w:rPr>
                <w:b/>
                <w:noProof/>
                <w:sz w:val="20"/>
              </w:rPr>
              <w:t>(KA-stillinger)</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20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2160" w:type="dxa"/>
            <w:shd w:val="clear" w:color="auto" w:fill="BFBFBF"/>
            <w:vAlign w:val="center"/>
          </w:tcPr>
          <w:p>
            <w:pPr>
              <w:spacing w:before="60" w:after="60"/>
              <w:ind w:left="142" w:hanging="142"/>
              <w:jc w:val="center"/>
              <w:rPr>
                <w:b/>
                <w:noProof/>
                <w:sz w:val="20"/>
                <w:szCs w:val="20"/>
              </w:rPr>
            </w:pPr>
            <w:r>
              <w:rPr>
                <w:b/>
                <w:noProof/>
                <w:sz w:val="20"/>
              </w:rPr>
              <w:t xml:space="preserve">Udstationerede nationale eksperter </w:t>
            </w:r>
          </w:p>
          <w:p>
            <w:pPr>
              <w:spacing w:before="60" w:after="60"/>
              <w:ind w:left="142" w:hanging="142"/>
              <w:jc w:val="center"/>
              <w:rPr>
                <w:b/>
                <w:noProof/>
                <w:sz w:val="20"/>
                <w:szCs w:val="20"/>
              </w:rPr>
            </w:pPr>
            <w:r>
              <w:rPr>
                <w:b/>
                <w:noProof/>
                <w:sz w:val="20"/>
              </w:rPr>
              <w:t>(UNE-stillinger)</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20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2160" w:type="dxa"/>
            <w:tcBorders>
              <w:top w:val="single" w:sz="2" w:space="0" w:color="auto"/>
              <w:left w:val="single" w:sz="2" w:space="0" w:color="auto"/>
              <w:bottom w:val="single" w:sz="2" w:space="0" w:color="auto"/>
              <w:right w:val="single" w:sz="2" w:space="0" w:color="auto"/>
            </w:tcBorders>
            <w:shd w:val="clear" w:color="auto" w:fill="FFFFFF"/>
            <w:vAlign w:val="center"/>
          </w:tcPr>
          <w:p>
            <w:pPr>
              <w:spacing w:before="60" w:after="60"/>
              <w:ind w:left="142" w:hanging="142"/>
              <w:jc w:val="center"/>
              <w:rPr>
                <w:b/>
                <w:noProof/>
                <w:sz w:val="20"/>
                <w:szCs w:val="20"/>
              </w:rPr>
            </w:pPr>
            <w:r>
              <w:rPr>
                <w:b/>
                <w:noProof/>
                <w:sz w:val="20"/>
              </w:rPr>
              <w:t xml:space="preserve">Omkostninger til midlertidigt ansatte (2f) (AD+AST) </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noProof/>
                <w:color w:val="000000"/>
                <w:sz w:val="20"/>
                <w:szCs w:val="20"/>
              </w:rPr>
            </w:pPr>
            <w:r>
              <w:rPr>
                <w:noProof/>
                <w:color w:val="000000"/>
                <w:sz w:val="20"/>
              </w:rPr>
              <w:t>€ 1,120</w:t>
            </w:r>
          </w:p>
        </w:tc>
        <w:tc>
          <w:tcPr>
            <w:tcW w:w="120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noProof/>
                <w:color w:val="000000"/>
                <w:sz w:val="20"/>
                <w:szCs w:val="20"/>
              </w:rPr>
            </w:pPr>
            <w:r>
              <w:rPr>
                <w:noProof/>
                <w:color w:val="000000"/>
                <w:sz w:val="20"/>
              </w:rPr>
              <w:t>€ 1,605</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noProof/>
                <w:color w:val="000000"/>
                <w:sz w:val="20"/>
                <w:szCs w:val="20"/>
              </w:rPr>
            </w:pPr>
            <w:r>
              <w:rPr>
                <w:noProof/>
                <w:color w:val="000000"/>
                <w:sz w:val="20"/>
              </w:rPr>
              <w:t>€ 1,570</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noProof/>
                <w:color w:val="000000"/>
                <w:sz w:val="20"/>
                <w:szCs w:val="20"/>
              </w:rPr>
            </w:pPr>
            <w:r>
              <w:rPr>
                <w:noProof/>
                <w:color w:val="000000"/>
                <w:sz w:val="20"/>
              </w:rPr>
              <w:t>€ 1,598</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noProof/>
                <w:color w:val="000000"/>
                <w:sz w:val="20"/>
                <w:szCs w:val="20"/>
              </w:rPr>
            </w:pPr>
            <w:r>
              <w:rPr>
                <w:noProof/>
                <w:color w:val="000000"/>
                <w:sz w:val="20"/>
              </w:rPr>
              <w:t>€ 5,893</w:t>
            </w:r>
          </w:p>
        </w:tc>
      </w:tr>
    </w:tbl>
    <w:p>
      <w:pPr>
        <w:ind w:left="142" w:hanging="142"/>
        <w:rPr>
          <w:noProof/>
          <w:sz w:val="20"/>
          <w:szCs w:val="20"/>
        </w:rPr>
      </w:pPr>
    </w:p>
    <w:tbl>
      <w:tblPr>
        <w:tblW w:w="0" w:type="auto"/>
        <w:tblInd w:w="108" w:type="dxa"/>
        <w:tblLayout w:type="fixed"/>
        <w:tblLook w:val="01E0" w:firstRow="1" w:lastRow="1" w:firstColumn="1" w:lastColumn="1" w:noHBand="0" w:noVBand="0"/>
      </w:tblPr>
      <w:tblGrid>
        <w:gridCol w:w="2160"/>
        <w:gridCol w:w="1080"/>
        <w:gridCol w:w="1200"/>
        <w:gridCol w:w="1080"/>
        <w:gridCol w:w="1080"/>
        <w:gridCol w:w="1080"/>
      </w:tblGrid>
      <w:tr>
        <w:trPr>
          <w:trHeight w:val="585"/>
        </w:trPr>
        <w:tc>
          <w:tcPr>
            <w:tcW w:w="2160" w:type="dxa"/>
            <w:tcBorders>
              <w:top w:val="single" w:sz="12" w:space="0" w:color="auto"/>
              <w:left w:val="single" w:sz="12" w:space="0" w:color="auto"/>
              <w:bottom w:val="single" w:sz="12" w:space="0" w:color="auto"/>
              <w:right w:val="single" w:sz="2" w:space="0" w:color="auto"/>
            </w:tcBorders>
            <w:vAlign w:val="center"/>
          </w:tcPr>
          <w:p>
            <w:pPr>
              <w:spacing w:before="60" w:after="60"/>
              <w:ind w:left="142" w:hanging="142"/>
              <w:jc w:val="center"/>
              <w:rPr>
                <w:noProof/>
                <w:sz w:val="20"/>
                <w:szCs w:val="20"/>
              </w:rPr>
            </w:pPr>
            <w:r>
              <w:rPr>
                <w:b/>
                <w:noProof/>
                <w:sz w:val="20"/>
              </w:rPr>
              <w:t>I ALT</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noProof/>
                <w:color w:val="000000"/>
                <w:sz w:val="20"/>
                <w:szCs w:val="20"/>
              </w:rPr>
            </w:pPr>
            <w:r>
              <w:rPr>
                <w:noProof/>
                <w:color w:val="000000"/>
                <w:sz w:val="20"/>
              </w:rPr>
              <w:t>€ 1,120</w:t>
            </w:r>
          </w:p>
        </w:tc>
        <w:tc>
          <w:tcPr>
            <w:tcW w:w="1200" w:type="dxa"/>
            <w:tcBorders>
              <w:top w:val="single" w:sz="12" w:space="0" w:color="auto"/>
              <w:left w:val="single" w:sz="2" w:space="0" w:color="auto"/>
              <w:bottom w:val="single" w:sz="12" w:space="0" w:color="auto"/>
              <w:right w:val="single" w:sz="2" w:space="0" w:color="auto"/>
            </w:tcBorders>
            <w:vAlign w:val="bottom"/>
          </w:tcPr>
          <w:p>
            <w:pPr>
              <w:jc w:val="right"/>
              <w:rPr>
                <w:noProof/>
                <w:color w:val="000000"/>
                <w:sz w:val="20"/>
                <w:szCs w:val="20"/>
              </w:rPr>
            </w:pPr>
            <w:r>
              <w:rPr>
                <w:noProof/>
                <w:color w:val="000000"/>
                <w:sz w:val="20"/>
              </w:rPr>
              <w:t>€ 1,605</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noProof/>
                <w:color w:val="000000"/>
                <w:sz w:val="20"/>
                <w:szCs w:val="20"/>
              </w:rPr>
            </w:pPr>
            <w:r>
              <w:rPr>
                <w:noProof/>
                <w:color w:val="000000"/>
                <w:sz w:val="20"/>
              </w:rPr>
              <w:t>€ 1,570</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noProof/>
                <w:color w:val="000000"/>
                <w:sz w:val="20"/>
                <w:szCs w:val="20"/>
              </w:rPr>
            </w:pPr>
            <w:r>
              <w:rPr>
                <w:noProof/>
                <w:color w:val="000000"/>
                <w:sz w:val="20"/>
              </w:rPr>
              <w:t>€ 1,598</w:t>
            </w:r>
          </w:p>
        </w:tc>
        <w:tc>
          <w:tcPr>
            <w:tcW w:w="1080" w:type="dxa"/>
            <w:tcBorders>
              <w:top w:val="single" w:sz="12" w:space="0" w:color="auto"/>
              <w:left w:val="single" w:sz="2" w:space="0" w:color="auto"/>
              <w:bottom w:val="single" w:sz="12" w:space="0" w:color="auto"/>
              <w:right w:val="single" w:sz="12" w:space="0" w:color="auto"/>
            </w:tcBorders>
            <w:vAlign w:val="bottom"/>
          </w:tcPr>
          <w:p>
            <w:pPr>
              <w:jc w:val="right"/>
              <w:rPr>
                <w:noProof/>
                <w:color w:val="000000"/>
                <w:sz w:val="20"/>
                <w:szCs w:val="20"/>
              </w:rPr>
            </w:pPr>
            <w:r>
              <w:rPr>
                <w:noProof/>
                <w:color w:val="000000"/>
                <w:sz w:val="20"/>
              </w:rPr>
              <w:t>€ 5,893</w:t>
            </w:r>
          </w:p>
        </w:tc>
      </w:tr>
    </w:tbl>
    <w:p>
      <w:pPr>
        <w:rPr>
          <w:noProof/>
          <w:u w:val="single"/>
        </w:rPr>
      </w:pPr>
      <w:r>
        <w:rPr>
          <w:noProof/>
          <w:u w:val="single"/>
        </w:rPr>
        <w:t>* Den 1. juni regnes som ansættelsestidspunktet i 2017</w:t>
      </w:r>
    </w:p>
    <w:p>
      <w:pPr>
        <w:rPr>
          <w:noProof/>
          <w:u w:val="single"/>
        </w:rPr>
      </w:pPr>
      <w:r>
        <w:rPr>
          <w:noProof/>
          <w:u w:val="single"/>
        </w:rPr>
        <w:t>Den 1. januar regnes som ansættelsestidspunktet i 2018</w:t>
      </w:r>
    </w:p>
    <w:p>
      <w:pPr>
        <w:rPr>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440"/>
        <w:gridCol w:w="1320"/>
        <w:gridCol w:w="1320"/>
        <w:gridCol w:w="1440"/>
        <w:gridCol w:w="1305"/>
      </w:tblGrid>
      <w:tr>
        <w:tc>
          <w:tcPr>
            <w:tcW w:w="2148" w:type="dxa"/>
            <w:shd w:val="clear" w:color="auto" w:fill="auto"/>
          </w:tcPr>
          <w:p>
            <w:pPr>
              <w:rPr>
                <w:noProof/>
                <w:sz w:val="22"/>
              </w:rPr>
            </w:pPr>
          </w:p>
        </w:tc>
        <w:tc>
          <w:tcPr>
            <w:tcW w:w="1440" w:type="dxa"/>
            <w:shd w:val="clear" w:color="auto" w:fill="auto"/>
          </w:tcPr>
          <w:p>
            <w:pPr>
              <w:rPr>
                <w:noProof/>
                <w:sz w:val="22"/>
              </w:rPr>
            </w:pPr>
            <w:r>
              <w:rPr>
                <w:noProof/>
                <w:sz w:val="22"/>
              </w:rPr>
              <w:t>2016</w:t>
            </w:r>
          </w:p>
        </w:tc>
        <w:tc>
          <w:tcPr>
            <w:tcW w:w="1320" w:type="dxa"/>
            <w:shd w:val="clear" w:color="auto" w:fill="auto"/>
          </w:tcPr>
          <w:p>
            <w:pPr>
              <w:rPr>
                <w:noProof/>
                <w:sz w:val="22"/>
              </w:rPr>
            </w:pPr>
            <w:r>
              <w:rPr>
                <w:noProof/>
                <w:sz w:val="22"/>
              </w:rPr>
              <w:t>2017</w:t>
            </w:r>
          </w:p>
        </w:tc>
        <w:tc>
          <w:tcPr>
            <w:tcW w:w="1320" w:type="dxa"/>
            <w:shd w:val="clear" w:color="auto" w:fill="auto"/>
          </w:tcPr>
          <w:p>
            <w:pPr>
              <w:rPr>
                <w:noProof/>
                <w:sz w:val="22"/>
              </w:rPr>
            </w:pPr>
            <w:r>
              <w:rPr>
                <w:noProof/>
                <w:sz w:val="22"/>
              </w:rPr>
              <w:t>2018</w:t>
            </w:r>
          </w:p>
        </w:tc>
        <w:tc>
          <w:tcPr>
            <w:tcW w:w="1440" w:type="dxa"/>
            <w:shd w:val="clear" w:color="auto" w:fill="auto"/>
          </w:tcPr>
          <w:p>
            <w:pPr>
              <w:rPr>
                <w:noProof/>
                <w:sz w:val="22"/>
              </w:rPr>
            </w:pPr>
            <w:r>
              <w:rPr>
                <w:noProof/>
                <w:sz w:val="22"/>
              </w:rPr>
              <w:t>2019</w:t>
            </w:r>
          </w:p>
        </w:tc>
        <w:tc>
          <w:tcPr>
            <w:tcW w:w="1305" w:type="dxa"/>
            <w:shd w:val="clear" w:color="auto" w:fill="auto"/>
          </w:tcPr>
          <w:p>
            <w:pPr>
              <w:rPr>
                <w:noProof/>
                <w:sz w:val="22"/>
              </w:rPr>
            </w:pPr>
            <w:r>
              <w:rPr>
                <w:noProof/>
                <w:sz w:val="22"/>
              </w:rPr>
              <w:t>2020</w:t>
            </w:r>
          </w:p>
        </w:tc>
      </w:tr>
      <w:tr>
        <w:tc>
          <w:tcPr>
            <w:tcW w:w="2148" w:type="dxa"/>
            <w:shd w:val="clear" w:color="auto" w:fill="auto"/>
          </w:tcPr>
          <w:p>
            <w:pPr>
              <w:rPr>
                <w:noProof/>
                <w:sz w:val="22"/>
              </w:rPr>
            </w:pPr>
            <w:r>
              <w:rPr>
                <w:noProof/>
                <w:sz w:val="22"/>
              </w:rPr>
              <w:t>Basisomkostninger - kommunikation</w:t>
            </w:r>
          </w:p>
        </w:tc>
        <w:tc>
          <w:tcPr>
            <w:tcW w:w="1440" w:type="dxa"/>
            <w:shd w:val="clear" w:color="auto" w:fill="auto"/>
          </w:tcPr>
          <w:p>
            <w:pPr>
              <w:rPr>
                <w:noProof/>
                <w:sz w:val="22"/>
              </w:rPr>
            </w:pPr>
            <w:r>
              <w:rPr>
                <w:noProof/>
                <w:sz w:val="22"/>
              </w:rPr>
              <w:t>202</w:t>
            </w:r>
          </w:p>
        </w:tc>
        <w:tc>
          <w:tcPr>
            <w:tcW w:w="1320" w:type="dxa"/>
            <w:shd w:val="clear" w:color="auto" w:fill="auto"/>
          </w:tcPr>
          <w:p>
            <w:pPr>
              <w:rPr>
                <w:noProof/>
                <w:sz w:val="22"/>
              </w:rPr>
            </w:pPr>
            <w:r>
              <w:rPr>
                <w:noProof/>
                <w:sz w:val="22"/>
              </w:rPr>
              <w:t>198</w:t>
            </w:r>
          </w:p>
        </w:tc>
        <w:tc>
          <w:tcPr>
            <w:tcW w:w="1320" w:type="dxa"/>
            <w:shd w:val="clear" w:color="auto" w:fill="auto"/>
          </w:tcPr>
          <w:p>
            <w:pPr>
              <w:rPr>
                <w:noProof/>
                <w:sz w:val="22"/>
              </w:rPr>
            </w:pPr>
            <w:r>
              <w:rPr>
                <w:noProof/>
                <w:sz w:val="22"/>
              </w:rPr>
              <w:t>195</w:t>
            </w:r>
          </w:p>
        </w:tc>
        <w:tc>
          <w:tcPr>
            <w:tcW w:w="1440" w:type="dxa"/>
            <w:shd w:val="clear" w:color="auto" w:fill="auto"/>
          </w:tcPr>
          <w:p>
            <w:pPr>
              <w:rPr>
                <w:noProof/>
                <w:sz w:val="22"/>
              </w:rPr>
            </w:pPr>
            <w:r>
              <w:rPr>
                <w:noProof/>
                <w:sz w:val="22"/>
              </w:rPr>
              <w:t>195</w:t>
            </w:r>
          </w:p>
        </w:tc>
        <w:tc>
          <w:tcPr>
            <w:tcW w:w="1305" w:type="dxa"/>
            <w:shd w:val="clear" w:color="auto" w:fill="auto"/>
          </w:tcPr>
          <w:p>
            <w:pPr>
              <w:rPr>
                <w:noProof/>
                <w:sz w:val="22"/>
              </w:rPr>
            </w:pPr>
            <w:r>
              <w:rPr>
                <w:noProof/>
                <w:sz w:val="22"/>
              </w:rPr>
              <w:t>195</w:t>
            </w:r>
          </w:p>
        </w:tc>
      </w:tr>
      <w:tr>
        <w:tc>
          <w:tcPr>
            <w:tcW w:w="2148" w:type="dxa"/>
            <w:shd w:val="clear" w:color="auto" w:fill="auto"/>
          </w:tcPr>
          <w:p>
            <w:pPr>
              <w:rPr>
                <w:noProof/>
                <w:sz w:val="22"/>
              </w:rPr>
            </w:pPr>
            <w:r>
              <w:rPr>
                <w:noProof/>
                <w:sz w:val="22"/>
              </w:rPr>
              <w:t>Yderligere stillinger</w:t>
            </w:r>
          </w:p>
        </w:tc>
        <w:tc>
          <w:tcPr>
            <w:tcW w:w="1440" w:type="dxa"/>
            <w:shd w:val="clear" w:color="auto" w:fill="auto"/>
          </w:tcPr>
          <w:p>
            <w:pPr>
              <w:rPr>
                <w:noProof/>
                <w:sz w:val="22"/>
              </w:rPr>
            </w:pPr>
            <w:r>
              <w:rPr>
                <w:noProof/>
                <w:sz w:val="22"/>
              </w:rPr>
              <w:t>-</w:t>
            </w:r>
          </w:p>
        </w:tc>
        <w:tc>
          <w:tcPr>
            <w:tcW w:w="1320" w:type="dxa"/>
            <w:shd w:val="clear" w:color="auto" w:fill="auto"/>
          </w:tcPr>
          <w:p>
            <w:pPr>
              <w:rPr>
                <w:noProof/>
                <w:sz w:val="22"/>
              </w:rPr>
            </w:pPr>
            <w:r>
              <w:rPr>
                <w:noProof/>
                <w:sz w:val="22"/>
              </w:rPr>
              <w:t>14</w:t>
            </w:r>
          </w:p>
        </w:tc>
        <w:tc>
          <w:tcPr>
            <w:tcW w:w="1320" w:type="dxa"/>
            <w:shd w:val="clear" w:color="auto" w:fill="auto"/>
          </w:tcPr>
          <w:p>
            <w:pPr>
              <w:rPr>
                <w:noProof/>
                <w:sz w:val="22"/>
              </w:rPr>
            </w:pPr>
            <w:r>
              <w:rPr>
                <w:noProof/>
                <w:sz w:val="22"/>
              </w:rPr>
              <w:t>17</w:t>
            </w:r>
          </w:p>
        </w:tc>
        <w:tc>
          <w:tcPr>
            <w:tcW w:w="1440" w:type="dxa"/>
            <w:shd w:val="clear" w:color="auto" w:fill="auto"/>
          </w:tcPr>
          <w:p>
            <w:pPr>
              <w:rPr>
                <w:noProof/>
                <w:sz w:val="22"/>
              </w:rPr>
            </w:pPr>
            <w:r>
              <w:rPr>
                <w:noProof/>
                <w:sz w:val="22"/>
              </w:rPr>
              <w:t>17</w:t>
            </w:r>
          </w:p>
        </w:tc>
        <w:tc>
          <w:tcPr>
            <w:tcW w:w="1305" w:type="dxa"/>
            <w:shd w:val="clear" w:color="auto" w:fill="auto"/>
          </w:tcPr>
          <w:p>
            <w:pPr>
              <w:rPr>
                <w:noProof/>
                <w:sz w:val="22"/>
              </w:rPr>
            </w:pPr>
            <w:r>
              <w:rPr>
                <w:noProof/>
                <w:sz w:val="22"/>
              </w:rPr>
              <w:t>17</w:t>
            </w:r>
          </w:p>
        </w:tc>
      </w:tr>
      <w:tr>
        <w:tc>
          <w:tcPr>
            <w:tcW w:w="2148" w:type="dxa"/>
            <w:shd w:val="clear" w:color="auto" w:fill="auto"/>
          </w:tcPr>
          <w:p>
            <w:pPr>
              <w:rPr>
                <w:b/>
                <w:noProof/>
                <w:sz w:val="22"/>
              </w:rPr>
            </w:pPr>
            <w:r>
              <w:rPr>
                <w:b/>
                <w:noProof/>
                <w:sz w:val="22"/>
              </w:rPr>
              <w:t>I alt</w:t>
            </w:r>
          </w:p>
        </w:tc>
        <w:tc>
          <w:tcPr>
            <w:tcW w:w="1440" w:type="dxa"/>
            <w:shd w:val="clear" w:color="auto" w:fill="auto"/>
          </w:tcPr>
          <w:p>
            <w:pPr>
              <w:rPr>
                <w:b/>
                <w:noProof/>
                <w:sz w:val="22"/>
              </w:rPr>
            </w:pPr>
            <w:r>
              <w:rPr>
                <w:b/>
                <w:noProof/>
                <w:sz w:val="22"/>
              </w:rPr>
              <w:t>202</w:t>
            </w:r>
          </w:p>
        </w:tc>
        <w:tc>
          <w:tcPr>
            <w:tcW w:w="1320" w:type="dxa"/>
            <w:shd w:val="clear" w:color="auto" w:fill="auto"/>
          </w:tcPr>
          <w:p>
            <w:pPr>
              <w:rPr>
                <w:b/>
                <w:noProof/>
                <w:sz w:val="22"/>
              </w:rPr>
            </w:pPr>
            <w:r>
              <w:rPr>
                <w:b/>
                <w:noProof/>
                <w:sz w:val="22"/>
              </w:rPr>
              <w:t>212</w:t>
            </w:r>
          </w:p>
        </w:tc>
        <w:tc>
          <w:tcPr>
            <w:tcW w:w="1320" w:type="dxa"/>
            <w:shd w:val="clear" w:color="auto" w:fill="auto"/>
          </w:tcPr>
          <w:p>
            <w:pPr>
              <w:rPr>
                <w:b/>
                <w:noProof/>
                <w:sz w:val="22"/>
              </w:rPr>
            </w:pPr>
            <w:r>
              <w:rPr>
                <w:b/>
                <w:noProof/>
                <w:sz w:val="22"/>
              </w:rPr>
              <w:t>212</w:t>
            </w:r>
          </w:p>
        </w:tc>
        <w:tc>
          <w:tcPr>
            <w:tcW w:w="1440" w:type="dxa"/>
            <w:shd w:val="clear" w:color="auto" w:fill="auto"/>
          </w:tcPr>
          <w:p>
            <w:pPr>
              <w:rPr>
                <w:b/>
                <w:noProof/>
                <w:sz w:val="22"/>
              </w:rPr>
            </w:pPr>
            <w:r>
              <w:rPr>
                <w:b/>
                <w:noProof/>
                <w:sz w:val="22"/>
              </w:rPr>
              <w:t>212</w:t>
            </w:r>
          </w:p>
        </w:tc>
        <w:tc>
          <w:tcPr>
            <w:tcW w:w="1305" w:type="dxa"/>
            <w:shd w:val="clear" w:color="auto" w:fill="auto"/>
          </w:tcPr>
          <w:p>
            <w:pPr>
              <w:rPr>
                <w:b/>
                <w:noProof/>
                <w:sz w:val="22"/>
              </w:rPr>
            </w:pPr>
            <w:r>
              <w:rPr>
                <w:b/>
                <w:noProof/>
                <w:sz w:val="22"/>
              </w:rPr>
              <w:t>212</w:t>
            </w:r>
          </w:p>
        </w:tc>
      </w:tr>
    </w:tbl>
    <w:p>
      <w:pPr>
        <w:rPr>
          <w:noProof/>
          <w:u w:val="single"/>
        </w:rPr>
      </w:pPr>
    </w:p>
    <w:p>
      <w:pPr>
        <w:rPr>
          <w:noProof/>
          <w:u w:val="single"/>
        </w:rPr>
      </w:pPr>
    </w:p>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Anslået behov for menneskelige ressourcer i det overordnede generaldirektorat</w:t>
      </w:r>
    </w:p>
    <w:p>
      <w:pPr>
        <w:pStyle w:val="ListDash1"/>
        <w:rPr>
          <w:noProof/>
        </w:rPr>
      </w:pPr>
      <w:r>
        <w:rPr>
          <w:noProof/>
        </w:rPr>
        <w:sym w:font="Wingdings" w:char="F078"/>
      </w:r>
      <w:r>
        <w:rPr>
          <w:noProof/>
        </w:rPr>
        <w:tab/>
        <w:t xml:space="preserve">Forslaget/initiativet medfører ikke anvendelse af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425"/>
        <w:gridCol w:w="601"/>
        <w:gridCol w:w="570"/>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N+1</w:t>
            </w:r>
          </w:p>
        </w:tc>
        <w:tc>
          <w:tcPr>
            <w:tcW w:w="1663" w:type="pct"/>
            <w:shd w:val="clear" w:color="auto" w:fill="auto"/>
            <w:vAlign w:val="center"/>
          </w:tcPr>
          <w:p>
            <w:pPr>
              <w:spacing w:before="20" w:after="20"/>
              <w:jc w:val="center"/>
              <w:rPr>
                <w:noProof/>
                <w:sz w:val="16"/>
                <w:szCs w:val="16"/>
              </w:rPr>
            </w:pPr>
            <w:r>
              <w:rPr>
                <w:noProof/>
                <w:sz w:val="16"/>
              </w:rPr>
              <w:t xml:space="preserve">År </w:t>
            </w:r>
            <w:r>
              <w:rPr>
                <w:b/>
                <w:noProof/>
                <w:sz w:val="16"/>
              </w:rPr>
              <w:t>N+2</w:t>
            </w:r>
          </w:p>
        </w:tc>
        <w:tc>
          <w:tcPr>
            <w:tcW w:w="292" w:type="pct"/>
            <w:shd w:val="clear" w:color="auto" w:fill="auto"/>
            <w:vAlign w:val="center"/>
          </w:tcPr>
          <w:p>
            <w:pPr>
              <w:spacing w:before="20" w:after="20"/>
              <w:jc w:val="center"/>
              <w:rPr>
                <w:noProof/>
                <w:sz w:val="16"/>
                <w:szCs w:val="16"/>
              </w:rPr>
            </w:pPr>
            <w:r>
              <w:rPr>
                <w:noProof/>
                <w:sz w:val="16"/>
              </w:rPr>
              <w:t xml:space="preserve">År </w:t>
            </w:r>
            <w:r>
              <w:rPr>
                <w:b/>
                <w:noProof/>
                <w:sz w:val="16"/>
              </w:rPr>
              <w:t>N+3</w:t>
            </w:r>
          </w:p>
        </w:tc>
        <w:tc>
          <w:tcPr>
            <w:tcW w:w="506" w:type="pct"/>
            <w:gridSpan w:val="3"/>
            <w:shd w:val="clear" w:color="auto" w:fill="auto"/>
            <w:vAlign w:val="center"/>
          </w:tcPr>
          <w:p>
            <w:pPr>
              <w:jc w:val="center"/>
              <w:rPr>
                <w:b/>
                <w:noProof/>
                <w:sz w:val="16"/>
                <w:szCs w:val="16"/>
              </w:rPr>
            </w:pPr>
            <w:r>
              <w:rPr>
                <w:noProof/>
                <w:sz w:val="16"/>
              </w:rPr>
              <w:t xml:space="preserve">Der indsættes flere år, hvis virkningerne varer længere </w:t>
            </w:r>
            <w:r>
              <w:rPr>
                <w:noProof/>
                <w:sz w:val="16"/>
              </w:rPr>
              <w:br/>
              <w:t>(jf. punkt 1.6)</w:t>
            </w:r>
          </w:p>
        </w:tc>
      </w:tr>
      <w:tr>
        <w:trPr>
          <w:gridBefore w:val="1"/>
          <w:wBefore w:w="6" w:type="pct"/>
          <w:trHeight w:val="289"/>
          <w:jc w:val="center"/>
        </w:trPr>
        <w:tc>
          <w:tcPr>
            <w:tcW w:w="4196" w:type="pct"/>
            <w:gridSpan w:val="5"/>
            <w:shd w:val="clear" w:color="auto" w:fill="auto"/>
          </w:tcPr>
          <w:p>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292" w:type="pct"/>
            <w:shd w:val="clear" w:color="auto" w:fill="auto"/>
            <w:vAlign w:val="center"/>
          </w:tcPr>
          <w:p>
            <w:pPr>
              <w:spacing w:before="20" w:after="20"/>
              <w:jc w:val="center"/>
              <w:rPr>
                <w:noProof/>
                <w:sz w:val="16"/>
                <w:szCs w:val="16"/>
              </w:rPr>
            </w:pPr>
          </w:p>
        </w:tc>
        <w:tc>
          <w:tcPr>
            <w:tcW w:w="506"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798" w:type="pct"/>
          <w:trHeight w:val="248"/>
          <w:jc w:val="center"/>
        </w:trPr>
        <w:tc>
          <w:tcPr>
            <w:tcW w:w="4202"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 )</w:t>
            </w:r>
            <w:r>
              <w:rPr>
                <w:rStyle w:val="FootnoteReference"/>
                <w:b/>
                <w:noProof/>
                <w:sz w:val="16"/>
              </w:rPr>
              <w:footnoteReference w:id="9"/>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åå</w:t>
            </w:r>
            <w:r>
              <w:rPr>
                <w:b/>
                <w:i/>
                <w:noProof/>
                <w:sz w:val="16"/>
              </w:rPr>
              <w:t xml:space="preserve"> </w:t>
            </w:r>
            <w:r>
              <w:rPr>
                <w:rStyle w:val="FootnoteReference"/>
                <w:b/>
                <w:i/>
                <w:noProof/>
                <w:sz w:val="16"/>
              </w:rPr>
              <w:footnoteReference w:id="1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63"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277"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318" w:type="pct"/>
            <w:shd w:val="clear" w:color="auto" w:fill="auto"/>
            <w:vAlign w:val="center"/>
          </w:tcPr>
          <w:p>
            <w:pPr>
              <w:spacing w:beforeLines="20" w:before="48" w:afterLines="20" w:after="48"/>
              <w:jc w:val="center"/>
              <w:rPr>
                <w:noProof/>
                <w:sz w:val="16"/>
                <w:szCs w:val="16"/>
                <w:lang w:val="nb-NO"/>
              </w:rPr>
            </w:pPr>
          </w:p>
        </w:tc>
        <w:tc>
          <w:tcPr>
            <w:tcW w:w="318" w:type="pct"/>
            <w:shd w:val="clear" w:color="auto" w:fill="auto"/>
            <w:vAlign w:val="center"/>
          </w:tcPr>
          <w:p>
            <w:pPr>
              <w:spacing w:beforeLines="20" w:before="48" w:afterLines="20" w:after="48"/>
              <w:jc w:val="center"/>
              <w:rPr>
                <w:noProof/>
                <w:sz w:val="16"/>
                <w:szCs w:val="16"/>
                <w:lang w:val="nb-NO"/>
              </w:rPr>
            </w:pPr>
          </w:p>
        </w:tc>
        <w:tc>
          <w:tcPr>
            <w:tcW w:w="1663" w:type="pct"/>
            <w:shd w:val="clear" w:color="auto" w:fill="auto"/>
            <w:vAlign w:val="center"/>
          </w:tcPr>
          <w:p>
            <w:pPr>
              <w:spacing w:beforeLines="20" w:before="48" w:afterLines="20" w:after="48"/>
              <w:jc w:val="center"/>
              <w:rPr>
                <w:noProof/>
                <w:sz w:val="16"/>
                <w:szCs w:val="16"/>
                <w:lang w:val="nb-NO"/>
              </w:rPr>
            </w:pPr>
          </w:p>
        </w:tc>
        <w:tc>
          <w:tcPr>
            <w:tcW w:w="292" w:type="pct"/>
            <w:shd w:val="clear" w:color="auto" w:fill="auto"/>
            <w:vAlign w:val="center"/>
          </w:tcPr>
          <w:p>
            <w:pPr>
              <w:spacing w:beforeLines="20" w:before="48" w:afterLines="20" w:after="48"/>
              <w:jc w:val="center"/>
              <w:rPr>
                <w:noProof/>
                <w:sz w:val="16"/>
                <w:szCs w:val="16"/>
                <w:lang w:val="nb-NO"/>
              </w:rPr>
            </w:pPr>
          </w:p>
        </w:tc>
        <w:tc>
          <w:tcPr>
            <w:tcW w:w="277"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6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66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Forenelighed med indeværende flerårige finansielle ramme </w:t>
      </w:r>
    </w:p>
    <w:p>
      <w:pPr>
        <w:pStyle w:val="ListDash1"/>
        <w:rPr>
          <w:noProof/>
        </w:rPr>
      </w:pPr>
      <w:r>
        <w:rPr>
          <w:noProof/>
        </w:rPr>
        <w:sym w:font="Wingdings" w:char="F0A8"/>
      </w:r>
      <w:r>
        <w:rPr>
          <w:noProof/>
        </w:rPr>
        <w:tab/>
        <w:t>Forslaget/initiativet er foreneligt med indeværende flerårige finansielle ramme.</w:t>
      </w:r>
    </w:p>
    <w:p>
      <w:pPr>
        <w:pStyle w:val="ListDash1"/>
        <w:rPr>
          <w:noProof/>
        </w:rPr>
      </w:pPr>
      <w:r>
        <w:rPr>
          <w:noProof/>
        </w:rPr>
        <w:sym w:font="Wingdings" w:char="F07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060203 Det Europæiske Agentur for Søfartssikkerhed</w:t>
      </w: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 xml:space="preserve">Der indsættes flere år, hvis virkningerne varer længere </w:t>
            </w:r>
            <w:r>
              <w:rPr>
                <w:noProof/>
                <w:sz w:val="20"/>
              </w:rPr>
              <w:br/>
              <w:t>(jf.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vAlign w:val="center"/>
          </w:tcPr>
          <w:p>
            <w:pPr>
              <w:jc w:val="left"/>
              <w:rPr>
                <w:noProof/>
                <w:sz w:val="22"/>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Anslåede virkninger for indtægterne </w:t>
      </w:r>
    </w:p>
    <w:p>
      <w:pPr>
        <w:pStyle w:val="ListDash1"/>
        <w:rPr>
          <w:noProof/>
        </w:rPr>
      </w:pPr>
      <w:r>
        <w:rPr>
          <w:noProof/>
        </w:rPr>
        <w:sym w:font="Wingdings" w:char="F078"/>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1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rPr>
          <w:lang w:val="en-GB"/>
        </w:rPr>
      </w:pPr>
      <w:r>
        <w:rPr>
          <w:rStyle w:val="FootnoteReference"/>
        </w:rPr>
        <w:footnoteRef/>
      </w:r>
      <w:r>
        <w:rPr>
          <w:lang w:val="en-GB"/>
        </w:rPr>
        <w:tab/>
        <w:t xml:space="preserve">Study on the feasibility of improved cooperation between bodies carrying out European Coast Guard functions (94 sider), </w:t>
      </w:r>
      <w:hyperlink r:id="rId1">
        <w:r>
          <w:rPr>
            <w:rStyle w:val="Hyperlink"/>
            <w:lang w:val="en-GB"/>
          </w:rPr>
          <w:t>http://ec.europa.eu/transport/modes/maritime/studies/doc/2014-06-icf-coastguard.pdf</w:t>
        </w:r>
      </w:hyperlink>
      <w:r>
        <w:rPr>
          <w:rStyle w:val="Hyperlink"/>
          <w:u w:val="none"/>
          <w:lang w:val="en-GB"/>
        </w:rPr>
        <w:t>.</w:t>
      </w:r>
    </w:p>
  </w:footnote>
  <w:footnote w:id="2">
    <w:p>
      <w:pPr>
        <w:pStyle w:val="FootnoteText"/>
      </w:pPr>
      <w:r>
        <w:rPr>
          <w:rStyle w:val="FootnoteReference"/>
        </w:rPr>
        <w:footnoteRef/>
      </w:r>
      <w:r>
        <w:tab/>
        <w:t>Forordning 1406/2002 om oprettelse af et europæisk agentur for søfartssikkerhed (betragtning 30).</w:t>
      </w:r>
    </w:p>
  </w:footnote>
  <w:footnote w:id="3">
    <w:p>
      <w:pPr>
        <w:pStyle w:val="FootnoteText"/>
        <w:rPr>
          <w:szCs w:val="24"/>
        </w:rPr>
      </w:pPr>
      <w:r>
        <w:rPr>
          <w:rStyle w:val="FootnoteReference"/>
        </w:rPr>
        <w:footnoteRef/>
      </w:r>
      <w:r>
        <w:tab/>
        <w:t>ABM: Activity Based Management (aktivitetsbaseret ledelse) ABB: Activity Based Budgeting (aktivitetsbaseret budgetlægning).</w:t>
      </w:r>
    </w:p>
  </w:footnote>
  <w:footnote w:id="4">
    <w:p>
      <w:pPr>
        <w:pStyle w:val="FootnoteText"/>
        <w:rPr>
          <w:szCs w:val="24"/>
        </w:rPr>
      </w:pPr>
      <w:r>
        <w:rPr>
          <w:rStyle w:val="FootnoteReference"/>
        </w:rPr>
        <w:footnoteRef/>
      </w:r>
      <w:r>
        <w:tab/>
        <w:t>Jf. finansforordningens artikel 54, stk. 2, litra a) hhv. b).</w:t>
      </w:r>
    </w:p>
  </w:footnote>
  <w:footnote w:id="5">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2">
        <w:r>
          <w:rPr>
            <w:rStyle w:val="Hyperlink"/>
            <w:sz w:val="18"/>
          </w:rPr>
          <w:t>http://www.cc.cec/budg/man/budgmanag/budgmanag_en.html</w:t>
        </w:r>
      </w:hyperlink>
      <w:r>
        <w:rPr>
          <w:rStyle w:val="Hyperlink"/>
          <w:sz w:val="18"/>
          <w:u w:val="none"/>
        </w:rPr>
        <w:t>.</w:t>
      </w:r>
    </w:p>
  </w:footnote>
  <w:footnote w:id="6">
    <w:p>
      <w:pPr>
        <w:pStyle w:val="FootnoteText"/>
        <w:rPr>
          <w:szCs w:val="24"/>
        </w:rPr>
      </w:pPr>
      <w:r>
        <w:rPr>
          <w:rStyle w:val="FootnoteReference"/>
        </w:rPr>
        <w:footnoteRef/>
      </w:r>
      <w:r>
        <w:tab/>
        <w:t>OB = opdelte bevillinger/IOB = ikke-opdelte bevillinger.</w:t>
      </w:r>
    </w:p>
  </w:footnote>
  <w:footnote w:id="7">
    <w:p>
      <w:pPr>
        <w:pStyle w:val="FootnoteText"/>
        <w:rPr>
          <w:szCs w:val="24"/>
        </w:rPr>
      </w:pPr>
      <w:r>
        <w:rPr>
          <w:rStyle w:val="FootnoteReference"/>
        </w:rPr>
        <w:footnoteRef/>
      </w:r>
      <w:r>
        <w:tab/>
        <w:t xml:space="preserve">EFTA-lande: Den Europæiske Frihandelssammenslutning. </w:t>
      </w:r>
    </w:p>
  </w:footnote>
  <w:footnote w:id="8">
    <w:p>
      <w:pPr>
        <w:pStyle w:val="FootnoteText"/>
        <w:rPr>
          <w:szCs w:val="24"/>
        </w:rPr>
      </w:pPr>
      <w:r>
        <w:rPr>
          <w:rStyle w:val="FootnoteReference"/>
        </w:rPr>
        <w:footnoteRef/>
      </w:r>
      <w:r>
        <w:tab/>
        <w:t>Kandidatlande og, efter omstændighederne, potentielle kandidatlande på Vestbalkan.</w:t>
      </w:r>
    </w:p>
  </w:footnote>
  <w:footnote w:id="9">
    <w:p>
      <w:pPr>
        <w:pStyle w:val="FootnoteText"/>
        <w:rPr>
          <w:szCs w:val="24"/>
        </w:rPr>
      </w:pPr>
      <w:r>
        <w:rPr>
          <w:rStyle w:val="FootnoteReference"/>
        </w:rPr>
        <w:footnoteRef/>
      </w:r>
      <w:r>
        <w:tab/>
        <w:t xml:space="preserve">KA = kontraktansatte, LA = lokalt ansatte, UNE = udstationerede nationale eksperter, V = vikarer, JED = junioreksperter ved delegationerne. </w:t>
      </w:r>
    </w:p>
  </w:footnote>
  <w:footnote w:id="10">
    <w:p>
      <w:pPr>
        <w:pStyle w:val="FootnoteText"/>
        <w:rPr>
          <w:szCs w:val="24"/>
        </w:rPr>
      </w:pPr>
      <w:r>
        <w:rPr>
          <w:rStyle w:val="FootnoteReference"/>
        </w:rPr>
        <w:footnoteRef/>
      </w:r>
      <w:r>
        <w:tab/>
        <w:t>Delloft for eksternt personale under aktionsbevillingerne (tidligere BA-poster).</w:t>
      </w:r>
    </w:p>
  </w:footnote>
  <w:footnote w:id="11">
    <w:p>
      <w:pPr>
        <w:pStyle w:val="FootnoteText"/>
        <w:rPr>
          <w:szCs w:val="24"/>
        </w:rPr>
      </w:pPr>
      <w:r>
        <w:rPr>
          <w:rStyle w:val="FootnoteReference"/>
        </w:rPr>
        <w:footnoteRef/>
      </w:r>
      <w:r>
        <w:tab/>
        <w:t>Med hensyn til EU's traditionelle egne indtægter (told,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CC8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A1B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8C683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9221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5AA8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0"/>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5 16:29: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49F0243C184F4494909EECDDA6B130BA"/>
    <w:docVar w:name="LW_CROSSREFERENCE" w:val="&lt;UNUSED&gt;"/>
    <w:docVar w:name="LW_DocType" w:val="COM"/>
    <w:docVar w:name="LW_EMISSION" w:val="15.12.2015"/>
    <w:docVar w:name="LW_EMISSION_ISODATE" w:val="2015-12-15"/>
    <w:docVar w:name="LW_EMISSION_LOCATION" w:val="STR"/>
    <w:docVar w:name="LW_EMISSION_PREFIX" w:val="Strasbourg,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13"/>
    <w:docVar w:name="LW_REF.II.NEW.CP_YEAR" w:val="2015"/>
    <w:docVar w:name="LW_REF.INST.NEW" w:val="COM"/>
    <w:docVar w:name="LW_REF.INST.NEW_ADOPTED" w:val="final"/>
    <w:docVar w:name="LW_REF.INST.NEW_TEXT" w:val="(2015) 667"/>
    <w:docVar w:name="LW_REF.INTERNE" w:val="&lt;UNUSED&gt;"/>
    <w:docVar w:name="LW_SOUS.TITRE.OBJ.CP" w:val="&lt;UNUSED&gt;"/>
    <w:docVar w:name="LW_STATUT.CP" w:val="Forslag til"/>
    <w:docVar w:name="LW_SUPERTITRE" w:val="&lt;UNUSED&gt;"/>
    <w:docVar w:name="LW_TITRE.OBJ.CP" w:val="om ændring af forordning (EF) nr. 1406/2002 om oprettelse af et europæisk agentur for søfartssikkerhed"/>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166">
      <w:bodyDiv w:val="1"/>
      <w:marLeft w:val="0"/>
      <w:marRight w:val="0"/>
      <w:marTop w:val="0"/>
      <w:marBottom w:val="0"/>
      <w:divBdr>
        <w:top w:val="none" w:sz="0" w:space="0" w:color="auto"/>
        <w:left w:val="none" w:sz="0" w:space="0" w:color="auto"/>
        <w:bottom w:val="none" w:sz="0" w:space="0" w:color="auto"/>
        <w:right w:val="none" w:sz="0" w:space="0" w:color="auto"/>
      </w:divBdr>
    </w:div>
    <w:div w:id="317807775">
      <w:bodyDiv w:val="1"/>
      <w:marLeft w:val="0"/>
      <w:marRight w:val="0"/>
      <w:marTop w:val="0"/>
      <w:marBottom w:val="0"/>
      <w:divBdr>
        <w:top w:val="none" w:sz="0" w:space="0" w:color="auto"/>
        <w:left w:val="none" w:sz="0" w:space="0" w:color="auto"/>
        <w:bottom w:val="none" w:sz="0" w:space="0" w:color="auto"/>
        <w:right w:val="none" w:sz="0" w:space="0" w:color="auto"/>
      </w:divBdr>
    </w:div>
    <w:div w:id="436489572">
      <w:bodyDiv w:val="1"/>
      <w:marLeft w:val="0"/>
      <w:marRight w:val="0"/>
      <w:marTop w:val="0"/>
      <w:marBottom w:val="0"/>
      <w:divBdr>
        <w:top w:val="none" w:sz="0" w:space="0" w:color="auto"/>
        <w:left w:val="none" w:sz="0" w:space="0" w:color="auto"/>
        <w:bottom w:val="none" w:sz="0" w:space="0" w:color="auto"/>
        <w:right w:val="none" w:sz="0" w:space="0" w:color="auto"/>
      </w:divBdr>
    </w:div>
    <w:div w:id="1009016516">
      <w:bodyDiv w:val="1"/>
      <w:marLeft w:val="0"/>
      <w:marRight w:val="0"/>
      <w:marTop w:val="0"/>
      <w:marBottom w:val="0"/>
      <w:divBdr>
        <w:top w:val="none" w:sz="0" w:space="0" w:color="auto"/>
        <w:left w:val="none" w:sz="0" w:space="0" w:color="auto"/>
        <w:bottom w:val="none" w:sz="0" w:space="0" w:color="auto"/>
        <w:right w:val="none" w:sz="0" w:space="0" w:color="auto"/>
      </w:divBdr>
    </w:div>
    <w:div w:id="1546063763">
      <w:bodyDiv w:val="1"/>
      <w:marLeft w:val="0"/>
      <w:marRight w:val="0"/>
      <w:marTop w:val="0"/>
      <w:marBottom w:val="0"/>
      <w:divBdr>
        <w:top w:val="none" w:sz="0" w:space="0" w:color="auto"/>
        <w:left w:val="none" w:sz="0" w:space="0" w:color="auto"/>
        <w:bottom w:val="none" w:sz="0" w:space="0" w:color="auto"/>
        <w:right w:val="none" w:sz="0" w:space="0" w:color="auto"/>
      </w:divBdr>
    </w:div>
    <w:div w:id="16805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transport/modes/maritime/studies/doc/2014-06-icf-coastguar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30</Pages>
  <Words>7265</Words>
  <Characters>45918</Characters>
  <Application>Microsoft Office Word</Application>
  <DocSecurity>0</DocSecurity>
  <Lines>1639</Lines>
  <Paragraphs>933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2016-01-12T18:33:00Z</cp:lastPrinted>
  <dcterms:created xsi:type="dcterms:W3CDTF">2016-01-14T16:11:00Z</dcterms:created>
  <dcterms:modified xsi:type="dcterms:W3CDTF">2016-01-15T15:29:00Z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