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59657F2DC37429BAEBB51A29A7BE94C" style="width:450.75pt;height:6in">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2013/0014 (COD)</w:t>
      </w:r>
    </w:p>
    <w:p>
      <w:pPr>
        <w:pStyle w:val="Typedudocument"/>
        <w:rPr>
          <w:noProof/>
        </w:rPr>
      </w:pPr>
      <w:r>
        <w:rPr>
          <w:noProof/>
        </w:rPr>
        <w:t>COMUNICARE A COMISIEI CĂTRE PARLAMENTUL EUROPEAN</w:t>
      </w:r>
      <w:r>
        <w:rPr>
          <w:noProof/>
        </w:rPr>
        <w:br/>
      </w:r>
      <w:r>
        <w:rPr>
          <w:noProof/>
        </w:rPr>
        <w:br/>
        <w:t>în conformitate cu articolul 294 alineatul (6) din Tratatul privind funcţionarea Uniunii Europene</w:t>
      </w:r>
      <w:r>
        <w:rPr>
          <w:noProof/>
        </w:rPr>
        <w:br/>
      </w:r>
      <w:r>
        <w:rPr>
          <w:noProof/>
        </w:rPr>
        <w:br/>
        <w:t>privind</w:t>
      </w:r>
    </w:p>
    <w:p>
      <w:pPr>
        <w:pStyle w:val="Titreobjet"/>
        <w:rPr>
          <w:noProof/>
        </w:rPr>
      </w:pPr>
      <w:r>
        <w:rPr>
          <w:noProof/>
        </w:rPr>
        <w:t>poziția Consiliului referitoare la adoptarea noului regulament privind Agenția pentru Căi Ferate a Uniunii Europene și de abrogare a Regulamentului (CE) nr. 881/2004</w:t>
      </w:r>
    </w:p>
    <w:p>
      <w:pPr>
        <w:pStyle w:val="IntrtEEE"/>
        <w:rPr>
          <w:noProof/>
        </w:rPr>
      </w:pPr>
      <w:r>
        <w:rPr>
          <w:noProof/>
        </w:rPr>
        <w:t>(Text cu relevanță pentru SEE)</w:t>
      </w:r>
    </w:p>
    <w:p>
      <w:pPr>
        <w:pStyle w:val="ManualHeading1"/>
        <w:rPr>
          <w:noProof/>
        </w:rPr>
      </w:pPr>
      <w:r>
        <w:rPr>
          <w:noProof/>
        </w:rPr>
        <w:t>1.</w:t>
      </w:r>
      <w:r>
        <w:rPr>
          <w:noProof/>
        </w:rPr>
        <w:tab/>
        <w:t>Context</w:t>
      </w:r>
    </w:p>
    <w:p>
      <w:pPr>
        <w:tabs>
          <w:tab w:val="left" w:pos="426"/>
          <w:tab w:val="left" w:pos="851"/>
          <w:tab w:val="left" w:pos="1276"/>
        </w:tabs>
        <w:spacing w:after="100" w:afterAutospacing="1"/>
        <w:rPr>
          <w:noProof/>
        </w:rPr>
      </w:pPr>
      <w:r>
        <w:rPr>
          <w:noProof/>
        </w:rPr>
        <w:t>La 30 ianuarie 2013, Comisia a adoptat un amplu pachet de șase propuneri legislative menite să asigure o calitate mai bună și o ofertă mai variată în sectorul serviciilor de transport feroviar din Europa.</w:t>
      </w:r>
    </w:p>
    <w:p>
      <w:pPr>
        <w:spacing w:after="100" w:afterAutospacing="1"/>
        <w:rPr>
          <w:noProof/>
        </w:rPr>
      </w:pPr>
      <w:r>
        <w:rPr>
          <w:noProof/>
        </w:rPr>
        <w:t>Este necesară îmbunătățirea calității și a eficienței serviciilor pentru ca transportul feroviar să devină o alegere mai atractivă pentru călători și pentru a încuraja transferul modal. Deși fondurile publice sunt limitate, se poate obține un raport calitate-preț mai bun și se poate atinge durabilitatea.</w:t>
      </w:r>
    </w:p>
    <w:p>
      <w:pPr>
        <w:tabs>
          <w:tab w:val="left" w:pos="426"/>
          <w:tab w:val="left" w:pos="851"/>
          <w:tab w:val="left" w:pos="1276"/>
        </w:tabs>
        <w:rPr>
          <w:noProof/>
        </w:rPr>
      </w:pPr>
      <w:r>
        <w:rPr>
          <w:noProof/>
        </w:rPr>
        <w:t>Pachetul urmărește totodată încurajarea inovării în sectorul feroviar din UE pentru a răspunde așteptărilor utilizatorilor, în trei moduri diferite, dar interdependente:</w:t>
      </w:r>
    </w:p>
    <w:p>
      <w:pPr>
        <w:pStyle w:val="Point0number"/>
        <w:numPr>
          <w:ilvl w:val="0"/>
          <w:numId w:val="5"/>
        </w:numPr>
        <w:rPr>
          <w:noProof/>
        </w:rPr>
      </w:pPr>
      <w:r>
        <w:rPr>
          <w:noProof/>
        </w:rPr>
        <w:t>deschizând piețele interne ale transportului de călători către concurență și făcând obligatorie scoaterea la licitație a contractelor de servicii publice;</w:t>
      </w:r>
    </w:p>
    <w:p>
      <w:pPr>
        <w:pStyle w:val="Point0number"/>
        <w:rPr>
          <w:noProof/>
        </w:rPr>
      </w:pPr>
      <w:r>
        <w:rPr>
          <w:noProof/>
        </w:rPr>
        <w:t>consolidând independența administratorilor de infrastructură, astfel încât aceștia să controleze toate funcțiile de bază ale rețelei feroviare și asigurând accesul echitabil al tuturor la căile ferate;</w:t>
      </w:r>
    </w:p>
    <w:p>
      <w:pPr>
        <w:pStyle w:val="Point0number"/>
        <w:rPr>
          <w:noProof/>
        </w:rPr>
      </w:pPr>
      <w:r>
        <w:rPr>
          <w:noProof/>
        </w:rPr>
        <w:t>consolidând rolul agenției astfel încât aceasta să devină un „ghișeu unic” pentru eliberarea unor autorizații de introducere pe piață a vehiculelor și a unor certificate de siguranță pentru operatori valabile în întreaga UE.</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la care a fost transmisă propunerea către Parlamentul European și Consiliu</w:t>
            </w:r>
            <w:r>
              <w:rPr>
                <w:noProof/>
              </w:rPr>
              <w:br/>
              <w:t>[documentul COM(2013) 27 final — 2013/0014 COD]:</w:t>
            </w:r>
          </w:p>
        </w:tc>
        <w:tc>
          <w:tcPr>
            <w:tcW w:w="2483" w:type="dxa"/>
          </w:tcPr>
          <w:p>
            <w:pPr>
              <w:jc w:val="left"/>
              <w:rPr>
                <w:noProof/>
              </w:rPr>
            </w:pPr>
            <w:r>
              <w:rPr>
                <w:noProof/>
              </w:rPr>
              <w:br/>
            </w:r>
            <w:r>
              <w:rPr>
                <w:noProof/>
              </w:rPr>
              <w:br/>
              <w:t>31 ianuarie 2013</w:t>
            </w:r>
          </w:p>
        </w:tc>
      </w:tr>
      <w:tr>
        <w:tc>
          <w:tcPr>
            <w:tcW w:w="6804" w:type="dxa"/>
          </w:tcPr>
          <w:p>
            <w:pPr>
              <w:rPr>
                <w:noProof/>
              </w:rPr>
            </w:pPr>
            <w:r>
              <w:rPr>
                <w:noProof/>
              </w:rPr>
              <w:t xml:space="preserve">Data avizului Comitetului Economic și Social European: </w:t>
            </w:r>
          </w:p>
        </w:tc>
        <w:tc>
          <w:tcPr>
            <w:tcW w:w="2483" w:type="dxa"/>
          </w:tcPr>
          <w:p>
            <w:pPr>
              <w:jc w:val="left"/>
              <w:rPr>
                <w:noProof/>
              </w:rPr>
            </w:pPr>
            <w:r>
              <w:rPr>
                <w:noProof/>
              </w:rPr>
              <w:br/>
              <w:t>10 iulie 2013</w:t>
            </w:r>
          </w:p>
        </w:tc>
      </w:tr>
      <w:tr>
        <w:tc>
          <w:tcPr>
            <w:tcW w:w="6804" w:type="dxa"/>
          </w:tcPr>
          <w:p>
            <w:pPr>
              <w:rPr>
                <w:noProof/>
              </w:rPr>
            </w:pPr>
            <w:r>
              <w:rPr>
                <w:noProof/>
              </w:rPr>
              <w:t xml:space="preserve">Data avizului Comitetului Regiunilor: </w:t>
            </w:r>
          </w:p>
        </w:tc>
        <w:tc>
          <w:tcPr>
            <w:tcW w:w="2483" w:type="dxa"/>
          </w:tcPr>
          <w:p>
            <w:pPr>
              <w:jc w:val="left"/>
              <w:rPr>
                <w:noProof/>
              </w:rPr>
            </w:pPr>
            <w:r>
              <w:rPr>
                <w:noProof/>
              </w:rPr>
              <w:t>8 octombrie 2013</w:t>
            </w:r>
          </w:p>
        </w:tc>
      </w:tr>
      <w:tr>
        <w:tc>
          <w:tcPr>
            <w:tcW w:w="6804" w:type="dxa"/>
          </w:tcPr>
          <w:p>
            <w:pPr>
              <w:rPr>
                <w:noProof/>
              </w:rPr>
            </w:pPr>
            <w:r>
              <w:rPr>
                <w:noProof/>
              </w:rPr>
              <w:lastRenderedPageBreak/>
              <w:t xml:space="preserve">Data poziției Parlamentului European la prima lectură: </w:t>
            </w:r>
          </w:p>
        </w:tc>
        <w:tc>
          <w:tcPr>
            <w:tcW w:w="2483" w:type="dxa"/>
          </w:tcPr>
          <w:p>
            <w:pPr>
              <w:jc w:val="left"/>
              <w:rPr>
                <w:noProof/>
              </w:rPr>
            </w:pPr>
            <w:r>
              <w:rPr>
                <w:noProof/>
              </w:rPr>
              <w:t>26 februarie 2014</w:t>
            </w:r>
          </w:p>
        </w:tc>
      </w:tr>
      <w:tr>
        <w:tc>
          <w:tcPr>
            <w:tcW w:w="6804" w:type="dxa"/>
          </w:tcPr>
          <w:p>
            <w:pPr>
              <w:rPr>
                <w:noProof/>
              </w:rPr>
            </w:pPr>
            <w:r>
              <w:rPr>
                <w:noProof/>
              </w:rPr>
              <w:t>Data adoptării poziției Consiliului:</w:t>
            </w:r>
          </w:p>
        </w:tc>
        <w:tc>
          <w:tcPr>
            <w:tcW w:w="2483" w:type="dxa"/>
          </w:tcPr>
          <w:p>
            <w:pPr>
              <w:jc w:val="left"/>
              <w:rPr>
                <w:noProof/>
              </w:rPr>
            </w:pPr>
            <w:r>
              <w:rPr>
                <w:noProof/>
              </w:rPr>
              <w:t>10 decembrie 2015</w:t>
            </w:r>
          </w:p>
          <w:p>
            <w:pPr>
              <w:jc w:val="left"/>
              <w:rPr>
                <w:noProof/>
                <w:color w:val="FF0000"/>
              </w:rPr>
            </w:pPr>
          </w:p>
        </w:tc>
      </w:tr>
    </w:tbl>
    <w:p>
      <w:pPr>
        <w:pStyle w:val="ManualHeading1"/>
        <w:rPr>
          <w:noProof/>
        </w:rPr>
      </w:pPr>
      <w:r>
        <w:rPr>
          <w:noProof/>
        </w:rPr>
        <w:t>2.</w:t>
      </w:r>
      <w:r>
        <w:rPr>
          <w:noProof/>
        </w:rPr>
        <w:tab/>
        <w:t>Obiectul propunerii Comisiei</w:t>
      </w:r>
    </w:p>
    <w:p>
      <w:pPr>
        <w:tabs>
          <w:tab w:val="left" w:pos="426"/>
          <w:tab w:val="left" w:pos="851"/>
          <w:tab w:val="left" w:pos="1276"/>
        </w:tabs>
        <w:rPr>
          <w:noProof/>
        </w:rPr>
      </w:pPr>
      <w:r>
        <w:rPr>
          <w:noProof/>
        </w:rPr>
        <w:t xml:space="preserve">Regulamentul privind Agenția pentru Căi Ferate a Uniunii Europene și de abrogare a Regulamentului (CE) nr. 881/2004 este una dintre cele șase propuneri legislative adoptate de Comisie la 30 ianuarie 2013 în cadrul celui de-al patrulea pachet feroviar. </w:t>
      </w:r>
    </w:p>
    <w:p>
      <w:pPr>
        <w:pStyle w:val="ListParagraph"/>
        <w:ind w:left="0"/>
        <w:jc w:val="both"/>
        <w:rPr>
          <w:rFonts w:ascii="Times New Roman" w:hAnsi="Times New Roman"/>
          <w:noProof/>
          <w:sz w:val="24"/>
          <w:szCs w:val="24"/>
        </w:rPr>
      </w:pPr>
      <w:r>
        <w:rPr>
          <w:rFonts w:ascii="Times New Roman" w:hAnsi="Times New Roman"/>
          <w:noProof/>
          <w:sz w:val="24"/>
        </w:rPr>
        <w:t>Principalul obiectiv al revizuirii Regulamentului privind înființarea unei Agenții Europene a Căilor Ferate (denumită în continuare „agenția”)</w:t>
      </w:r>
      <w:r>
        <w:rPr>
          <w:rStyle w:val="FootnoteReference"/>
          <w:rFonts w:ascii="Times New Roman" w:hAnsi="Times New Roman"/>
          <w:noProof/>
          <w:sz w:val="24"/>
        </w:rPr>
        <w:footnoteReference w:id="1"/>
      </w:r>
      <w:r>
        <w:rPr>
          <w:rFonts w:ascii="Times New Roman" w:hAnsi="Times New Roman"/>
          <w:noProof/>
          <w:sz w:val="24"/>
        </w:rPr>
        <w:t xml:space="preserve"> este acela de a consolida rolul agenției și de a o transforma într-un „ghișeu unic” pentru eliberarea unor autorizații de introducere pe piață a vehiculelor și a unor certificate de siguranță pentru operatori valabile în întreaga UE. Regulamentul revizuit ar consolida, de asemenea, rolul agenției în ceea ce privește supravegherea normelor naționale, i-ar conferi dreptul de a solicita eliminarea reglementărilor inutile și de a monitoriza autoritățile naționale de siguranță (ANS) și i-ar oferi un rol mai proeminent în calitate de „autoritate de sistem” pentru Sistemul european de management al traficului feroviar (ERTMS) și pentru aplicațiile telematice.</w:t>
      </w:r>
    </w:p>
    <w:p>
      <w:pPr>
        <w:tabs>
          <w:tab w:val="left" w:pos="426"/>
          <w:tab w:val="left" w:pos="851"/>
          <w:tab w:val="left" w:pos="1276"/>
        </w:tabs>
        <w:spacing w:after="100" w:afterAutospacing="1"/>
        <w:rPr>
          <w:bCs/>
          <w:noProof/>
        </w:rPr>
      </w:pPr>
      <w:r>
        <w:rPr>
          <w:noProof/>
        </w:rPr>
        <w:t>Comisia a propus, de asemenea, modificarea actului de înființare a agenției pentru a-l alinia la declarația comună și la abordarea comună a Parlamentului European, a Consiliului și a Comisiei privind agențiile descentralizate</w:t>
      </w:r>
      <w:r>
        <w:rPr>
          <w:rStyle w:val="FootnoteReference"/>
          <w:noProof/>
        </w:rPr>
        <w:footnoteReference w:id="2"/>
      </w:r>
      <w:r>
        <w:rPr>
          <w:noProof/>
        </w:rPr>
        <w:t xml:space="preserve"> (acoperind structura de guvernanță, programarea multianuală a activității și simplificarea procedurilor referitoare la personal).</w:t>
      </w:r>
    </w:p>
    <w:p>
      <w:pPr>
        <w:tabs>
          <w:tab w:val="left" w:pos="426"/>
          <w:tab w:val="left" w:pos="851"/>
          <w:tab w:val="left" w:pos="1276"/>
        </w:tabs>
        <w:spacing w:after="100" w:afterAutospacing="1"/>
        <w:rPr>
          <w:bCs/>
          <w:noProof/>
        </w:rPr>
      </w:pPr>
      <w:r>
        <w:rPr>
          <w:noProof/>
        </w:rPr>
        <w:t>Din cauza numărului considerabil de modificări aduse sarcinilor agenției și organizării sale interne, Comisia a propus înlocuirea Regulamentului 881/2004/UE cu un nou act.</w:t>
      </w:r>
    </w:p>
    <w:p>
      <w:pPr>
        <w:pStyle w:val="ManualHeading1"/>
        <w:rPr>
          <w:noProof/>
        </w:rPr>
      </w:pPr>
      <w:r>
        <w:rPr>
          <w:noProof/>
        </w:rPr>
        <w:t>3.</w:t>
      </w:r>
      <w:r>
        <w:rPr>
          <w:noProof/>
        </w:rPr>
        <w:tab/>
        <w:t>Observații privind poziția Consiliului</w:t>
      </w:r>
    </w:p>
    <w:p>
      <w:pPr>
        <w:spacing w:after="240"/>
        <w:rPr>
          <w:noProof/>
          <w:szCs w:val="24"/>
        </w:rPr>
      </w:pPr>
      <w:r>
        <w:rPr>
          <w:noProof/>
        </w:rPr>
        <w:t>Poziția la prima lectură adoptată de Consiliul Transporturi la 10 decembrie 2015 susține obiectivele principale ale propunerii Comisiei de a consolida rolul agenției. Cu toate acestea, această poziție diferă în privința anumitor aspecte, în special în privința faptului că întreprinderile feroviare/producătorii care operează doar într-un singur stat membru ar urma să aibă posibilitatea de a alege dacă își depun cererea de eliberare a certificatului de siguranță sau cererea de autorizare a vehiculului la agenție sau la autoritatea națională de siguranță din respectivul stat membru.</w:t>
      </w:r>
    </w:p>
    <w:p>
      <w:pPr>
        <w:spacing w:after="240"/>
        <w:rPr>
          <w:noProof/>
        </w:rPr>
      </w:pPr>
      <w:r>
        <w:rPr>
          <w:noProof/>
        </w:rPr>
        <w:t>În plus, poziția Consiliului:</w:t>
      </w:r>
    </w:p>
    <w:p>
      <w:pPr>
        <w:pStyle w:val="Bullet0"/>
        <w:numPr>
          <w:ilvl w:val="0"/>
          <w:numId w:val="10"/>
        </w:numPr>
        <w:rPr>
          <w:noProof/>
        </w:rPr>
      </w:pPr>
      <w:r>
        <w:rPr>
          <w:noProof/>
        </w:rPr>
        <w:t xml:space="preserve">stabilește dispoziții detaliate privind funcționarea grupurilor de lucru ale agenției; </w:t>
      </w:r>
    </w:p>
    <w:p>
      <w:pPr>
        <w:ind w:left="850"/>
        <w:rPr>
          <w:noProof/>
        </w:rPr>
      </w:pPr>
      <w:r>
        <w:rPr>
          <w:noProof/>
        </w:rPr>
        <w:t>Aceasta indică, în special, o procedură pentru adoptarea de norme în materie de transparență care să se aplice în acest context.</w:t>
      </w:r>
    </w:p>
    <w:p>
      <w:pPr>
        <w:pStyle w:val="Bullet0"/>
        <w:rPr>
          <w:noProof/>
        </w:rPr>
      </w:pPr>
      <w:r>
        <w:rPr>
          <w:noProof/>
        </w:rPr>
        <w:lastRenderedPageBreak/>
        <w:t xml:space="preserve">oferă agenției instrumentele necesare pentru a acționa ca un ghișeu unic prin intermediul unui sistem de informare și comunicare; </w:t>
      </w:r>
    </w:p>
    <w:p>
      <w:pPr>
        <w:ind w:left="850"/>
        <w:rPr>
          <w:noProof/>
        </w:rPr>
      </w:pPr>
      <w:r>
        <w:rPr>
          <w:noProof/>
        </w:rPr>
        <w:t>Prin acest instrument agenția și autoritățile naționale de siguranță vor fi informate cu privire la toate cererile de autorizare/certificare de siguranță, etapele procedurilor respective și rezultatul acestora.</w:t>
      </w:r>
    </w:p>
    <w:p>
      <w:pPr>
        <w:pStyle w:val="Bullet0"/>
        <w:rPr>
          <w:noProof/>
        </w:rPr>
      </w:pPr>
      <w:r>
        <w:rPr>
          <w:noProof/>
        </w:rPr>
        <w:t>clarifică rolul agenției în reducerea progresivă a normelor naționale;</w:t>
      </w:r>
    </w:p>
    <w:p>
      <w:pPr>
        <w:ind w:left="850"/>
        <w:rPr>
          <w:noProof/>
        </w:rPr>
      </w:pPr>
      <w:r>
        <w:rPr>
          <w:noProof/>
        </w:rPr>
        <w:t>Textul prevede examinarea măsurilor naționale din punctul de vedere al siguranței feroviare și interoperabilității, precum și al compatibilității cu normele în materie de concurență pentru a realiza o reducere treptată a normelor naționale. Un aviz bazat pe expertiză independentă și neutră este esențial la nivelul Uniunii. În acest context, el încadrează rolul agenției la emiterea unui astfel de aviz.</w:t>
      </w:r>
    </w:p>
    <w:p>
      <w:pPr>
        <w:pStyle w:val="Bullet0"/>
        <w:rPr>
          <w:noProof/>
        </w:rPr>
      </w:pPr>
      <w:r>
        <w:rPr>
          <w:noProof/>
        </w:rPr>
        <w:t>enumeră sarcinile suplimentare ale agenției legate de monitorizarea autorităților naționale de siguranță și a organismelor notificate;</w:t>
      </w:r>
    </w:p>
    <w:p>
      <w:pPr>
        <w:ind w:left="850"/>
        <w:rPr>
          <w:noProof/>
        </w:rPr>
      </w:pPr>
      <w:r>
        <w:rPr>
          <w:noProof/>
        </w:rPr>
        <w:t>Agenția va monitoriza performanța și procesul decizional al acestor organisme în vederea unei mai bune armonizări la nivelul Uniunii.</w:t>
      </w:r>
    </w:p>
    <w:p>
      <w:pPr>
        <w:pStyle w:val="Bullet0"/>
        <w:rPr>
          <w:noProof/>
        </w:rPr>
      </w:pPr>
      <w:r>
        <w:rPr>
          <w:noProof/>
        </w:rPr>
        <w:t xml:space="preserve">precizează modul în care va funcționa comisia pentru soluționarea contestațiilor; </w:t>
      </w:r>
    </w:p>
    <w:p>
      <w:pPr>
        <w:ind w:left="850"/>
        <w:rPr>
          <w:noProof/>
        </w:rPr>
      </w:pPr>
      <w:r>
        <w:rPr>
          <w:noProof/>
        </w:rPr>
        <w:t xml:space="preserve">În special, stabilește norme detaliate privind funcționarea comisiei pentru soluționarea contestațiilor, inclusiv norme privind independența membrilor săi față de toate părțile implicate într-o procedură de contestare sau de arbitraj, privind prevenirea și gestionarea conflictelor de interese în rândul personalului agenției la toate nivelurile și privind includerea unui termen limită de 3 luni pentru o procedură de contestare pentru a se asigura că contestațiile nu creează obstacole sau întârzieri. </w:t>
      </w:r>
    </w:p>
    <w:p>
      <w:pPr>
        <w:pStyle w:val="Bullet0"/>
        <w:rPr>
          <w:b/>
          <w:noProof/>
        </w:rPr>
      </w:pPr>
      <w:r>
        <w:rPr>
          <w:noProof/>
        </w:rPr>
        <w:t>definește condițiile de adoptare a unui act de punere în aplicare legat de taxele datorate agenției.</w:t>
      </w:r>
    </w:p>
    <w:p>
      <w:pPr>
        <w:ind w:left="850"/>
        <w:rPr>
          <w:noProof/>
        </w:rPr>
      </w:pPr>
      <w:r>
        <w:rPr>
          <w:noProof/>
        </w:rPr>
        <w:t xml:space="preserve">Aceasta stipulează că taxele și tarifele sunt stabilite în mod transparent, echitabil și uniform și că nu pun în pericol competitivitatea sectorului feroviar european. </w:t>
      </w:r>
    </w:p>
    <w:p>
      <w:pPr>
        <w:rPr>
          <w:noProof/>
          <w:szCs w:val="20"/>
        </w:rPr>
      </w:pPr>
    </w:p>
    <w:p>
      <w:pPr>
        <w:rPr>
          <w:noProof/>
          <w:szCs w:val="20"/>
        </w:rPr>
      </w:pPr>
      <w:r>
        <w:rPr>
          <w:noProof/>
        </w:rPr>
        <w:t>Comisia regretă faptul că, față de propunerea inițială pe care a prezentat-o, poziția Consiliului este diferită în privința unor dispoziții cheie convenite, de către Parlamentul European, Consiliu și Comisie, în cadrul abordării comune privind agențiile descentralizate ale UE, în 2012. Mai exact, este vorba despre următoarele puncte:</w:t>
      </w:r>
    </w:p>
    <w:p>
      <w:pPr>
        <w:pStyle w:val="Bullet0"/>
        <w:rPr>
          <w:noProof/>
        </w:rPr>
      </w:pPr>
      <w:r>
        <w:rPr>
          <w:noProof/>
        </w:rPr>
        <w:t>numirea a doi reprezentanți ai Comisiei în consiliul de administrație în loc de patru;</w:t>
      </w:r>
    </w:p>
    <w:p>
      <w:pPr>
        <w:pStyle w:val="Bullet0"/>
        <w:rPr>
          <w:noProof/>
        </w:rPr>
      </w:pPr>
      <w:r>
        <w:rPr>
          <w:noProof/>
        </w:rPr>
        <w:t>acordarea competenței de a propune demiterea directorului executiv unei treimi din membrii consiliului de administrație, în timp ce, conform abordării comune, procedura de demitere a directorului executiv ar trebui să corespundă procedurii de numire;</w:t>
      </w:r>
    </w:p>
    <w:p>
      <w:pPr>
        <w:pStyle w:val="Bullet0"/>
        <w:rPr>
          <w:noProof/>
        </w:rPr>
      </w:pPr>
      <w:r>
        <w:rPr>
          <w:noProof/>
        </w:rPr>
        <w:t>Comisia subliniază, de asemenea, faptul că numirea unui observator din rândul membrilor consiliului de administrație care să urmărească procedura aplicată de Comisie pentru selecția directorului executiv nu ar trebui să ducă la suprapunerea rolurilor în procedurile de selecție și de numire.</w:t>
      </w:r>
    </w:p>
    <w:p>
      <w:pPr>
        <w:pStyle w:val="ManualHeading1"/>
        <w:rPr>
          <w:noProof/>
        </w:rPr>
      </w:pPr>
      <w:r>
        <w:rPr>
          <w:noProof/>
        </w:rPr>
        <w:lastRenderedPageBreak/>
        <w:t>4.</w:t>
      </w:r>
      <w:r>
        <w:rPr>
          <w:noProof/>
        </w:rPr>
        <w:tab/>
        <w:t>Concluzie</w:t>
      </w:r>
    </w:p>
    <w:p>
      <w:pPr>
        <w:rPr>
          <w:noProof/>
        </w:rPr>
      </w:pPr>
      <w:r>
        <w:rPr>
          <w:noProof/>
        </w:rPr>
        <w:t>Comisia consideră că revizuirea Regulamentului privind agenția este esențială pentru atingerea obiectivului de a introduce un cadru unificat și simplificat pentru industria feroviară.</w:t>
      </w:r>
    </w:p>
    <w:p>
      <w:pPr>
        <w:autoSpaceDE w:val="0"/>
        <w:autoSpaceDN w:val="0"/>
        <w:adjustRightInd w:val="0"/>
        <w:spacing w:before="0" w:after="0"/>
        <w:rPr>
          <w:noProof/>
        </w:rPr>
      </w:pPr>
      <w:r>
        <w:rPr>
          <w:noProof/>
        </w:rPr>
        <w:t>De aceea, dintr-un spirit de compromis, Comisia acceptă poziția adoptată de Consiliu, astfel încât Parlamentul European să poată adopta textul final la a doua lectură, împreună cu celelalte cinci propuneri din cadrul celui de-al patrulea pachet feroviar. În fapt, Comisia consideră că adoptarea simultană a pilonilor tehnici și comerciali ar maximiza beneficiile la nivelul calității serviciilor, al eficienței și al competitivității sectorului feroviar.</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Regulamentul (CE) nr. 881/2004 al Parlamentului European și al Consiliului din 29 aprilie 2005.</w:t>
      </w:r>
    </w:p>
  </w:footnote>
  <w:footnote w:id="2">
    <w:p>
      <w:pPr>
        <w:pStyle w:val="FootnoteText"/>
      </w:pPr>
      <w:r>
        <w:rPr>
          <w:rStyle w:val="FootnoteReference"/>
        </w:rPr>
        <w:footnoteRef/>
      </w:r>
      <w:r>
        <w:tab/>
        <w:t>Declarația comună și abordarea comună a Parlamentului European, a Consiliului și a Comisiei privind agențiile descentralizate, semnate la 19 iulie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A2FE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0D6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3436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0AA2180"/>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5 15:23: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A59657F2DC37429BAEBB51A29A7BE94C"/>
    <w:docVar w:name="LW_CROSSREFERENCE" w:val="&lt;UNUSED&gt;"/>
    <w:docVar w:name="LW_DocType" w:val="COM"/>
    <w:docVar w:name="LW_EMISSION" w:val="26.1.2016"/>
    <w:docVar w:name="LW_EMISSION_ISODATE" w:val="2016-01-26"/>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014"/>
    <w:docVar w:name="LW_REF.II.NEW.CP_YEAR" w:val="2013"/>
    <w:docVar w:name="LW_REF.INST.NEW" w:val="COM"/>
    <w:docVar w:name="LW_REF.INST.NEW_ADOPTED" w:val="final"/>
    <w:docVar w:name="LW_REF.INST.NEW_TEXT" w:val="(2016) 36"/>
    <w:docVar w:name="LW_REF.INTERNE" w:val="&lt;UNUSED&gt;"/>
    <w:docVar w:name="LW_SOUS.TITRE.OBJ.CP" w:val="&lt;UNUSED&gt;"/>
    <w:docVar w:name="LW_SUPERTITRE" w:val="&lt;UNUSED&gt;"/>
    <w:docVar w:name="LW_TITRE.OBJ.CP" w:val="pozi\u539?ia Consiliului referitoare la adoptarea noului regulament privind Agen\u539?ia pentru C\u259?i Ferate a Uniunii Europene \u537?i de abrogare a Regulamentului (CE) nr. 881/2004"/>
    <w:docVar w:name="LW_TYPE.DOC.CP" w:val="COMUNICARE A COMISIEI C\u258?TRE PARLAMENTUL EUROPEAN_x000b__x000b_în conformitate cu articolul 294 alineatul (6) din Tratatul privind func\u355?ionarea Uniunii Europene_x000b__x000b_privind"/>
    <w:docVar w:name="Stamp" w:val="\\dossiers.dgt.cec.eu.int\dossiers\MOVE\MOVE-2015-01767\MOVE-2015-01767-00-00-EN-REV-00.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ro-RO"/>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qFormat/>
    <w:pPr>
      <w:spacing w:before="0" w:after="0"/>
      <w:ind w:left="720"/>
      <w:jc w:val="left"/>
    </w:pPr>
    <w:rPr>
      <w:rFonts w:ascii="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ro-RO"/>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qFormat/>
    <w:pPr>
      <w:spacing w:before="0" w:after="0"/>
      <w:ind w:left="720"/>
      <w:jc w:val="left"/>
    </w:pPr>
    <w:rPr>
      <w:rFonts w:ascii="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97D9-C515-49F9-AE38-37819D36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1128</Words>
  <Characters>6989</Characters>
  <Application>Microsoft Office Word</Application>
  <DocSecurity>0</DocSecurity>
  <Lines>127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2015-11-27T16:20:00Z</cp:lastPrinted>
  <dcterms:created xsi:type="dcterms:W3CDTF">2016-01-17T08:51:00Z</dcterms:created>
  <dcterms:modified xsi:type="dcterms:W3CDTF">2016-01-25T14:23:00Z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