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82C522BF9C47FD890B5977D89CB7CB"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 xml:space="preserve">Conform viziunii strategiei privind piața unică digitală a Europei, atât întreprinderile, cât și cetățenii trebuie să beneficieze de o conectivitate universală și de înaltă calitate. Strategia cuprinde propuneri specifice ale Comisiei privind „eliberarea coordonată a benzii de 694-790 MHz („banda de 700 MHz”), care este în mod deosebit adecvată pentru furnizarea serviciilor în bandă largă în zonele rurale și răspunde, în același timp, nevoilor specifice de distribuție a serviciilor mass-media audiovizuale”. </w:t>
      </w:r>
    </w:p>
    <w:p>
      <w:pPr>
        <w:pBdr>
          <w:top w:val="nil"/>
          <w:left w:val="nil"/>
          <w:bottom w:val="nil"/>
          <w:right w:val="nil"/>
          <w:between w:val="nil"/>
          <w:bar w:val="nil"/>
        </w:pBdr>
        <w:spacing w:before="0" w:after="240"/>
        <w:rPr>
          <w:noProof/>
        </w:rPr>
      </w:pPr>
      <w:r>
        <w:rPr>
          <w:noProof/>
        </w:rPr>
        <w:t>Pentru conexiunile pe suport radio este necesar accesul la benzile situate sub 1 GHz, care sunt cele mai indicate pentru a asigura atât o acoperire largă, cât și viteze mari. În urma trecerii la tehnologii de televiziune digitală care utilizează mai eficient spectrul, banda de 800 MHz (790-862 MHz sau „dividendul digital”) a constituit prima porțiune din banda de radiodifuziune UHF (470-862 MHz) care a fost reafectată serviciilor pe suport radio în bandă largă din Uniune. În prezent, banda de radiodifuziune UHF (denumită în continuare „banda UHF”) cuprinde gama de frecvențe de la 470 la 790 MHz. Această bandă este folosită pentru televiziunea digitală terestră (TDT) și pentru echipamentele audio (în esență, microfoane fără fir) utilizate la producția de programe și la evenimentele speciale („echipamente PMSE audio”).</w:t>
      </w:r>
    </w:p>
    <w:p>
      <w:pPr>
        <w:pBdr>
          <w:top w:val="nil"/>
          <w:left w:val="nil"/>
          <w:bottom w:val="nil"/>
          <w:right w:val="nil"/>
          <w:between w:val="nil"/>
          <w:bar w:val="nil"/>
        </w:pBdr>
        <w:spacing w:before="0" w:after="240"/>
        <w:rPr>
          <w:noProof/>
        </w:rPr>
      </w:pPr>
      <w:r>
        <w:rPr>
          <w:noProof/>
        </w:rPr>
        <w:t xml:space="preserve">Conferința mondială pentru radiocomunicații 2012 (CMR-12), și anume Conferința Uniunii Internaționale a Telecomunicațiilor (UIT) care revizuiește reglementările obligatorii pentru radiocomunicații, a decis că banda de 700 MHz ar trebui să fie alocată în regiunea 1 (Europa și Africa) atât serviciilor de radiodifuziune, cât și serviciilor mobile, începând din 2015. </w:t>
      </w:r>
    </w:p>
    <w:p>
      <w:pPr>
        <w:pBdr>
          <w:top w:val="nil"/>
          <w:left w:val="nil"/>
          <w:bottom w:val="nil"/>
          <w:right w:val="nil"/>
          <w:between w:val="nil"/>
          <w:bar w:val="nil"/>
        </w:pBdr>
        <w:spacing w:before="0" w:after="240"/>
        <w:rPr>
          <w:noProof/>
        </w:rPr>
      </w:pPr>
      <w:r>
        <w:rPr>
          <w:noProof/>
        </w:rPr>
        <w:t>La CMR-15, care a avut loc în noiembrie 2015, au fost finalizate negocierile internaționale cu privire la parametrii tehnici și de reglementare pentru utilizarea benzii de 700 MHz pentru serviciile pe suport radio în bandă largă. Situația coerentă înregistrată în banda de frecvențe de 700 MHz în toate regiunile UIT</w:t>
      </w:r>
      <w:bookmarkStart w:id="1" w:name="_Ref439944265"/>
      <w:r>
        <w:rPr>
          <w:rStyle w:val="FootnoteReference"/>
          <w:noProof/>
        </w:rPr>
        <w:footnoteReference w:id="1"/>
      </w:r>
      <w:bookmarkEnd w:id="1"/>
      <w:r>
        <w:rPr>
          <w:noProof/>
        </w:rPr>
        <w:t xml:space="preserve"> oferă o ocazie rară pentru armonizarea aproape mondială a acestei benzi de frecvență pentru utilizarea de către serviciile pe suport radio în bandă largă. CMR-15 a menținut, de asemenea, alocarea exclusivă a benzii de 470-694 MHz („banda de frecvențe sub 700 MHz”) pentru serviciul de radiodifuziune în regiunea 1.</w:t>
      </w:r>
    </w:p>
    <w:p>
      <w:pPr>
        <w:pBdr>
          <w:top w:val="nil"/>
          <w:left w:val="nil"/>
          <w:bottom w:val="nil"/>
          <w:right w:val="nil"/>
          <w:between w:val="nil"/>
          <w:bar w:val="nil"/>
        </w:pBdr>
        <w:spacing w:before="0" w:after="240"/>
        <w:rPr>
          <w:noProof/>
        </w:rPr>
      </w:pPr>
      <w:r>
        <w:rPr>
          <w:noProof/>
        </w:rPr>
        <w:t xml:space="preserve">În 2013, vicepreședintele Comisiei, dna Neelie Kroes, a cerut fostului comisar Pascal Lamy să prezideze un grup la nivel înalt format din reprezentanți ai sectoarelor de servicii mobile, de radiodifuziune și de media, care avea sarcina de a găsi o poziție comună cu privire la utilizarea ulterioară a benzii UHF. Raportul președintelui grupului („Raportul Lamy”) a recomandat reafectarea benzii de 700 MHz pentru serviciile pe suport radio în bandă largă, în condițiile susținerii, în același timp, a modelului audiovizual european, prin garantarea accesului ulterior al radiodifuziunii terestre la banda de frecvențe sub 700 MHz. </w:t>
      </w:r>
    </w:p>
    <w:p>
      <w:pPr>
        <w:pBdr>
          <w:top w:val="nil"/>
          <w:left w:val="nil"/>
          <w:bottom w:val="nil"/>
          <w:right w:val="nil"/>
          <w:between w:val="nil"/>
          <w:bar w:val="nil"/>
        </w:pBdr>
        <w:spacing w:before="0" w:after="240"/>
        <w:rPr>
          <w:noProof/>
        </w:rPr>
      </w:pPr>
      <w:r>
        <w:rPr>
          <w:noProof/>
        </w:rPr>
        <w:t xml:space="preserve">Consultarea publică organizată de Comisie cu privire la Raportul Lamy a arătat că există sprijin pentru o acțiune coordonată a Uniunii. În paralel, Grupul pentru politica în domeniul </w:t>
      </w:r>
      <w:r>
        <w:rPr>
          <w:noProof/>
        </w:rPr>
        <w:lastRenderedPageBreak/>
        <w:t>spectrului de frecvențe radio (RSPG) a adoptat un aviz</w:t>
      </w:r>
      <w:r>
        <w:rPr>
          <w:rStyle w:val="FootnoteReference"/>
          <w:noProof/>
        </w:rPr>
        <w:footnoteReference w:id="2"/>
      </w:r>
      <w:r>
        <w:rPr>
          <w:noProof/>
        </w:rPr>
        <w:t xml:space="preserve"> care sprijină, de asemenea, o abordare coordonată la nivelul Uniunii în ceea ce privește furnizarea serviciilor pe suport radio în bandă largă utilizând banda de frecvențe de 700 MHz. RSPG a recomandat în avizul său stabilirea de condiții tehnice armonizate și a unui termen limită comun pentru utilizarea eficace a benzii de 700 MHz, precum și utilizarea pe termen lung a benzii de frecvențe sub 700 MHz pentru distribuția audiovizuală și disponibilitatea acestei benzi pentru TDT.</w:t>
      </w:r>
    </w:p>
    <w:p>
      <w:pPr>
        <w:pBdr>
          <w:top w:val="nil"/>
          <w:left w:val="nil"/>
          <w:bottom w:val="nil"/>
          <w:right w:val="nil"/>
          <w:between w:val="nil"/>
          <w:bar w:val="nil"/>
        </w:pBdr>
        <w:spacing w:before="0" w:after="240"/>
        <w:rPr>
          <w:noProof/>
        </w:rPr>
      </w:pPr>
      <w:r>
        <w:rPr>
          <w:noProof/>
        </w:rPr>
        <w:t xml:space="preserve">Răspunsul Comisiei la rezultatele consultării părților interesate europene și la acordurile internaționale sub egida UIT a constat în elaborarea unei strategii a Uniunii pentru utilizarea pe termen lung a benzii UHF. Strategia va promova piața unică digitală și va asigura o gestionare eficientă a spectrului radio din banda UHF, care să reflecte valoarea socială, culturală și economică a acestuia. Strategia privind banda UHF are trei direcții majore: </w:t>
      </w:r>
    </w:p>
    <w:p>
      <w:pPr>
        <w:pStyle w:val="Bullet0"/>
        <w:numPr>
          <w:ilvl w:val="0"/>
          <w:numId w:val="5"/>
        </w:numPr>
        <w:rPr>
          <w:noProof/>
        </w:rPr>
      </w:pPr>
      <w:r>
        <w:rPr>
          <w:noProof/>
        </w:rPr>
        <w:t xml:space="preserve">condiții tehnice armonizate pentru serviciile de comunicații electronice pe suport radio în bandă largă din banda de 700 MHz, bazate pe principiul neutralității tehnologiei și serviciului; </w:t>
      </w:r>
    </w:p>
    <w:p>
      <w:pPr>
        <w:pStyle w:val="Bullet0"/>
        <w:rPr>
          <w:noProof/>
        </w:rPr>
      </w:pPr>
      <w:r>
        <w:rPr>
          <w:noProof/>
        </w:rPr>
        <w:t xml:space="preserve">un termen comun pentru punerea la dispoziție a benzii de 700 MHz în vederea utilizării sale eficace, în conformitate cu condițiile tehnice armonizate sus-menționate, de către serviciile de comunicații electronice pe suport radio în bandă largă, precum și măsuri de coordonare pentru sprijinirea acestei tranziții; </w:t>
      </w:r>
    </w:p>
    <w:p>
      <w:pPr>
        <w:pStyle w:val="Bullet0"/>
        <w:rPr>
          <w:noProof/>
        </w:rPr>
      </w:pPr>
      <w:r>
        <w:rPr>
          <w:noProof/>
        </w:rPr>
        <w:t>prioritate pentru distribuția serviciilor mass-media audiovizuale (SMAV) în banda de frecvențe sub 700 MHz, alături de o abordare flexibilă a modului de utilizare a benzii; aceasta este necesară pentru a răspunde diversității piețelor TDT, a căror dimensiune variază de la un stat membru la altul.</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noProof/>
        </w:rPr>
      </w:pPr>
      <w:r>
        <w:rPr>
          <w:noProof/>
        </w:rPr>
        <w:t>Prezenta propunere contribuie la atingerea obiectivului de 1 200 MHz pentru serviciile pe suport radio în bandă largă, care reprezintă unul dintre obiectivele principale ale Deciziei nr. 243/2012/UE a Parlamentului European și a Consiliului de instituire a unui program multianual pentru politica în domeniul spectrului de frecvențe radio (RSPP). Propunerea promovează, de asemenea, dezvoltarea în continuare de servicii mass-media audiovizuale inovatoare, în conformitate cu obiectivele RSPP, și respectă Directiva privind autorizarea</w:t>
      </w:r>
      <w:r>
        <w:rPr>
          <w:rStyle w:val="FootnoteReference"/>
          <w:noProof/>
        </w:rPr>
        <w:footnoteReference w:id="3"/>
      </w:r>
      <w:r>
        <w:rPr>
          <w:noProof/>
        </w:rPr>
        <w:t xml:space="preserve"> și Directiva-cadru</w:t>
      </w:r>
      <w:r>
        <w:rPr>
          <w:rStyle w:val="FootnoteReference"/>
          <w:noProof/>
        </w:rPr>
        <w:footnoteReference w:id="4"/>
      </w:r>
      <w:r>
        <w:rPr>
          <w:noProof/>
        </w:rPr>
        <w:t>, în special articolele 9 și 9a din aceasta din urmă.</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Prezenta măsură legislativă se bazează pe articolul 114 din TFUE și urmărește asigurarea bunei funcționări a pieței interne.</w:t>
      </w:r>
    </w:p>
    <w:p>
      <w:pPr>
        <w:pStyle w:val="ManualHeading2"/>
        <w:rPr>
          <w:rFonts w:eastAsia="Arial Unicode MS"/>
          <w:noProof/>
          <w:u w:color="000000"/>
          <w:bdr w:val="nil"/>
        </w:rPr>
      </w:pPr>
      <w:r>
        <w:rPr>
          <w:noProof/>
        </w:rPr>
        <w:lastRenderedPageBreak/>
        <w:t>•</w:t>
      </w:r>
      <w:r>
        <w:rPr>
          <w:noProof/>
        </w:rPr>
        <w:tab/>
        <w:t xml:space="preserve">Subsidiaritate și proporționalitate </w:t>
      </w:r>
    </w:p>
    <w:p>
      <w:pPr>
        <w:pBdr>
          <w:top w:val="nil"/>
          <w:left w:val="nil"/>
          <w:bottom w:val="nil"/>
          <w:right w:val="nil"/>
          <w:between w:val="nil"/>
          <w:bar w:val="nil"/>
        </w:pBdr>
        <w:spacing w:before="0" w:after="240"/>
        <w:rPr>
          <w:noProof/>
        </w:rPr>
      </w:pPr>
      <w:r>
        <w:rPr>
          <w:noProof/>
        </w:rPr>
        <w:t xml:space="preserve">Așa cum se arată și în evaluarea impactului, soluția prevăzută de prezenta propunere de decizie este cea mai bună opțiune din punctul de vedere al subsidiarității și din cel al proporționalității. </w:t>
      </w:r>
    </w:p>
    <w:p>
      <w:pPr>
        <w:pBdr>
          <w:top w:val="nil"/>
          <w:left w:val="nil"/>
          <w:bottom w:val="nil"/>
          <w:right w:val="nil"/>
          <w:between w:val="nil"/>
          <w:bar w:val="nil"/>
        </w:pBdr>
        <w:spacing w:before="0" w:after="240"/>
        <w:rPr>
          <w:noProof/>
        </w:rPr>
      </w:pPr>
      <w:r>
        <w:rPr>
          <w:noProof/>
        </w:rPr>
        <w:t>Principiul subsidiarității este respectat, deoarece obiectivele inițiativei nu pot fi realizate de către statele membre în mod individual, însă această soluție permite, în același timp, luarea în considerare a circumstanțelor naționale (atât în cazul benzii de frecvențe de 700 MHz, cât și în cazul benzii de frecvențe sub 700 MHz).</w:t>
      </w:r>
    </w:p>
    <w:p>
      <w:pPr>
        <w:suppressAutoHyphens/>
        <w:spacing w:before="0" w:after="240"/>
        <w:rPr>
          <w:rFonts w:eastAsia="Times New Roman"/>
          <w:noProof/>
          <w:szCs w:val="24"/>
        </w:rPr>
      </w:pPr>
      <w:r>
        <w:rPr>
          <w:noProof/>
        </w:rPr>
        <w:t xml:space="preserve">UE trebuie să decidă asupra modului în care intenționează să utilizeze banda de 700 MHz în viitor, dacă dorește să evite abordările naționale divergente și să limiteze interferențele transfrontaliere. În lipsa unei legislații comune la nivelul Uniunii pentru banda UHF, utilizarea acesteia în Uniune ar fi supusă unei fragmentări dăunătoare. Fragmentarea conduce la interferențe transfrontaliere, care ar putea afecta până la 13 % din populația UE. </w:t>
      </w:r>
    </w:p>
    <w:p>
      <w:pPr>
        <w:suppressAutoHyphens/>
        <w:spacing w:before="0" w:after="240"/>
        <w:rPr>
          <w:rFonts w:eastAsia="Times New Roman"/>
          <w:noProof/>
        </w:rPr>
      </w:pPr>
      <w:r>
        <w:rPr>
          <w:noProof/>
        </w:rPr>
        <w:t>Prin urmare, sunt necesare o desemnare și o autorizare coordonate, până în 2020, a benzii de frecvențe de 700 MHz pentru banda largă pe suport radio, precum și desemnarea coordonată a benzii de frecvențe sub 700 MHz pentru o utilizare flexibilă, care să asigure furnizarea serviciilor mass-media audiovizuale destinate unei audiențe de masă și investițiile în tehnologii mai eficiente, necesare pentru eliberarea benzii de 700 MHz utilizată în prezent de TDT.</w:t>
      </w:r>
    </w:p>
    <w:p>
      <w:pPr>
        <w:pBdr>
          <w:top w:val="nil"/>
          <w:left w:val="nil"/>
          <w:bottom w:val="nil"/>
          <w:right w:val="nil"/>
          <w:between w:val="nil"/>
          <w:bar w:val="nil"/>
        </w:pBdr>
        <w:spacing w:before="0" w:after="240"/>
        <w:rPr>
          <w:noProof/>
        </w:rPr>
      </w:pPr>
      <w:r>
        <w:rPr>
          <w:noProof/>
        </w:rPr>
        <w:t>O utilizare flexibilă a benzii de frecvențe sub 700 MHz este și proporțională, deoarece abordează problema și atinge obiectivele în cel mai eficient mod. Eliberarea întregii benzi de frecvențe sub 700 MHz pentru banda largă pe suport radio ar depăși, de exemplu, ceea ce este necesar în prezent pentru a satisface cererea de spectru sub 1 GZ, necesar traficului pe suport radio. În același timp, pentru statele membre care doresc să își mențină actuala capacitate TDT, utilizarea flexibilă asigură certitudine în ceea ce privește reglementarea TDT în banda de frecvențe sub 700 MHz. În plus, în temeiul Deciziei nr. 676/2002/CE, condițiile tehnice armonizate pentru utilizarea spectrului pot fi stabilite de comun acord cu experții tehnici naționali din Comitetul pentru spectrul de frecvențe radio.</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noProof/>
        </w:rPr>
      </w:pPr>
      <w:r>
        <w:rPr>
          <w:noProof/>
        </w:rPr>
        <w:t xml:space="preserve">Strategia Comisiei privind utilizarea benzii UHF în Uniune va fi pusă în aplicare prin intermediul a două instrumente juridice. O măsură neobligatorie, cum ar fi o recomandare a Parlamentului și a Consiliului, nu ar prevedea obligativitatea coordonării de către Uniune și nici nu ar impune luarea de măsuri de către statele membre. Decizia a fost preferată regulamentului, deoarece măsura creează obligații pentru statele membre, dar nu urmărește să producă în statele membre efecte directe asupra părților interesate din sectorul privat. O decizie este, de asemenea, mai adecvată decât o directivă, întrucât proiectul de măsură nu stabilește un întreg ansamblu de norme generale care trebuie transpuse în dreptul național, ci cuprinde un număr limitat de acțiuni specifice care trebuie întreprinse de statele membre. Decizia nr. 243/2012/UE a Parlamentului European și a Consiliului de instituire a RSPP prevede, de exemplu, la articolul 6 alineatul (4) obligații și acțiuni similare ale statelor membre, iar Deciziile nr. 128/1999/CE, nr. 626/2008/CE și nr. 676/2002/CE ale Parlamentului European și ale Consiliului au fost adoptate în trecut tot cu scopul de a impune statelor membre obligații și acțiuni similare. </w:t>
      </w:r>
    </w:p>
    <w:p>
      <w:pPr>
        <w:pBdr>
          <w:top w:val="nil"/>
          <w:left w:val="nil"/>
          <w:bottom w:val="nil"/>
          <w:right w:val="nil"/>
          <w:between w:val="nil"/>
          <w:bar w:val="nil"/>
        </w:pBdr>
        <w:spacing w:before="0" w:after="240"/>
        <w:rPr>
          <w:noProof/>
        </w:rPr>
      </w:pPr>
      <w:r>
        <w:rPr>
          <w:noProof/>
        </w:rPr>
        <w:lastRenderedPageBreak/>
        <w:t>Prezenta măsură bazată pe articolul 114 din TFUE va fi însoțită de o decizie de punere în aplicare a Comisiei, adoptată prin procedura de comitologie în temeiul Deciziei nr. 676/2002/CE</w:t>
      </w:r>
      <w:r>
        <w:rPr>
          <w:rStyle w:val="FootnoteReference"/>
          <w:noProof/>
        </w:rPr>
        <w:footnoteReference w:id="5"/>
      </w:r>
      <w:r>
        <w:rPr>
          <w:noProof/>
        </w:rPr>
        <w:t>, care va desemna și va pune la dispoziție banda de 700 MHz în vederea utilizării sale de către serviciile de comunicații electronice pe suport radio în bandă largă, în condițiile tehnice armonizate elaborate cu sprijinul CEPT</w:t>
      </w:r>
      <w:r>
        <w:rPr>
          <w:rStyle w:val="FootnoteReference"/>
          <w:noProof/>
        </w:rPr>
        <w:footnoteReference w:id="6"/>
      </w:r>
      <w:r>
        <w:rPr>
          <w:noProof/>
        </w:rPr>
        <w:t>. Această abordare a fost utilizată și pentru armonizarea benzii de 800 MHz pentru serviciile de comunicații electronice pe suport radio în bandă largă, în temeiul RSPP și al Deciziei 2010/267/UE a Comisiei</w:t>
      </w:r>
      <w:r>
        <w:rPr>
          <w:rStyle w:val="FootnoteReference"/>
          <w:noProof/>
        </w:rPr>
        <w:footnoteReference w:id="7"/>
      </w:r>
      <w:r>
        <w:rPr>
          <w:noProof/>
        </w:rPr>
        <w:t>.</w:t>
      </w:r>
    </w:p>
    <w:p>
      <w:pPr>
        <w:pStyle w:val="ManualHeading1"/>
        <w:rPr>
          <w:noProof/>
        </w:rPr>
      </w:pPr>
      <w:r>
        <w:rPr>
          <w:noProof/>
        </w:rPr>
        <w:t>3.</w:t>
      </w:r>
      <w:r>
        <w:rPr>
          <w:noProof/>
        </w:rPr>
        <w:tab/>
        <w:t>REZULTATELE EVALUĂRII EX-POST, ALE CONSULTĂRILOR CU PĂRȚILE INTERESATE ȘI ALE EVALUĂRII IMPACTULUI</w:t>
      </w:r>
    </w:p>
    <w:p>
      <w:pPr>
        <w:pStyle w:val="ManualHeading2"/>
        <w:rPr>
          <w:rFonts w:eastAsia="Arial Unicode MS"/>
          <w:noProof/>
          <w:u w:color="000000"/>
          <w:bdr w:val="nil"/>
        </w:rPr>
      </w:pPr>
      <w:r>
        <w:rPr>
          <w:noProof/>
        </w:rPr>
        <w:t>•</w:t>
      </w:r>
      <w:r>
        <w:rPr>
          <w:noProof/>
        </w:rPr>
        <w:tab/>
        <w:t>Consultări cu părțile interesate</w:t>
      </w:r>
    </w:p>
    <w:p>
      <w:pPr>
        <w:rPr>
          <w:noProof/>
          <w:szCs w:val="24"/>
        </w:rPr>
      </w:pPr>
      <w:r>
        <w:rPr>
          <w:noProof/>
        </w:rPr>
        <w:t>Prezenta propunere a luat în considerare următoarele contribuții ale părților interesate:</w:t>
      </w:r>
    </w:p>
    <w:p>
      <w:pPr>
        <w:pStyle w:val="Point1letter"/>
        <w:numPr>
          <w:ilvl w:val="3"/>
          <w:numId w:val="6"/>
        </w:numPr>
        <w:rPr>
          <w:noProof/>
        </w:rPr>
      </w:pPr>
      <w:r>
        <w:rPr>
          <w:noProof/>
        </w:rPr>
        <w:t>Raportul Lamy</w:t>
      </w:r>
      <w:r>
        <w:rPr>
          <w:rStyle w:val="FootnoteReference"/>
          <w:noProof/>
        </w:rPr>
        <w:footnoteReference w:id="8"/>
      </w:r>
      <w:r>
        <w:rPr>
          <w:noProof/>
        </w:rPr>
        <w:t xml:space="preserve"> întocmit de Pascal Lamy pe baza activităților desfășurate de Grupul la nivel înalt pe care l-a prezidat;</w:t>
      </w:r>
    </w:p>
    <w:p>
      <w:pPr>
        <w:pStyle w:val="Point1letter"/>
        <w:numPr>
          <w:ilvl w:val="3"/>
          <w:numId w:val="6"/>
        </w:numPr>
        <w:rPr>
          <w:noProof/>
        </w:rPr>
      </w:pPr>
      <w:r>
        <w:rPr>
          <w:noProof/>
        </w:rPr>
        <w:t>contribuțiile la consultarea publică</w:t>
      </w:r>
      <w:r>
        <w:rPr>
          <w:rStyle w:val="FootnoteReference"/>
          <w:noProof/>
        </w:rPr>
        <w:footnoteReference w:id="9"/>
      </w:r>
      <w:r>
        <w:rPr>
          <w:noProof/>
        </w:rPr>
        <w:t xml:space="preserve"> privind Raportul Lamy;</w:t>
      </w:r>
    </w:p>
    <w:p>
      <w:pPr>
        <w:pStyle w:val="Point1letter"/>
        <w:numPr>
          <w:ilvl w:val="3"/>
          <w:numId w:val="6"/>
        </w:numPr>
        <w:rPr>
          <w:noProof/>
        </w:rPr>
      </w:pPr>
      <w:r>
        <w:rPr>
          <w:noProof/>
        </w:rPr>
        <w:t>Raportul RSPG privind o „Propunere a abordare a radiodifuziunii, referitoare la coordonarea spectrului în cazul realocării benzii de 700 MHz”</w:t>
      </w:r>
      <w:r>
        <w:rPr>
          <w:rStyle w:val="FootnoteReference"/>
          <w:noProof/>
        </w:rPr>
        <w:footnoteReference w:id="10"/>
      </w:r>
      <w:r>
        <w:rPr>
          <w:noProof/>
        </w:rPr>
        <w:t>;</w:t>
      </w:r>
    </w:p>
    <w:p>
      <w:pPr>
        <w:pStyle w:val="Point1letter"/>
        <w:numPr>
          <w:ilvl w:val="3"/>
          <w:numId w:val="6"/>
        </w:numPr>
        <w:rPr>
          <w:noProof/>
        </w:rPr>
      </w:pPr>
      <w:r>
        <w:rPr>
          <w:noProof/>
        </w:rPr>
        <w:t>avizul RSPG referitor la „Strategia pe termen lung privind utilizarea viitoare a benzii UHF (470-790 MHz) în Uniunea Europeană”.</w:t>
      </w:r>
    </w:p>
    <w:p>
      <w:pPr>
        <w:pStyle w:val="ManualHeading2"/>
        <w:rPr>
          <w:rFonts w:eastAsia="Arial Unicode MS"/>
          <w:noProof/>
          <w:u w:color="000000"/>
          <w:bdr w:val="nil"/>
        </w:rPr>
      </w:pPr>
      <w:r>
        <w:rPr>
          <w:noProof/>
        </w:rPr>
        <w:t>•</w:t>
      </w:r>
      <w:r>
        <w:rPr>
          <w:noProof/>
        </w:rPr>
        <w:tab/>
        <w:t>Obținerea și utilizarea avizului experților</w:t>
      </w:r>
    </w:p>
    <w:p>
      <w:pPr>
        <w:pBdr>
          <w:top w:val="nil"/>
          <w:left w:val="nil"/>
          <w:bottom w:val="nil"/>
          <w:right w:val="nil"/>
          <w:between w:val="nil"/>
          <w:bar w:val="nil"/>
        </w:pBdr>
        <w:spacing w:before="0" w:after="240"/>
        <w:rPr>
          <w:noProof/>
        </w:rPr>
      </w:pPr>
      <w:r>
        <w:rPr>
          <w:noProof/>
        </w:rPr>
        <w:t xml:space="preserve">Două studii independente dedicate, efectuate pentru Comisie, au furnizat date pentru prezenta propunere. Este vorba despre: </w:t>
      </w:r>
    </w:p>
    <w:p>
      <w:pPr>
        <w:pStyle w:val="Bullet0"/>
        <w:rPr>
          <w:rFonts w:ascii="Calibri" w:hAnsi="Calibri"/>
          <w:noProof/>
          <w:sz w:val="22"/>
        </w:rPr>
      </w:pPr>
      <w:r>
        <w:rPr>
          <w:noProof/>
        </w:rPr>
        <w:t xml:space="preserve">„Economic and Social Impact of Repurposing the 700 MHz frequency band for Wireless Broadband Services in the European Union” (Impactul social și economic al reafectării benzii de 700 MHz pentru serviciile pe suport radio în bandă largă din Uniunea Europeană); </w:t>
      </w:r>
    </w:p>
    <w:p>
      <w:pPr>
        <w:pStyle w:val="Bullet0"/>
        <w:rPr>
          <w:noProof/>
        </w:rPr>
      </w:pPr>
      <w:r>
        <w:rPr>
          <w:noProof/>
        </w:rPr>
        <w:t xml:space="preserve">„Challenges and opportunities of broadcast-broadband convergence and its impact on spectrum and network use” (Provocări și oportunități ale convergenței dintre radiodifuziune și banda largă, precum și impactul acestei convergențe asupra utilizării spectrului și a rețelei) </w:t>
      </w:r>
    </w:p>
    <w:p>
      <w:pPr>
        <w:pBdr>
          <w:top w:val="nil"/>
          <w:left w:val="nil"/>
          <w:bottom w:val="nil"/>
          <w:right w:val="nil"/>
          <w:between w:val="nil"/>
          <w:bar w:val="nil"/>
        </w:pBdr>
        <w:spacing w:before="0" w:after="240"/>
        <w:rPr>
          <w:noProof/>
          <w:szCs w:val="24"/>
        </w:rPr>
      </w:pPr>
      <w:r>
        <w:rPr>
          <w:noProof/>
        </w:rPr>
        <w:lastRenderedPageBreak/>
        <w:t xml:space="preserve">Primul studiu analizează costurile tranziției, impactul acoperirii cu servicii pe suport radio în bandă largă utilizând banda de 700 MHz și aspectele socioculturale legate de reconfigurarea utilizării spectrului de către TDT în banda de frecvențe sub 700 MHz. </w:t>
      </w:r>
    </w:p>
    <w:p>
      <w:pPr>
        <w:pBdr>
          <w:top w:val="nil"/>
          <w:left w:val="nil"/>
          <w:bottom w:val="nil"/>
          <w:right w:val="nil"/>
          <w:between w:val="nil"/>
          <w:bar w:val="nil"/>
        </w:pBdr>
        <w:spacing w:before="0" w:after="240"/>
        <w:rPr>
          <w:rFonts w:eastAsia="Arial Unicode MS"/>
          <w:noProof/>
        </w:rPr>
      </w:pPr>
      <w:r>
        <w:rPr>
          <w:noProof/>
        </w:rPr>
        <w:t>Al doilea studiu oferă o evaluare cuprinzătoare a posibilităților de convergență dintre TDT și banda largă pe suport radio după 2020.</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Evaluarea impactului efectuată de Comisie a primit, la 27 noiembrie 2015, un aviz pozitiv din partea Comitetului de analiză a reglementării</w:t>
      </w:r>
      <w:r>
        <w:rPr>
          <w:rStyle w:val="FootnoteReference"/>
          <w:noProof/>
        </w:rPr>
        <w:footnoteReference w:id="11"/>
      </w:r>
      <w:r>
        <w:rPr>
          <w:noProof/>
        </w:rPr>
        <w:t>.</w:t>
      </w:r>
    </w:p>
    <w:p>
      <w:pPr>
        <w:pBdr>
          <w:top w:val="nil"/>
          <w:left w:val="nil"/>
          <w:bottom w:val="nil"/>
          <w:right w:val="nil"/>
          <w:between w:val="nil"/>
          <w:bar w:val="nil"/>
        </w:pBdr>
        <w:spacing w:before="0" w:after="240"/>
        <w:rPr>
          <w:noProof/>
        </w:rPr>
      </w:pPr>
      <w:r>
        <w:rPr>
          <w:noProof/>
        </w:rPr>
        <w:t>Evaluarea impactului a avut în vedere patru opțiuni de politică:</w:t>
      </w:r>
    </w:p>
    <w:p>
      <w:pPr>
        <w:pStyle w:val="Point0number"/>
        <w:numPr>
          <w:ilvl w:val="0"/>
          <w:numId w:val="14"/>
        </w:numPr>
        <w:rPr>
          <w:noProof/>
        </w:rPr>
      </w:pPr>
      <w:r>
        <w:rPr>
          <w:noProof/>
        </w:rPr>
        <w:t>nicio acțiune la nivelul Uniunii;</w:t>
      </w:r>
    </w:p>
    <w:p>
      <w:pPr>
        <w:pStyle w:val="Point0number"/>
        <w:rPr>
          <w:noProof/>
        </w:rPr>
      </w:pPr>
      <w:r>
        <w:rPr>
          <w:noProof/>
        </w:rPr>
        <w:t>desemnarea și autorizarea coordonată a benzii de frecvențe de 700 MHz pentru banda largă pe suport radio, până în 2020, și rezervarea benzii de frecvențe sub 700 MHz pentru TDT și echipamentele PMSE audio;</w:t>
      </w:r>
    </w:p>
    <w:p>
      <w:pPr>
        <w:pStyle w:val="Point0number"/>
        <w:rPr>
          <w:noProof/>
        </w:rPr>
      </w:pPr>
      <w:r>
        <w:rPr>
          <w:noProof/>
        </w:rPr>
        <w:t>desemnarea și autorizarea coordonată a benzii de frecvențe de 700 MHz pentru banda largă pe suport radio, până în 2020. Desemnarea coordonată a benzii de frecvențe sub 700 MHz pentru o utilizare flexibilă în funcție de cererea națională, ceea ce ar asigura continuitatea furnizării serviciilor mass-media audiovizuale destinate unei audiențe de masă (într-un mod neutru din punctul de vedere al tehnologiei), inclusiv distribuția programelor cu acces liber, precum și un spectru disponibil pentru echipamentele PMSE audio. Pentru a evita interferențele, utilizarea spectrului de frecvențe sub 700 MHz ar trebui limitată din punct de vedere tehnic la modul „exclusiv legătură descendentă”</w:t>
      </w:r>
      <w:r>
        <w:rPr>
          <w:rStyle w:val="FootnoteReference"/>
          <w:noProof/>
        </w:rPr>
        <w:footnoteReference w:id="12"/>
      </w:r>
      <w:r>
        <w:rPr>
          <w:noProof/>
        </w:rPr>
        <w:t>. Această opțiune ar prevedea și elaborarea unei strategii privind spectrul pentru echipamentele PMSE audio, care ar soluționa pierderea de spectru pentru aceste echipamente în banda UHF.</w:t>
      </w:r>
    </w:p>
    <w:p>
      <w:pPr>
        <w:pStyle w:val="Point0number"/>
        <w:rPr>
          <w:noProof/>
        </w:rPr>
      </w:pPr>
      <w:r>
        <w:rPr>
          <w:noProof/>
        </w:rPr>
        <w:t>desemnarea și autorizarea coordonată a întregii benzi UHF pentru servicii pe suport radio în bandă largă, până în 2020.</w:t>
      </w:r>
    </w:p>
    <w:p>
      <w:pPr>
        <w:pBdr>
          <w:top w:val="nil"/>
          <w:left w:val="nil"/>
          <w:bottom w:val="nil"/>
          <w:right w:val="nil"/>
          <w:between w:val="nil"/>
          <w:bar w:val="nil"/>
        </w:pBdr>
        <w:spacing w:before="0" w:after="240"/>
        <w:rPr>
          <w:noProof/>
        </w:rPr>
      </w:pPr>
      <w:r>
        <w:rPr>
          <w:noProof/>
        </w:rPr>
        <w:t xml:space="preserve">Comisia a ales opțiunea 3, care a devenit „opțiunea preferată” pentru îndeplinirea obiectivelor de politică. Opțiunea preferată va contribui la îndeplinirea obiectivelor Uniunii în materie de spectru și conectivitate. Utilizarea pentru banda largă pe suport radio a benzii de 700 MHz împreună cu spectrul din benzile de 800 MHz și de 900 MHz ar stimula creșterea capacității rețelelor mobile. Acest lucru ar asigura o acoperire universală la viteze mari de transmisie, de cel puțin 30 Mb/s per utilizator, pe o piață concurențială reprezentativă, pe care ar activa 3-4 operatori. Stabilirea anului 2020 ca termen limită comun pentru reafectarea benzii de 700 MHz este adecvată și pentru că termenul corespunde instalării primelor rețele 5G. Opțiunea 3 asigură, de asemenea, organismelor de radiodifuziune și furnizorilor de servicii mass-media audiovizuale pentru publicul larg, în special radiodifuziunii digitale terestre, certitudinea accesului la spectrul din banda de frecvențe sub 700 MHz. Flexibilitatea utilizării spectrului de frecvențe sub 700 MHz facilitează reducerea interferențelor și permite crearea unui „ecosistem” inovator, care promovează investițiile și noi modele de afaceri. </w:t>
      </w:r>
    </w:p>
    <w:p>
      <w:pPr>
        <w:pBdr>
          <w:top w:val="nil"/>
          <w:left w:val="nil"/>
          <w:bottom w:val="nil"/>
          <w:right w:val="nil"/>
          <w:between w:val="nil"/>
          <w:bar w:val="nil"/>
        </w:pBdr>
        <w:spacing w:before="0" w:after="240"/>
        <w:rPr>
          <w:noProof/>
        </w:rPr>
      </w:pPr>
      <w:r>
        <w:rPr>
          <w:noProof/>
        </w:rPr>
        <w:lastRenderedPageBreak/>
        <w:t>Rezultatele cu care s-a încheiat CMR-15, menționate anterior, susțin opțiunea 3, atât pentru banda de frecvențe de 700 MHz, cât și pentru banda de frecvențe sub 700 MHz. În Europa, Africa și zone extinse din restul lumii, banda de frecvențe sub 700 MHz rămâne alocată exclusiv serviciilor de radiodifuziune.</w:t>
      </w:r>
    </w:p>
    <w:p>
      <w:pPr>
        <w:pBdr>
          <w:top w:val="nil"/>
          <w:left w:val="nil"/>
          <w:bottom w:val="nil"/>
          <w:right w:val="nil"/>
          <w:between w:val="nil"/>
          <w:bar w:val="nil"/>
        </w:pBdr>
        <w:spacing w:before="0" w:after="240"/>
        <w:rPr>
          <w:noProof/>
        </w:rPr>
      </w:pPr>
      <w:r>
        <w:rPr>
          <w:noProof/>
        </w:rPr>
        <w:t>Primul dintre studiile sus-menționate comandate de Comisie a estimat că eliberarea benzii de 700 MHz în 2020 și trecerea la tehnologia de radiodifuziune terestră de nouă generație ar costa între 1,2 și 4,4 miliarde EUR. Cea mai mare parte a acestor costuri ar fi suportată de utilizatorii finali, cu ocazia modernizării echipamentului lor de recepție înainte de sfârșitul ciclului normal de reînnoire a acestuia. În ceea ce privește echipamentele PMSE audio, costurile aferente tranziției în 2020 s-ar ridica la 200 milioane EUR, în ipoteza în care 30 % din utilizatorii actuali de echipamente PMSE audio operează în banda de 700 MHz. Țările UE pot aplica însă măsuri de sprijin public neutre din punctul de vedere al tehnologiei, care să limiteze costurile respective, dacă acestea sunt compatibile cu normele privind ajutoarele de stat</w:t>
      </w:r>
      <w:r>
        <w:rPr>
          <w:rStyle w:val="FootnoteReference"/>
          <w:noProof/>
        </w:rPr>
        <w:footnoteReference w:id="13"/>
      </w:r>
      <w:r>
        <w:rPr>
          <w:noProof/>
        </w:rPr>
        <w:t>. În plus, costul maxim al adaptării rețelelor de TDT pentru transmiterea aceluiași volum de programe în condițiile reducerii spectrului este estimat la aproximativ 890 milioane EUR. Această valoare poate include, în special, costurile suportate de titularii de drepturi, ale căror drepturi de utilizare trebuie modificate înainte de sfârșitul perioadei pentru care au fost acordate. În cazul în care statele membre iau în considerare aplicarea unor măsuri de reducere a costurilor respective, acestea trebuie să respecte principiul neutralității tehnologice și practica decizională a Comisiei în domeniul ajutoarelor de stat</w:t>
      </w:r>
      <w:r>
        <w:rPr>
          <w:rStyle w:val="FootnoteReference"/>
          <w:noProof/>
        </w:rPr>
        <w:footnoteReference w:id="14"/>
      </w:r>
      <w:r>
        <w:rPr>
          <w:noProof/>
        </w:rPr>
        <w:t>, precum și jurisprudența relevantă a instanțelor UE</w:t>
      </w:r>
      <w:r>
        <w:rPr>
          <w:rStyle w:val="FootnoteReference"/>
          <w:noProof/>
        </w:rPr>
        <w:footnoteReference w:id="15"/>
      </w:r>
      <w:r>
        <w:rPr>
          <w:noProof/>
        </w:rPr>
        <w:t xml:space="preserve">. Măsurile adoptate pentru a compensa retragerea drepturilor pot fi </w:t>
      </w:r>
      <w:r>
        <w:rPr>
          <w:noProof/>
        </w:rPr>
        <w:lastRenderedPageBreak/>
        <w:t xml:space="preserve">compatibile cu legislația Uniunii în materie de ajutoare de stat în anumite circumstanțe și dacă această compensație nu depășește prejudiciul generat de retragere. Potrivit RSPG, în 14 state membre au fost acordate drepturi de utilizare pe o perioadă nedeterminată sau pe o perioadă care depășește anul 2020. </w:t>
      </w:r>
    </w:p>
    <w:p>
      <w:pPr>
        <w:rPr>
          <w:rFonts w:eastAsia="Arial Unicode MS"/>
          <w:noProof/>
        </w:rPr>
      </w:pPr>
      <w:r>
        <w:rPr>
          <w:noProof/>
        </w:rPr>
        <w:t>Ținând seama de rezultatele recentelor licitații pentru alocarea spectrului în benzile de 800 MHz și 900 MHz, veniturile totale obținute din asignarea benzii de 700 MHz în UE-28, până în 2020, s-ar ridica, conform unei estimări prudente și dacă toate celelalte elemente rămân neschimbate, la aproximativ 11 miliarde EUR.</w:t>
      </w:r>
    </w:p>
    <w:p>
      <w:pPr>
        <w:pStyle w:val="ManualHeading1"/>
        <w:rPr>
          <w:noProof/>
        </w:rPr>
      </w:pPr>
      <w:r>
        <w:rPr>
          <w:noProof/>
        </w:rPr>
        <w:t>4.</w:t>
      </w:r>
      <w:r>
        <w:rPr>
          <w:noProof/>
        </w:rPr>
        <w:tab/>
        <w:t>IMPLICAȚIILE BUGETARE</w:t>
      </w:r>
    </w:p>
    <w:p>
      <w:pPr>
        <w:rPr>
          <w:noProof/>
        </w:rPr>
      </w:pPr>
      <w:r>
        <w:rPr>
          <w:noProof/>
        </w:rPr>
        <w:t>Nu se așteaptă implicații bugetare specifice pentru Uniune.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Explicarea detaliată a dispozițiilor specifice ale propunerii</w:t>
      </w:r>
    </w:p>
    <w:p>
      <w:pPr>
        <w:pBdr>
          <w:top w:val="nil"/>
          <w:left w:val="nil"/>
          <w:bottom w:val="nil"/>
          <w:right w:val="nil"/>
          <w:between w:val="nil"/>
          <w:bar w:val="nil"/>
        </w:pBdr>
        <w:spacing w:before="0" w:after="240"/>
        <w:rPr>
          <w:noProof/>
        </w:rPr>
      </w:pPr>
      <w:r>
        <w:rPr>
          <w:noProof/>
        </w:rPr>
        <w:t xml:space="preserve">În conformitate cu strategia pentru banda UHF, prezenta propunere stabilește: </w:t>
      </w:r>
    </w:p>
    <w:p>
      <w:pPr>
        <w:pStyle w:val="Bullet0"/>
        <w:rPr>
          <w:noProof/>
        </w:rPr>
      </w:pPr>
      <w:r>
        <w:rPr>
          <w:noProof/>
        </w:rPr>
        <w:t xml:space="preserve">termene pentru reafectarea benzii de 700 MHz pentru serviciile de comunicații electronice pe suport radio în bandă largă, în conformitate cu condițiile tehnice armonizate la nivelul Uniunii; </w:t>
      </w:r>
    </w:p>
    <w:p>
      <w:pPr>
        <w:pStyle w:val="Bullet0"/>
        <w:rPr>
          <w:noProof/>
        </w:rPr>
      </w:pPr>
      <w:r>
        <w:rPr>
          <w:noProof/>
        </w:rPr>
        <w:t xml:space="preserve">măsuri de facilitare a tranziției către utilizarea spectrului din banda UHF; </w:t>
      </w:r>
    </w:p>
    <w:p>
      <w:pPr>
        <w:pStyle w:val="Bullet0"/>
        <w:rPr>
          <w:noProof/>
        </w:rPr>
      </w:pPr>
      <w:r>
        <w:rPr>
          <w:noProof/>
        </w:rPr>
        <w:t>măsuri pentru utilizarea pe termen lung a benzii de frecvențe sub 700 MHz, care vor fi supuse unei revizuiri.</w:t>
      </w:r>
    </w:p>
    <w:p>
      <w:pPr>
        <w:pBdr>
          <w:top w:val="nil"/>
          <w:left w:val="nil"/>
          <w:bottom w:val="nil"/>
          <w:right w:val="nil"/>
          <w:between w:val="nil"/>
          <w:bar w:val="nil"/>
        </w:pBdr>
        <w:spacing w:before="0" w:after="240"/>
        <w:rPr>
          <w:noProof/>
        </w:rPr>
      </w:pPr>
      <w:r>
        <w:rPr>
          <w:noProof/>
        </w:rPr>
        <w:t xml:space="preserve">Articolul 1 prevede două termene comune obligatorii pentru statele membre în ceea ce privește reafectarea benzii de 700 MHz pentru banda largă pe suport radio: </w:t>
      </w:r>
    </w:p>
    <w:p>
      <w:pPr>
        <w:pStyle w:val="Bullet0"/>
        <w:rPr>
          <w:noProof/>
        </w:rPr>
      </w:pPr>
      <w:r>
        <w:rPr>
          <w:noProof/>
        </w:rPr>
        <w:t xml:space="preserve">acordurile de coordonare transfrontalieră trebuie finalizate până la sfârșitul anului 2017; </w:t>
      </w:r>
    </w:p>
    <w:p>
      <w:pPr>
        <w:pStyle w:val="Bullet0"/>
        <w:rPr>
          <w:noProof/>
        </w:rPr>
      </w:pPr>
      <w:r>
        <w:rPr>
          <w:noProof/>
        </w:rPr>
        <w:t>până la jumătatea anului 2020, banda de 700 MHz trebuie pusă la dispoziție pentru utilizarea sa eficace de către serviciile de comunicații electronice pe suport radio în bandă largă, în conformitate cu Decizia de punere în aplicare a Comisiei privind condițiile tehnice armonizate de utilizare a benzii</w:t>
      </w:r>
      <w:r>
        <w:rPr>
          <w:rStyle w:val="FootnoteReference"/>
          <w:noProof/>
        </w:rPr>
        <w:footnoteReference w:id="16"/>
      </w:r>
      <w:r>
        <w:rPr>
          <w:noProof/>
        </w:rPr>
        <w:t xml:space="preserve">. </w:t>
      </w:r>
    </w:p>
    <w:p>
      <w:pPr>
        <w:pBdr>
          <w:top w:val="nil"/>
          <w:left w:val="nil"/>
          <w:bottom w:val="nil"/>
          <w:right w:val="nil"/>
          <w:between w:val="nil"/>
          <w:bar w:val="nil"/>
        </w:pBdr>
        <w:spacing w:before="0" w:after="240"/>
        <w:rPr>
          <w:noProof/>
        </w:rPr>
      </w:pPr>
      <w:r>
        <w:rPr>
          <w:noProof/>
        </w:rPr>
        <w:t>Articolul 1 prevede, de asemenea, că, după termenul comun stabilit pentru Uniune, utilizarea benzii de 700 MHz pentru banda largă pe suport radio trebuie protejată la nivel transfrontalier.</w:t>
      </w:r>
    </w:p>
    <w:p>
      <w:pPr>
        <w:pBdr>
          <w:top w:val="nil"/>
          <w:left w:val="nil"/>
          <w:bottom w:val="nil"/>
          <w:right w:val="nil"/>
          <w:between w:val="nil"/>
          <w:bar w:val="nil"/>
        </w:pBdr>
        <w:spacing w:before="0" w:after="240"/>
        <w:rPr>
          <w:noProof/>
        </w:rPr>
      </w:pPr>
      <w:r>
        <w:rPr>
          <w:noProof/>
        </w:rPr>
        <w:t>Articolul 2 prevede obligația statelor membre de a permite transferul drepturilor de utilizare a spectrului din banda de 700 MHz. Aceasta este conformă cu obiectivele de politică și cu dispozițiile Deciziei privind RSPP</w:t>
      </w:r>
      <w:r>
        <w:rPr>
          <w:rStyle w:val="FootnoteReference"/>
          <w:noProof/>
        </w:rPr>
        <w:footnoteReference w:id="17"/>
      </w:r>
      <w:r>
        <w:rPr>
          <w:noProof/>
        </w:rPr>
        <w:t xml:space="preserve"> și cele ale Directivei-cadru.</w:t>
      </w:r>
    </w:p>
    <w:p>
      <w:pPr>
        <w:pBdr>
          <w:top w:val="nil"/>
          <w:left w:val="nil"/>
          <w:bottom w:val="nil"/>
          <w:right w:val="nil"/>
          <w:between w:val="nil"/>
          <w:bar w:val="nil"/>
        </w:pBdr>
        <w:spacing w:before="0" w:after="240"/>
        <w:rPr>
          <w:noProof/>
        </w:rPr>
      </w:pPr>
      <w:r>
        <w:rPr>
          <w:noProof/>
        </w:rPr>
        <w:t xml:space="preserve">Articolul 3 impune statelor membre să efectueze o evaluare la nivel național și să ia în considerare, atunci când acordă drepturi de utilizare a benzii de 700 MHz pentru serviciile de comunicații electronice pe suport radio în bandă largă, luarea de măsuri de asigurare a unui </w:t>
      </w:r>
      <w:r>
        <w:rPr>
          <w:noProof/>
        </w:rPr>
        <w:lastRenderedPageBreak/>
        <w:t xml:space="preserve">nivel înalt de calitate a acoperirii populației și teritoriului. Scopul este de a profita de beneficiile socioeconomice oferite de banda UHF, contribuind la reducerea decalajului digital și facilitând dezvoltarea pe scară largă a internetului obiectelor. </w:t>
      </w:r>
    </w:p>
    <w:p>
      <w:pPr>
        <w:pBdr>
          <w:top w:val="nil"/>
          <w:left w:val="nil"/>
          <w:bottom w:val="nil"/>
          <w:right w:val="nil"/>
          <w:between w:val="nil"/>
          <w:bar w:val="nil"/>
        </w:pBdr>
        <w:spacing w:before="0" w:after="240"/>
        <w:rPr>
          <w:noProof/>
          <w:sz w:val="23"/>
          <w:szCs w:val="23"/>
        </w:rPr>
      </w:pPr>
      <w:r>
        <w:rPr>
          <w:noProof/>
          <w:sz w:val="23"/>
        </w:rPr>
        <w:t xml:space="preserve">Articolul 4 se referă la utilizarea pe termen lung a benzii de frecvențe sub 700 MHz. Articolul prevede obligația statelor membre de a asigura utilizarea pe termen lung a benzii respective pentru distribuția serviciilor mass-media audiovizuale destinate unei audiențe de masă (sau publicului larg). </w:t>
      </w:r>
      <w:r>
        <w:rPr>
          <w:noProof/>
        </w:rPr>
        <w:t>Acest lucru ar trebui să includă utilizarea în continuare a benzii de către echipamentele PMSE audio pe suport radio, în conformitate cu prioritățile naționale.</w:t>
      </w:r>
      <w:r>
        <w:rPr>
          <w:noProof/>
          <w:sz w:val="23"/>
        </w:rPr>
        <w:t xml:space="preserve"> </w:t>
      </w:r>
    </w:p>
    <w:p>
      <w:pPr>
        <w:pBdr>
          <w:top w:val="nil"/>
          <w:left w:val="nil"/>
          <w:bottom w:val="nil"/>
          <w:right w:val="nil"/>
          <w:between w:val="nil"/>
          <w:bar w:val="nil"/>
        </w:pBdr>
        <w:spacing w:before="0" w:after="240"/>
        <w:rPr>
          <w:noProof/>
          <w:sz w:val="23"/>
          <w:szCs w:val="23"/>
        </w:rPr>
      </w:pPr>
      <w:r>
        <w:rPr>
          <w:noProof/>
          <w:sz w:val="23"/>
        </w:rPr>
        <w:t>Pentru ca obligațiile statelor membre să fie coerente cu articolele 9 și 9a din Directiva-cadru, obligația de asigurare a utilizării benzii de frecvențe sub 700 MHz se aplică furnizării de servicii mass-media audiovizuale destinate unei audiențe de masă, și nu tipului de tehnologie pe suport radio pe care se bazează aceasta sau tipului de serviciu de comunicații electronice. Prin urmare, garanția prevăzută la articolul 4 asigură certitudinea accesului la spectru și permite dezvoltarea în continuare a TDT ca platformă principală pentru radiodifuzarea terestră a serviciilor mass-media audiovizuale către publicul larg. De asemenea, articolul permite utilizarea benzii de frecvențe sub 700 MHz și de către alte tehnologii sau servicii de comunicații electronice, limitate exclusiv la legătura descendentă (și anume, de la rețea la terminalele receptoare, cum ar fi televizoarele sau tabletele).</w:t>
      </w:r>
    </w:p>
    <w:p>
      <w:pPr>
        <w:pBdr>
          <w:top w:val="nil"/>
          <w:left w:val="nil"/>
          <w:bottom w:val="nil"/>
          <w:right w:val="nil"/>
          <w:between w:val="nil"/>
          <w:bar w:val="nil"/>
        </w:pBdr>
        <w:spacing w:before="0" w:after="240"/>
        <w:rPr>
          <w:noProof/>
          <w:sz w:val="23"/>
          <w:szCs w:val="23"/>
        </w:rPr>
      </w:pPr>
      <w:r>
        <w:rPr>
          <w:noProof/>
        </w:rPr>
        <w:t>Articolul 5 prevede obligația statelor membre de a adopta și a comunica întregii Uniuni foile de parcurs naționale privind reafectarea benzii de 700 MHz pentru banda largă pe suport radio și privind procesul de tranziție aferent pentru întreaga bandă UHF. Această dispoziție se bazează pe foaia de parcurs a tranziției, asupra căreia au convenit părțile interesate (a se vedea anexa 2 la Raportul Lamy). Foaia de parcurs stabilește domeniul de aplicare al măsurilor care trebuie avute în vedere pentru tranziția la noile tehnologii de TDT în contextul reafectării benzii de 700 MHz.</w:t>
      </w:r>
      <w:r>
        <w:rPr>
          <w:noProof/>
          <w:sz w:val="23"/>
        </w:rPr>
        <w:t xml:space="preserve"> Scopul este de a asigura limitarea impactului asupra publicului și a întreprinderilor prin utilizarea unui proces transparent.</w:t>
      </w:r>
    </w:p>
    <w:p>
      <w:pPr>
        <w:pBdr>
          <w:top w:val="nil"/>
          <w:left w:val="nil"/>
          <w:bottom w:val="nil"/>
          <w:right w:val="nil"/>
          <w:between w:val="nil"/>
          <w:bar w:val="nil"/>
        </w:pBdr>
        <w:spacing w:before="0" w:after="240"/>
        <w:rPr>
          <w:noProof/>
          <w:sz w:val="23"/>
          <w:szCs w:val="23"/>
        </w:rPr>
      </w:pPr>
      <w:r>
        <w:rPr>
          <w:noProof/>
        </w:rPr>
        <w:t>Articolul 6 prevede obligația Comisiei de a efectua, până în 2025, o revizuire a utilizării spectrului din banda de frecvențe sub 700 MHz, în cooperare cu statele membre. După efectuarea acestei revizuiri, Comisia trebuie să prezinte concluziile sale Parlamentului European și Consiliului, împreună cu orice propuneri de modificări legislative, care ar putea schimba, de exemplu, fondul sau forma garanțiilor sau durata acestora.</w:t>
      </w:r>
      <w:r>
        <w:rPr>
          <w:noProof/>
          <w:sz w:val="23"/>
        </w:rPr>
        <w:t xml:space="preserve"> Această dispoziție a deciziei este conformă cu o recomandare a Raportului Lamy. Revizuirea de către Comisie a utilizării spectrului din banda de frecvențe sub 700 MHz ar trebui să țină seama de revizuirea acestei benzi, care va avea loc cu ocazia Conferinței mondiale pentru radiocomunicații a UIT din 2023.</w:t>
      </w:r>
    </w:p>
    <w:p>
      <w:pPr>
        <w:pBdr>
          <w:top w:val="nil"/>
          <w:left w:val="nil"/>
          <w:bottom w:val="nil"/>
          <w:right w:val="nil"/>
          <w:between w:val="nil"/>
          <w:bar w:val="nil"/>
        </w:pBdr>
        <w:spacing w:before="0" w:after="240"/>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2016/0027 (COD)</w:t>
      </w:r>
    </w:p>
    <w:p>
      <w:pPr>
        <w:pStyle w:val="Statut"/>
        <w:rPr>
          <w:noProof/>
        </w:rPr>
      </w:pPr>
      <w:r>
        <w:rPr>
          <w:noProof/>
        </w:rPr>
        <w:t>Propunere de</w:t>
      </w:r>
    </w:p>
    <w:p>
      <w:pPr>
        <w:pStyle w:val="Typedudocument"/>
        <w:rPr>
          <w:noProof/>
        </w:rPr>
      </w:pPr>
      <w:r>
        <w:rPr>
          <w:noProof/>
        </w:rPr>
        <w:t>DECIZIE A PARLAMENTULUI EUROPEAN ŞI A CONSILIULUI</w:t>
      </w:r>
    </w:p>
    <w:p>
      <w:pPr>
        <w:pStyle w:val="Titreobjet"/>
        <w:rPr>
          <w:noProof/>
        </w:rPr>
      </w:pPr>
      <w:r>
        <w:rPr>
          <w:noProof/>
        </w:rPr>
        <w:t>privind utilizarea benzii de frecvențe de 470-790 MHz în Uniune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18"/>
      </w:r>
      <w:r>
        <w:rPr>
          <w:noProof/>
        </w:rPr>
        <w:t>,</w:t>
      </w:r>
    </w:p>
    <w:p>
      <w:pPr>
        <w:rPr>
          <w:noProof/>
        </w:rPr>
      </w:pPr>
      <w:r>
        <w:rPr>
          <w:noProof/>
        </w:rPr>
        <w:t>având în vedere avizul Comitetului Regiunilor</w:t>
      </w:r>
      <w:r>
        <w:rPr>
          <w:rStyle w:val="FootnoteReference"/>
          <w:noProof/>
        </w:rPr>
        <w:footnoteReference w:id="19"/>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În programul pentru politica în domeniul spectrului de frecvențe radio (RSPP), instituit prin Decizia nr. 243/2012/UE</w:t>
      </w:r>
      <w:r>
        <w:rPr>
          <w:rStyle w:val="FootnoteReference"/>
          <w:noProof/>
        </w:rPr>
        <w:footnoteReference w:id="20"/>
      </w:r>
      <w:r>
        <w:rPr>
          <w:noProof/>
        </w:rPr>
        <w:t>, Parlamentul European și Consiliul au stabilit ca obiective: identificarea, până în 2015, a cel puțin 1 200 MHz de spectru adecvat pentru serviciile de comunicații electronice pe suport radio în bandă largă din Uniune, susținerea dezvoltării în continuare de servicii mass-media audiovizuale inovatoare prin asigurarea unui spectru suficient pentru furnizarea acestor servicii prin satelit și pe cale terestră, dacă necesitatea este motivată în mod clar, și asigurarea unui spectru suficient pentru producția de programe și pentru evenimentele speciale (PMSE).</w:t>
      </w:r>
    </w:p>
    <w:p>
      <w:pPr>
        <w:pStyle w:val="ManualConsidrant"/>
        <w:rPr>
          <w:noProof/>
        </w:rPr>
      </w:pPr>
      <w:r>
        <w:t>(2)</w:t>
      </w:r>
      <w:r>
        <w:tab/>
      </w:r>
      <w:r>
        <w:rPr>
          <w:noProof/>
        </w:rPr>
        <w:t>În strategia sa pentru piața unică digitală</w:t>
      </w:r>
      <w:r>
        <w:rPr>
          <w:rStyle w:val="FootnoteReference"/>
          <w:noProof/>
        </w:rPr>
        <w:footnoteReference w:id="21"/>
      </w:r>
      <w:r>
        <w:rPr>
          <w:noProof/>
        </w:rPr>
        <w:t>, Comisia evidențiază importanța benzii de 694-790 MHz („banda de 700 MHz”) pentru asigurarea furnizării de servicii în bandă largă în zonele rurale și subliniază necesitatea eliberării coordonate a acestei benzi, ținând seama, în același timp, de nevoile specifice ale distribuției serviciilor mass-media audiovizuale.</w:t>
      </w:r>
    </w:p>
    <w:p>
      <w:pPr>
        <w:pStyle w:val="ManualConsidrant"/>
        <w:rPr>
          <w:noProof/>
        </w:rPr>
      </w:pPr>
      <w:r>
        <w:t>(3)</w:t>
      </w:r>
      <w:r>
        <w:tab/>
      </w:r>
      <w:r>
        <w:rPr>
          <w:noProof/>
        </w:rPr>
        <w:t>Spectrul din banda de frecvențe 470-790 MHz este o resursă valoroasă pentru instalarea rentabilă a rețelelor pe suport radio cu acoperire universală în interior și exterior. Acest spectru, care este utilizat în prezent în Uniune pentru televiziunea digitală terestră (TDT) și echipamentele PMSE audio pe suport radio, susține dezvoltarea sectorului mass-media, a sectorului creativ și a celui cultural, care se bazează în mare parte pe această resursă pentru a furniza, pe suport radio, conținut destinat audienței de masă.</w:t>
      </w:r>
    </w:p>
    <w:p>
      <w:pPr>
        <w:pStyle w:val="ManualConsidrant"/>
        <w:rPr>
          <w:noProof/>
        </w:rPr>
      </w:pPr>
      <w:r>
        <w:lastRenderedPageBreak/>
        <w:t>(4)</w:t>
      </w:r>
      <w:r>
        <w:tab/>
      </w:r>
      <w:r>
        <w:rPr>
          <w:noProof/>
        </w:rPr>
        <w:t>Pentru regiunea 1, care include Uniunea, prin reglementările pentru radiocomunicații ale Uniunii Internaționale a Telecomunicațiilor, adoptate de Conferința mondială pentru radiocomunicații, banda de 700 MHz a fost alocată, în mod co-primar, serviciilor de radiodifuziune și serviciilor mobile (cu excepția serviciului mobil aeronautic), iar banda de frecvențe 470-694 MHz („banda de frecvențe sub 700 MHz”) a fost alocată exclusiv serviciului de radiodifuziune, în mod primar, și echipamentelor PMSE audio pe suport radio, în mod secundar.</w:t>
      </w:r>
    </w:p>
    <w:p>
      <w:pPr>
        <w:pStyle w:val="ManualConsidrant"/>
        <w:rPr>
          <w:noProof/>
        </w:rPr>
      </w:pPr>
      <w:r>
        <w:t>(5)</w:t>
      </w:r>
      <w:r>
        <w:tab/>
      </w:r>
      <w:r>
        <w:rPr>
          <w:noProof/>
        </w:rPr>
        <w:t>Ca urmare a creșterii rapide a traficului pe suport radio în bandă largă, mărirea capacității rețelelor pe suport radio a devenit o necesitate. Spectrul din banda de 700 MHz asigură atât capacitate suplimentară, cât și acoperire universală, în special în zonele rurale și în cele îndepărtate care pun probleme de rentabilitate, pentru recepție în interior și pentru comunicații între echipamente pe distanțe mari. În acest context, măsurile coerente pentru realizarea acoperirii cu servicii terestre pe suport radio de înaltă calitate în întreaga Uniune, bazate pe cele mai bune practici naționale în ceea ce privește obligațiile impuse operatorilor prin licență, ar trebui să urmărească îndeplinirea obiectivului RSPP potrivit căruia toți cetățenii ar trebui să aibă acces, până în 2020, la viteze în bandă largă de cel puțin 30 Mb/s. În acest mod, măsurile vor promova serviciile digitale inovatoare și vor asigura beneficii socioeconomice pe termen lung.</w:t>
      </w:r>
    </w:p>
    <w:p>
      <w:pPr>
        <w:pStyle w:val="ManualConsidrant"/>
        <w:rPr>
          <w:noProof/>
        </w:rPr>
      </w:pPr>
      <w:r>
        <w:t>(6)</w:t>
      </w:r>
      <w:r>
        <w:tab/>
      </w:r>
      <w:r>
        <w:rPr>
          <w:noProof/>
        </w:rPr>
        <w:t>Utilizarea în comun a spectrului din aceeași bandă de frecvențe de către comunicațiile bidirecționale pe suport radio în bandă largă (legături ascendente și descendente), pe de o parte, și de către televiziune sau echipamentele PMSE audio pe suport radio, care utilizează transmisia unidirecțională, pe de altă parte, este problematică din punct de vedere tehnic. Acest lucru înseamnă că reafectarea benzii de 700 MHz pentru serviciile de comunicații electronice terestre bidirecționale pe suport radio în bandă largă ar priva utilizatorii de TDT și de echipamente PMSE audio pe suport radio de o parte din resursele lor de spectru. Prin urmare, sectoarele TDT și PMSE au nevoie de o reglementare predictibilă pe termen lung, care să asigure disponibilitatea unui spectru suficient pentru furnizarea și dezvoltarea sustenabilă a serviciilor lor, în special a programelor cu acces liber. Ar putea fi necesare măsuri la nivel național și la nivelul Uniunii pentru a asigura resurse suplimentare de spectru pentru echipamentele PMSE audio pe suport radio în afara benzii de 470-790 MHz.</w:t>
      </w:r>
    </w:p>
    <w:p>
      <w:pPr>
        <w:pStyle w:val="ManualConsidrant"/>
        <w:rPr>
          <w:noProof/>
        </w:rPr>
      </w:pPr>
      <w:r>
        <w:t>(7)</w:t>
      </w:r>
      <w:r>
        <w:tab/>
      </w:r>
      <w:r>
        <w:rPr>
          <w:noProof/>
        </w:rPr>
        <w:t>În raportul său către Comisie („Raportul Lamy”)</w:t>
      </w:r>
      <w:r>
        <w:rPr>
          <w:rStyle w:val="FootnoteReference"/>
          <w:noProof/>
        </w:rPr>
        <w:footnoteReference w:id="22"/>
      </w:r>
      <w:r>
        <w:rPr>
          <w:noProof/>
        </w:rPr>
        <w:t xml:space="preserve">, Pascal Lamy, președintele Grupului la nivel înalt pentru utilizarea viitoare a benzii de 470-790 MHz, a recomandat punerea la dispoziție a benzii de 700 MHz pentru banda largă pe suport radio, până în 2020 (+/- doi ani). Acest lucru ar contribui la îndeplinirea obiectivului de predictibilitate pe termen lung a reglementării accesului TDT la banda de frecvențe sub 700 MHz până în 2030, deși acest aspect ar trebui revizuit până în 2025. În raportul Lamy s-a recomandat, de asemenea, flexibilitate la nivel național în ceea ce privește utilizarea, limitată exclusiv la legătura descendentă, a spectrului din banda de frecvențe sub 700 MHz. Modul „exclusiv legătură descendentă” înseamnă restricționarea tuturor transmisiilor efectuate într-un sistem pe suport radio, indiferent de tehnologia utilizată, la transmisia unidirecțională, respectiv de la stațiile infrastructurii centrale, cum ar fi un turn de televiziune sau o stație de bază pentru </w:t>
      </w:r>
      <w:r>
        <w:rPr>
          <w:noProof/>
        </w:rPr>
        <w:lastRenderedPageBreak/>
        <w:t>telefonie mobilă, către terminalele portabile sau mobile, cum ar fi televizoarele sau telefoanele mobile.</w:t>
      </w:r>
    </w:p>
    <w:p>
      <w:pPr>
        <w:pStyle w:val="ManualConsidrant"/>
        <w:rPr>
          <w:noProof/>
        </w:rPr>
      </w:pPr>
      <w:r>
        <w:t>(8)</w:t>
      </w:r>
      <w:r>
        <w:tab/>
      </w:r>
      <w:r>
        <w:rPr>
          <w:noProof/>
        </w:rPr>
        <w:t xml:space="preserve">Grupul pentru politica în domeniul spectrului de frecvențe radio (RSPG) recomandă în avizul său referitor la strategia pe termen lung privind utilizarea viitoare a benzii de 470-790 MHz în Uniune („avizul RSPG”) adoptarea unei abordări coordonate la nivelul Uniunii pentru punerea la dispoziție, până la sfârșitul anului 2020, a benzii de 700 MHz pentru utilizarea eficace a acesteia de către serviciile de comunicații electronice pe suport radio în bandă largă. Acest lucru ar concorda cu asigurarea, până în 2030, a disponibilității pe termen lung a benzii de frecvențe sub 700 MHz pentru furnizarea de servicii mass-media audiovizuale, exclusiv prin legătură descendentă. RSPG a recomandat, în special, adoptarea unei anumite flexibilități, astfel încât banda de frecvențe sub 700 MHz să poată fi utilizată și pentru furnizarea de servicii de comunicații electronice pe suport radio în bandă largă, exclusiv prin legătură descendentă. </w:t>
      </w:r>
    </w:p>
    <w:p>
      <w:pPr>
        <w:pStyle w:val="ManualConsidrant"/>
        <w:rPr>
          <w:noProof/>
        </w:rPr>
      </w:pPr>
      <w:r>
        <w:t>(9)</w:t>
      </w:r>
      <w:r>
        <w:tab/>
      </w:r>
      <w:r>
        <w:rPr>
          <w:noProof/>
        </w:rPr>
        <w:t>Întrucât unele state membre au lansat sau au finalizat deja procesul național de autorizare a utilizării benzii de 700 MHz de către serviciile de comunicații electronice terestre bidirecționale pe suport radio în bandă largă, Uniunea ar trebui să ia măsuri imediate pentru a preveni fragmentarea pieței unice. Este nevoie de o abordare coordonată a utilizării viitoare a benzii de 470-790 MHz, care trebuie, de asemenea, să asigure predictibilitatea reglementării, să găsească un echilibru între diversitatea situațiilor din statele membre și obiectivele pieței unice și să promoveze o poziție coerentă a Uniunii pe scena internațională. În acest context, statele membre ar trebui să aibă obligația de a reafecta banda de 700 MHz în timp util, în conformitate cu legislația Uniunii și cu legislația națională.</w:t>
      </w:r>
    </w:p>
    <w:p>
      <w:pPr>
        <w:pStyle w:val="ManualConsidrant"/>
        <w:rPr>
          <w:noProof/>
        </w:rPr>
      </w:pPr>
      <w:r>
        <w:t>(10)</w:t>
      </w:r>
      <w:r>
        <w:tab/>
      </w:r>
      <w:r>
        <w:rPr>
          <w:noProof/>
        </w:rPr>
        <w:t>Utilizarea benzii de 700 MHz de către aplicații din țări care nu sunt membre ale UE, după cum permit acordurile internaționale, sau în părți ale teritoriului național aflate în afara controlului efectiv al autorităților unui stat membru, poate limita, în unele state membre, utilizarea acestei benzi de către serviciile de comunicații electronice terestre pe suport radio în bandă largă. În consecință, aceste state membre nu ar putea respecta calendarul comun stabilit la nivelul Uniunii. Statele membre în cauză trebuie să ia toate măsurile necesare pentru a reduce la minimum durata și acoperirea geografică a acestor limitări și să solicite, dacă este necesar, asistența Uniunii, în conformitate cu articolul 10 alineatul (2) din Decizia privind RSPP. Acestea trebuie, de asemenea, să notifice Comisiei astfel de limitări în temeiul articolului 6 alineatul (2) și al articolului 7, iar informațiile respective trebuie publicate în conformitate cu articolul 5 din Decizia nr. 676/2002/CE</w:t>
      </w:r>
      <w:r>
        <w:rPr>
          <w:rStyle w:val="FootnoteReference"/>
          <w:noProof/>
        </w:rPr>
        <w:footnoteReference w:id="23"/>
      </w:r>
      <w:r>
        <w:rPr>
          <w:noProof/>
        </w:rPr>
        <w:t>.</w:t>
      </w:r>
    </w:p>
    <w:p>
      <w:pPr>
        <w:pStyle w:val="ManualConsidrant"/>
        <w:rPr>
          <w:noProof/>
        </w:rPr>
      </w:pPr>
      <w:r>
        <w:t>(11)</w:t>
      </w:r>
      <w:r>
        <w:tab/>
      </w:r>
      <w:r>
        <w:rPr>
          <w:noProof/>
        </w:rPr>
        <w:t>Utilizarea benzii de 700 MHz pentru serviciile de comunicații electronice terestre pe suport radio în bandă largă trebuie supusă, cât mai curând posibil, unui regim de autorizare flexibil. Acesta ar trebui să includă posibilitatea ca titularii de drepturi de utilizare a spectrului să-și transfere sau să-și închirieze drepturile în contextul aplicării articolelor 9, 9a și 9b din Directiva 2002/21/CE</w:t>
      </w:r>
      <w:r>
        <w:rPr>
          <w:rStyle w:val="FootnoteReference"/>
          <w:noProof/>
        </w:rPr>
        <w:footnoteReference w:id="24"/>
      </w:r>
      <w:r>
        <w:rPr>
          <w:noProof/>
        </w:rPr>
        <w:t>.</w:t>
      </w:r>
    </w:p>
    <w:p>
      <w:pPr>
        <w:pStyle w:val="ManualConsidrant"/>
        <w:rPr>
          <w:noProof/>
        </w:rPr>
      </w:pPr>
      <w:r>
        <w:lastRenderedPageBreak/>
        <w:t>(12)</w:t>
      </w:r>
      <w:r>
        <w:tab/>
      </w:r>
      <w:r>
        <w:rPr>
          <w:noProof/>
        </w:rPr>
        <w:t>În conformitate cu articolele 9 și 9a din Directiva 2002/21/CE, statele membre ar trebui să aplice, după caz, o abordare flexibilă; acestea pot permite introducerea unor servicii alternative, furnizate exclusiv prin legătură descendentă, cum ar fi serviciile de comunicații electronice terestre pe suport radio în bandă largă în banda de frecvențe sub 700 MHz, în conformitate cu necesitățile naționale de distribuție a serviciilor mass-media audiovizuale destinate unei audiențe de masă. Atunci când permit utilizarea benzii de frecvențe sub 700 MHz de către serviciile de comunicații electronice terestre pe suport radio în bandă largă, furnizate exclusiv prin legătură descendentă, statele membre trebuie să se asigure că această utilizare nu afectează utilizarea benzii respective de către radiodifuziunea digitală terestră în statele membre învecinate, după cum prevede acordul încheiat la Conferința regională de radiocomunicații din 2006</w:t>
      </w:r>
      <w:r>
        <w:rPr>
          <w:rStyle w:val="FootnoteReference"/>
          <w:noProof/>
        </w:rPr>
        <w:footnoteReference w:id="25"/>
      </w:r>
      <w:r>
        <w:rPr>
          <w:noProof/>
        </w:rPr>
        <w:t>.</w:t>
      </w:r>
    </w:p>
    <w:p>
      <w:pPr>
        <w:pStyle w:val="ManualConsidrant"/>
        <w:rPr>
          <w:noProof/>
        </w:rPr>
      </w:pPr>
      <w:r>
        <w:t>(13)</w:t>
      </w:r>
      <w:r>
        <w:tab/>
      </w:r>
      <w:r>
        <w:rPr>
          <w:noProof/>
        </w:rPr>
        <w:t>În orice caz, utilizarea spectrului în banda de 470-694 MHz trebuie reevaluată la nivelul Uniunii, cel mai târziu în 2025. O astfel de evaluare trebuie să țină seama și de revizuirea planificată a acestei benzi de frecvențe la Conferința mondială pentru radiocomunicații din 2023. Modificările în utilizarea benzii de frecvențe sub 700 MHz trebuie să ia în considerare evoluțiile tehnologice, comportamentul consumatorilor, importanța furnizării în continuare a unui serviciu de programe cu acces liber</w:t>
      </w:r>
      <w:r>
        <w:rPr>
          <w:rStyle w:val="FootnoteReference"/>
          <w:noProof/>
        </w:rPr>
        <w:footnoteReference w:id="26"/>
      </w:r>
      <w:r>
        <w:rPr>
          <w:noProof/>
        </w:rPr>
        <w:t xml:space="preserve"> și obiectivele sociale, economice și culturale de interes general. În acest context, trebuie efectuate studii cu privire la condițiile tehnice și de reglementare necesare pentru coexistența utilizărilor, existente și noi, ale spectrului din banda de frecvențe sub 700 MHz. Aceste studii ar asigura coerența dintre abordările aplicate de diferitele state membre cu privire la utilizarea flexibilă și eficientă a spectrului și ar permite adoptarea de măsuri tehnice de armonizare pentru diversele utilizări și pentru coexistența acestora în banda respectivă. Astfel de studii și de măsuri pot fi elaborate în temeiul Deciziei nr. 676/2002/CE.</w:t>
      </w:r>
    </w:p>
    <w:p>
      <w:pPr>
        <w:pStyle w:val="ManualConsidrant"/>
        <w:rPr>
          <w:noProof/>
        </w:rPr>
      </w:pPr>
      <w:r>
        <w:t>(14)</w:t>
      </w:r>
      <w:r>
        <w:tab/>
      </w:r>
      <w:r>
        <w:rPr>
          <w:noProof/>
        </w:rPr>
        <w:t>Statele membre trebuie să adopte foi de parcurs naționale coerente, pentru a facilita utilizarea benzii de 700 MHz de către serviciile de comunicații electronice terestre pe suport radio în bandă largă, asigurând, în același timp, continuitatea serviciilor de televiziune care eliberează banda. După adoptarea lor, statele membre trebuie să comunice foile de parcurs, în mod transparent, în întreaga Uniune. Foile de parcurs trebuie să cuprindă activitățile și calendarul replanificării frecvențelor, evoluția tehnică a rețelelor și a echipamentelor utilizatorilor finali, coexistența echipamentelor radio cu alte echipamente, regimurile de autorizare existente și cele noi, precum și informații privind posibilitatea de a oferi compensații pentru costurile de migrare, în eventualitatea apariției acestora, pentru a evita, printre altele, costurile pentru utilizatorii finali. În cazul în care statele membre intenționează să mențină TDT, foile de parcurs trebuie să acorde o atenție specială măsurilor de facilitare a modernizării echipamentelor de radiodifuziune prin trecerea la tehnologii care utilizează mai eficient spectrul, cum ar fi formatele video avansate (de exemplu, HEVC) sau tehnologiile avansate de transmisie a semnalului (de exemplu, DVB-T2).</w:t>
      </w:r>
    </w:p>
    <w:p>
      <w:pPr>
        <w:pStyle w:val="ManualConsidrant"/>
        <w:rPr>
          <w:noProof/>
        </w:rPr>
      </w:pPr>
      <w:r>
        <w:lastRenderedPageBreak/>
        <w:t>(15)</w:t>
      </w:r>
      <w:r>
        <w:tab/>
      </w:r>
      <w:r>
        <w:rPr>
          <w:noProof/>
        </w:rPr>
        <w:t>Sfera de aplicare și mecanismul eventualei compensații pentru finalizarea tranziției la utilizarea spectrului din banda de 470-790 MHz trebuie analizate în conformitate cu dispozițiile naționale relevante, prevăzute la articolul 14 din Directiva 2002/20/CE</w:t>
      </w:r>
      <w:r>
        <w:rPr>
          <w:rStyle w:val="FootnoteReference"/>
          <w:noProof/>
        </w:rPr>
        <w:footnoteReference w:id="27"/>
      </w:r>
      <w:r>
        <w:rPr>
          <w:noProof/>
        </w:rPr>
        <w:t>, și trebuie să fie coerente cu dispozițiile articolelor 107 și 108 din TFUE.</w:t>
      </w:r>
    </w:p>
    <w:p>
      <w:pPr>
        <w:pStyle w:val="ManualConsidrant"/>
        <w:rPr>
          <w:noProof/>
        </w:rPr>
      </w:pPr>
      <w:r>
        <w:t>(16)</w:t>
      </w:r>
      <w:r>
        <w:tab/>
      </w:r>
      <w:r>
        <w:rPr>
          <w:noProof/>
        </w:rPr>
        <w:t>Întrucât obiectivul prezentei decizii, și anume asigurarea în Uniune, conform obiectivelor comune, a tranziției coordonate la utilizarea spectrului din banda de 470-790 MHz nu poate fi realizat în mod satisfăcător de către statele membre, dar, ca urmare a dimensiunii și a efectelor sale, poate fi realizat mai bine la nivelul Uniunii, Uniunea poate adopta măsuri în conformitate cu principiul subsidiarității prevăzut la articolul 5 din Tratatul privind Uniunea Europeană. În conformitate cu principiul proporționalității prevăzut la același articol, prezenta decizie nu depășește ceea ce este necesar pentru realizarea obiectivului menționat,</w:t>
      </w:r>
    </w:p>
    <w:p>
      <w:pPr>
        <w:pStyle w:val="Formuledadoption"/>
        <w:rPr>
          <w:noProof/>
        </w:rPr>
      </w:pPr>
      <w:r>
        <w:rPr>
          <w:noProof/>
        </w:rPr>
        <w:t xml:space="preserve">ADOPTĂ PREZENTA DECIZIE: </w:t>
      </w:r>
    </w:p>
    <w:p>
      <w:pPr>
        <w:pStyle w:val="Titrearticle"/>
        <w:rPr>
          <w:noProof/>
        </w:rPr>
      </w:pPr>
      <w:r>
        <w:rPr>
          <w:noProof/>
        </w:rPr>
        <w:t>Articolul 1</w:t>
      </w:r>
    </w:p>
    <w:p>
      <w:pPr>
        <w:pStyle w:val="Point0number"/>
        <w:numPr>
          <w:ilvl w:val="0"/>
          <w:numId w:val="9"/>
        </w:numPr>
        <w:rPr>
          <w:noProof/>
        </w:rPr>
      </w:pPr>
      <w:r>
        <w:rPr>
          <w:noProof/>
        </w:rPr>
        <w:t>Până la 30 iunie 2020, statele membre permit utilizarea benzii de frecvențe de 694-790 MHz de către sistemele terestre capabile să furnizeze servicii de comunicații electronice pe suport radio în bandă largă, numai în conformitate cu condițiile tehnice armonizate stabilite de Comisie în temeiul articolului 4 din Decizia nr. 676/2002/CE. Dacă este necesar pentru a permite această utilizare, statele membre derulează procesul de autorizare sau modifică drepturile de utilizare a spectrului existente, în conformitate cu Directiva 2002/20/CE.</w:t>
      </w:r>
    </w:p>
    <w:p>
      <w:pPr>
        <w:pStyle w:val="Point0number"/>
        <w:rPr>
          <w:noProof/>
        </w:rPr>
      </w:pPr>
      <w:r>
        <w:rPr>
          <w:noProof/>
        </w:rPr>
        <w:t>Pentru a permite utilizarea benzii de frecvențe de 694-790 MHz în conformitate cu alineatul (1), până la 31 decembrie 2017, statele membre încheie toate acordurile necesare de coordonare transfrontalieră a frecvențelor în Uniune.</w:t>
      </w:r>
    </w:p>
    <w:p>
      <w:pPr>
        <w:pStyle w:val="Point0number"/>
        <w:rPr>
          <w:noProof/>
        </w:rPr>
      </w:pPr>
      <w:r>
        <w:rPr>
          <w:noProof/>
        </w:rPr>
        <w:t>Statele membre nu au obligațiile prevăzute la alineatele (1) și (2) în zonele geografice în care coordonarea frecvențelor cu țările care nu sunt membre ale Uniunii nu este încă rezolvată, atât timp cât acestea depun toate eforturile posibile pentru a reduce la minimum durata și acoperirea geografică a acestei coordonări nerezolvate și raportează anual Comisiei rezultatele obținute, până la rezolvarea problemelor de coordonare în suspensie. Prezentul alineat se aplică și problemelor de coordonare a spectrului din Republica Cipru, care decurg din faptul că Guvernul Ciprului este împiedicat să exercite un control efectiv asupra unei părți a teritoriului său.</w:t>
      </w:r>
    </w:p>
    <w:p>
      <w:pPr>
        <w:pStyle w:val="Titrearticle"/>
        <w:rPr>
          <w:noProof/>
        </w:rPr>
      </w:pPr>
      <w:r>
        <w:rPr>
          <w:noProof/>
        </w:rPr>
        <w:t>Articolul 2</w:t>
      </w:r>
    </w:p>
    <w:p>
      <w:pPr>
        <w:rPr>
          <w:noProof/>
        </w:rPr>
      </w:pPr>
      <w:r>
        <w:rPr>
          <w:noProof/>
        </w:rPr>
        <w:t>Până la 30 iunie 2022, statele membre permit transferul sau închirierea drepturilor de utilizare a spectrului pentru servicii de comunicații electronice în banda de 694-790 MHz.</w:t>
      </w:r>
    </w:p>
    <w:p>
      <w:pPr>
        <w:pStyle w:val="Titrearticle"/>
        <w:rPr>
          <w:noProof/>
        </w:rPr>
      </w:pPr>
      <w:r>
        <w:rPr>
          <w:noProof/>
        </w:rPr>
        <w:t>Articolul 3</w:t>
      </w:r>
    </w:p>
    <w:p>
      <w:pPr>
        <w:rPr>
          <w:noProof/>
        </w:rPr>
      </w:pPr>
      <w:r>
        <w:rPr>
          <w:noProof/>
        </w:rPr>
        <w:t xml:space="preserve">Atunci când autorizează utilizarea benzii de 694-790 MHz sau modifică drepturile existente de utilizare a benzii de 694-790 MHz, statele membre iau toate măsurile necesare pentru a asigura un nivel înalt de calitate a acoperirii populației și teritoriului la viteze de cel puțin 30 Mb/s, atât în interior, cât și în exterior, inclusiv în zonele prioritare naționale predeterminate, dacă este necesar, și de-a lungul principalelor căi de transport terestre. Astfel de măsuri pot include condiții care vizează facilitarea sau încurajarea utilizării în comun a infrastructurii rețelelor sau a spectrului, în conformitate cu legislația Uniunii. </w:t>
      </w:r>
    </w:p>
    <w:p>
      <w:pPr>
        <w:rPr>
          <w:noProof/>
        </w:rPr>
      </w:pPr>
      <w:r>
        <w:rPr>
          <w:noProof/>
        </w:rPr>
        <w:t>În acest scop, statele membre evaluează necesitatea de a atașa condiții la drepturile de utilizare a spectrului din banda de 694-790 MHz.</w:t>
      </w:r>
    </w:p>
    <w:p>
      <w:pPr>
        <w:pStyle w:val="Titrearticle"/>
        <w:rPr>
          <w:noProof/>
        </w:rPr>
      </w:pPr>
      <w:r>
        <w:rPr>
          <w:noProof/>
        </w:rPr>
        <w:t>Articolul 4</w:t>
      </w:r>
    </w:p>
    <w:p>
      <w:pPr>
        <w:pStyle w:val="Point0number"/>
        <w:numPr>
          <w:ilvl w:val="0"/>
          <w:numId w:val="13"/>
        </w:numPr>
        <w:rPr>
          <w:noProof/>
        </w:rPr>
      </w:pPr>
      <w:r>
        <w:rPr>
          <w:noProof/>
        </w:rPr>
        <w:t>Statele membre asigură disponibilitatea benzii de 470-694 MHz sau a unor porțiuni ale acesteia pentru furnizarea pe cale terestră a serviciilor mass-media audiovizuale, inclusiv a programelor cu acces liber, destinate unei audiențe de masă și pentru utilizare de către echipamentele PMSE audio pe suport radio, conform necesităților naționale în materie de radiodifuziune. Statele membre se asigură că celelalte utilizări ale benzii de 470-694 MHz pe teritoriul lor nu generează interferențe dăunătoare cu serviciile mass-media audiovizuale furnizate pe cale terestră într-un stat membru vecin.</w:t>
      </w:r>
    </w:p>
    <w:p>
      <w:pPr>
        <w:pStyle w:val="Point0number"/>
        <w:rPr>
          <w:noProof/>
        </w:rPr>
      </w:pPr>
      <w:r>
        <w:rPr>
          <w:noProof/>
        </w:rPr>
        <w:t>Dacă statele membre autorizează utilizarea spectrului din banda de 470-694 MHz de către sistemele terestre capabile să furnizeze servicii de comunicații electronice, altele decât rețelele de televiziune, o astfel de utilizare se limitează exclusiv la legătura descendentă. Utilizarea respectivă nu aduce atingere obligațiilor care decurg din acordurile internaționale și din legislația Uniunii.</w:t>
      </w:r>
    </w:p>
    <w:p>
      <w:pPr>
        <w:pStyle w:val="Titrearticle"/>
        <w:rPr>
          <w:noProof/>
        </w:rPr>
      </w:pPr>
      <w:r>
        <w:rPr>
          <w:noProof/>
        </w:rPr>
        <w:t>Articolul 5</w:t>
      </w:r>
    </w:p>
    <w:p>
      <w:pPr>
        <w:rPr>
          <w:noProof/>
        </w:rPr>
      </w:pPr>
      <w:r>
        <w:rPr>
          <w:noProof/>
        </w:rPr>
        <w:t>Până la 30 iunie 2017, statele membre adoptă și publică planul național și calendarul („foaia de parcurs națională”) întocmite în vederea îndeplinirii obligațiilor care le revin în temeiul articolelor 1 și 4 din prezenta decizie.</w:t>
      </w:r>
    </w:p>
    <w:p>
      <w:pPr>
        <w:rPr>
          <w:noProof/>
        </w:rPr>
      </w:pPr>
      <w:r>
        <w:rPr>
          <w:noProof/>
        </w:rPr>
        <w:t>Pentru a asigura utilizarea benzii de 694-790 MHz în conformitate cu articolul 1 alineatul (1), statele membre includ în foile de parcurs naționale, după caz, informații privind măsurile de limitare a impactului viitorului proces de tranziție asupra publicului și a utilizatorilor de echipamente PMSE audio pe suport radio și măsurile de facilitare a disponibilității în timp util pe piața internă a echipamentelor de rețea de televiziune interoperabile și a receptoarelor de televiziune interoperabile.</w:t>
      </w:r>
    </w:p>
    <w:p>
      <w:pPr>
        <w:pStyle w:val="Titrearticle"/>
        <w:rPr>
          <w:noProof/>
        </w:rPr>
      </w:pPr>
      <w:r>
        <w:rPr>
          <w:noProof/>
        </w:rPr>
        <w:t>Articolul 6</w:t>
      </w:r>
    </w:p>
    <w:p>
      <w:pPr>
        <w:rPr>
          <w:noProof/>
        </w:rPr>
      </w:pPr>
      <w:r>
        <w:rPr>
          <w:noProof/>
        </w:rPr>
        <w:t xml:space="preserve">Până la 1 ianuarie 2025, Comisia efectuează o evaluare, în cooperare cu statele membre, și prezintă un raport Consiliului și Parlamentului cu privire la evoluția utilizării benzii de frecvențe de 470-694 MHz, ținând seama de aspectele sociale, economice, culturale și tehnologice ale utilizării acestei benzi de frecvențe în conformitate cu articolele 1 și 4. Raportul evaluează necesitatea de a modifica utilizarea în Uniune a benzii de 470-694 MHz sau a oricărei părți a acesteia. </w:t>
      </w:r>
    </w:p>
    <w:p>
      <w:pPr>
        <w:pStyle w:val="Titrearticle"/>
        <w:rPr>
          <w:noProof/>
        </w:rPr>
      </w:pPr>
      <w:r>
        <w:rPr>
          <w:noProof/>
        </w:rPr>
        <w:t>Articolul 7</w:t>
      </w:r>
    </w:p>
    <w:p>
      <w:pPr>
        <w:keepNext/>
        <w:keepLines/>
        <w:rPr>
          <w:noProof/>
        </w:rPr>
      </w:pPr>
      <w:r>
        <w:rPr>
          <w:noProof/>
        </w:rPr>
        <w:t xml:space="preserve">Prezenta decizie intră în vigoare în a douăzecea zi de la data publicării în </w:t>
      </w:r>
      <w:r>
        <w:rPr>
          <w:i/>
          <w:noProof/>
        </w:rPr>
        <w:t>Jurnalul Oficial al Uniunii Europene</w:t>
      </w:r>
      <w:r>
        <w:rPr>
          <w:noProof/>
        </w:rPr>
        <w:t>.</w:t>
      </w:r>
    </w:p>
    <w:p>
      <w:pPr>
        <w:pStyle w:val="Titrearticle"/>
        <w:rPr>
          <w:noProof/>
        </w:rPr>
      </w:pPr>
      <w:r>
        <w:rPr>
          <w:noProof/>
        </w:rPr>
        <w:t>Articolul 8</w:t>
      </w:r>
    </w:p>
    <w:p>
      <w:pPr>
        <w:rPr>
          <w:noProof/>
        </w:rPr>
      </w:pPr>
      <w:r>
        <w:rPr>
          <w:noProof/>
        </w:rPr>
        <w:t>Prezenta decizie se adresează statelor membre.</w:t>
      </w:r>
    </w:p>
    <w:p>
      <w:pPr>
        <w:pStyle w:val="Fait"/>
        <w:rPr>
          <w:noProof/>
        </w:rPr>
      </w:pPr>
      <w:r>
        <w:rPr>
          <w:noProof/>
        </w:rP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1"/>
        <w:ind w:left="709" w:hanging="709"/>
      </w:pPr>
      <w:r>
        <w:rPr>
          <w:rStyle w:val="FootnoteReference"/>
        </w:rPr>
        <w:footnoteRef/>
      </w:r>
      <w:r>
        <w:tab/>
        <w:t>Banda de 700 MHz în regiunea 3 și banda de 698-790 MHz în regiunea 2 au fost alocate în mod co-primar serviciilor mobile înainte de 2012.</w:t>
      </w:r>
    </w:p>
  </w:footnote>
  <w:footnote w:id="2">
    <w:p>
      <w:pPr>
        <w:pStyle w:val="footnotetext1"/>
        <w:ind w:left="709" w:hanging="709"/>
        <w:jc w:val="left"/>
        <w:rPr>
          <w:lang w:val="pt-PT"/>
        </w:rPr>
      </w:pPr>
      <w:r>
        <w:rPr>
          <w:rStyle w:val="FootnoteReference"/>
        </w:rPr>
        <w:footnoteRef/>
      </w:r>
      <w:r>
        <w:tab/>
        <w:t xml:space="preserve">Documentul RSPG15-595 final este disponibil la adresa: </w:t>
      </w:r>
      <w:hyperlink r:id="rId1">
        <w:r>
          <w:rPr>
            <w:rStyle w:val="Hyperlink"/>
          </w:rPr>
          <w:t>http://rspg-spectrum.eu/wp-content/uploads/2013/05/RSPG15-595_final-RSPG_opinion_UHF.pdf</w:t>
        </w:r>
      </w:hyperlink>
      <w:r>
        <w:rPr>
          <w:rStyle w:val="Hyperlink"/>
        </w:rPr>
        <w:t>.</w:t>
      </w:r>
    </w:p>
  </w:footnote>
  <w:footnote w:id="3">
    <w:p>
      <w:pPr>
        <w:pStyle w:val="footnotetext1"/>
      </w:pPr>
      <w:r>
        <w:rPr>
          <w:rStyle w:val="FootnoteReference"/>
        </w:rPr>
        <w:footnoteRef/>
      </w:r>
      <w:r>
        <w:tab/>
        <w:t>Directiva 2002/21/CE a Parlamentului European și a Consiliului din 7 martie 2002 privind un cadru de reglementare comun pentru rețelele și serviciile de comunicații electronice (Directivă-cadru) (JO L 108, 24.4.2002, p. 33).</w:t>
      </w:r>
    </w:p>
  </w:footnote>
  <w:footnote w:id="4">
    <w:p>
      <w:pPr>
        <w:pStyle w:val="footnotetext1"/>
      </w:pPr>
      <w:r>
        <w:rPr>
          <w:rStyle w:val="FootnoteReference"/>
        </w:rPr>
        <w:footnoteRef/>
      </w:r>
      <w:r>
        <w:tab/>
        <w:t>Directiva 2002/20/CE a Parlamentului European și a Consiliului din 7 martie 2002 privind autorizarea rețelelor și serviciilor de comunicații electronice (Directiva privind autorizarea) (JO L 108, 24.4.2002, p. 21).</w:t>
      </w:r>
    </w:p>
  </w:footnote>
  <w:footnote w:id="5">
    <w:p>
      <w:pPr>
        <w:pStyle w:val="footnotetext1"/>
        <w:rPr>
          <w:lang w:val="en-US"/>
        </w:rPr>
      </w:pPr>
      <w:r>
        <w:rPr>
          <w:rStyle w:val="FootnoteReference"/>
        </w:rPr>
        <w:footnoteRef/>
      </w:r>
      <w:r>
        <w:tab/>
        <w:t>Decizia nr. 676/2002/CE a Parlamentului European și a Consiliului din 7 martie 2002 privind cadrul de reglementare pentru politica de gestionare a spectrului de frecvențe radio în Comunitatea Europeană (decizia privind spectrul de frecvențe radio) (JO L 108, 24.4.2002, p. 1).</w:t>
      </w:r>
    </w:p>
  </w:footnote>
  <w:footnote w:id="6">
    <w:p>
      <w:pPr>
        <w:pStyle w:val="FootnoteText"/>
      </w:pPr>
      <w:r>
        <w:rPr>
          <w:rStyle w:val="FootnoteReference"/>
        </w:rPr>
        <w:footnoteRef/>
      </w:r>
      <w:r>
        <w:tab/>
        <w:t>Conferința Europeană a Administrațiilor de Poștă și Telecomunicații.</w:t>
      </w:r>
    </w:p>
  </w:footnote>
  <w:footnote w:id="7">
    <w:p>
      <w:pPr>
        <w:pStyle w:val="FootnoteText"/>
      </w:pPr>
      <w:r>
        <w:rPr>
          <w:rStyle w:val="FootnoteReference"/>
        </w:rPr>
        <w:footnoteRef/>
      </w:r>
      <w:r>
        <w:tab/>
        <w:t>Decizia 2010/267/UE a Comisiei din 6 mai 2010 privind condițiile tehnice armonizate de utilizare a benzii de frecvențe 790-862 MHz pentru sistemele terestre capabile să furnizeze servicii de comunicații electronice în Uniunea Europeană (JO L 117, 11.5.2010, p. 95).</w:t>
      </w:r>
    </w:p>
  </w:footnote>
  <w:footnote w:id="8">
    <w:p>
      <w:pPr>
        <w:pStyle w:val="footnotetext1"/>
        <w:ind w:left="709" w:hanging="709"/>
      </w:pPr>
      <w:r>
        <w:rPr>
          <w:rStyle w:val="FootnoteReference"/>
        </w:rPr>
        <w:footnoteRef/>
      </w:r>
      <w:r>
        <w:tab/>
        <w:t xml:space="preserve">Link: </w:t>
      </w:r>
      <w:hyperlink r:id="rId2">
        <w:r>
          <w:rPr>
            <w:rStyle w:val="Hyperlink"/>
          </w:rPr>
          <w:t>http://ec.europa.eu/digital-agenda/en/news/report-results-work-high-level-group-future-use-uhf-band</w:t>
        </w:r>
      </w:hyperlink>
      <w:r>
        <w:rPr>
          <w:rStyle w:val="Hyperlink"/>
        </w:rPr>
        <w:t>.</w:t>
      </w:r>
    </w:p>
  </w:footnote>
  <w:footnote w:id="9">
    <w:p>
      <w:pPr>
        <w:pStyle w:val="footnotetext1"/>
        <w:ind w:left="709" w:hanging="709"/>
      </w:pPr>
      <w:r>
        <w:rPr>
          <w:rStyle w:val="FootnoteReference"/>
        </w:rPr>
        <w:footnoteRef/>
      </w:r>
      <w:r>
        <w:tab/>
        <w:t xml:space="preserve">Link: </w:t>
      </w:r>
      <w:hyperlink r:id="rId3">
        <w:r>
          <w:rPr>
            <w:rStyle w:val="Hyperlink"/>
          </w:rPr>
          <w:t>https://ec.europa.eu/eusurvey/runner/PublicConsultationLamyReport2014</w:t>
        </w:r>
      </w:hyperlink>
      <w:r>
        <w:rPr>
          <w:rStyle w:val="Hyperlink"/>
        </w:rPr>
        <w:t>.</w:t>
      </w:r>
    </w:p>
  </w:footnote>
  <w:footnote w:id="10">
    <w:p>
      <w:pPr>
        <w:pStyle w:val="footnotetext1"/>
        <w:ind w:left="709" w:hanging="709"/>
        <w:jc w:val="left"/>
      </w:pPr>
      <w:r>
        <w:rPr>
          <w:rStyle w:val="FootnoteReference"/>
        </w:rPr>
        <w:footnoteRef/>
      </w:r>
      <w:r>
        <w:tab/>
        <w:t xml:space="preserve">Documentul RSPG13-524 rev1, link: </w:t>
      </w:r>
      <w:hyperlink r:id="rId4">
        <w:r>
          <w:rPr>
            <w:rStyle w:val="Hyperlink"/>
          </w:rPr>
          <w:t>https://circabc.europa.eu/d/a/workspace/SpacesStore/614d3daf-76a0-402d-8133-77d2d3dd2518/RSPG13-524 %20rev1 %20Report_700MHz_reallocation_REV.pdf</w:t>
        </w:r>
      </w:hyperlink>
      <w:r>
        <w:rPr>
          <w:rStyle w:val="Hyperlink"/>
        </w:rPr>
        <w:t>.</w:t>
      </w:r>
    </w:p>
  </w:footnote>
  <w:footnote w:id="11">
    <w:p>
      <w:pPr>
        <w:pStyle w:val="footnotetext1"/>
      </w:pPr>
      <w:r>
        <w:rPr>
          <w:rStyle w:val="FootnoteReference"/>
        </w:rPr>
        <w:footnoteRef/>
      </w:r>
      <w:r>
        <w:tab/>
        <w:t xml:space="preserve">Link: </w:t>
      </w:r>
      <w:hyperlink r:id="rId5" w:anchor="cnect">
        <w:r>
          <w:rPr>
            <w:rStyle w:val="Hyperlink"/>
          </w:rPr>
          <w:t>http://ec.europa.eu/smart-regulation/impact/ia_carried_out/cia_2015_en.htm#cnect</w:t>
        </w:r>
      </w:hyperlink>
    </w:p>
  </w:footnote>
  <w:footnote w:id="12">
    <w:p>
      <w:pPr>
        <w:pStyle w:val="footnotetext1"/>
      </w:pPr>
      <w:r>
        <w:rPr>
          <w:rStyle w:val="FootnoteReference"/>
        </w:rPr>
        <w:footnoteRef/>
      </w:r>
      <w:r>
        <w:tab/>
        <w:t>Transmisia exclusiv de la infrastructura de rețea la terminalele receptoare, cum ar fi televizoarele sau tabletele.</w:t>
      </w:r>
    </w:p>
  </w:footnote>
  <w:footnote w:id="13">
    <w:p>
      <w:pPr>
        <w:pStyle w:val="footnotetext1"/>
      </w:pPr>
      <w:r>
        <w:rPr>
          <w:rStyle w:val="FootnoteReference"/>
        </w:rPr>
        <w:footnoteRef/>
      </w:r>
      <w:r>
        <w:tab/>
        <w:t>În mai multe decizii, Comisia a aprobat ajutoare de stat pentru limitarea impactului asupra consumatorilor și a utilizatorilor de echipamente PMSE. A se vedea, printre altele, N622/03 Digitalisierungsfonds – Austria, JO C 228, 17.9.2005; C25/04 Introducerea televiziunii digitale terestre (DVB-T) în Berlin-Brandenburg – Germania, JO L 200, 22.7.2006; C24/04 Introducerea televiziunii digitale terestre în Suedia, JO L 112, 30.4.2007; C52/05 Achiziția subvenționată a decodoarelor digitale în Italia, JO L 147, 8.6.2007; N270/06 Subvenții pentru achiziția de decodoare digitale cu API – Italia, JO C 80, 13.4.2007; N107/07 Subvenții pentru IdTV – Italia, JO C 246, 20.10.2007; C34/06 Introducerea televiziunii digitale terestre (DVB-T) în Renania de Nord-Westfalia, JO L 236, 3.9.2008; SA.28685 Recepționarea televiziunii digitale în Cantabria – Spania, JO C 119, 24.4.2012; N671b/2009 – Trecerea la televiziunea digitală în Slovacia, JO C 39, 8.2.2011.</w:t>
      </w:r>
    </w:p>
  </w:footnote>
  <w:footnote w:id="14">
    <w:p>
      <w:pPr>
        <w:pStyle w:val="footnotetext1"/>
      </w:pPr>
      <w:r>
        <w:rPr>
          <w:rStyle w:val="FootnoteReference"/>
        </w:rPr>
        <w:footnoteRef/>
      </w:r>
      <w:r>
        <w:tab/>
        <w:t>Ajutor de stat C 25/2004, DVB-T Berlin Brandenburg; Ajutor de stat C 52/2005, Decodoare digitale; proiect de decizie a Comisiei din ianuarie 2016 privind ajutorul de stat SA.32619 pentru compensarea daunelor cauzate de eliberarea dividendului digital, notificat de Regatul Spaniei.</w:t>
      </w:r>
    </w:p>
  </w:footnote>
  <w:footnote w:id="15">
    <w:p>
      <w:pPr>
        <w:pStyle w:val="footnotetext1"/>
      </w:pPr>
      <w:r>
        <w:rPr>
          <w:rStyle w:val="FootnoteReference"/>
        </w:rPr>
        <w:footnoteRef/>
      </w:r>
      <w:r>
        <w:tab/>
        <w:t xml:space="preserve">Hotărârea CEJ din 10 ianuarie 2006 în cauza C-222/04, </w:t>
      </w:r>
      <w:r>
        <w:rPr>
          <w:i/>
        </w:rPr>
        <w:t>Cassa di Risparmio di Firenze</w:t>
      </w:r>
      <w:r>
        <w:t xml:space="preserve">, punctul 131; Hotărârea CEJ din 20 noiembrie 2003 în cauza C-126/01, </w:t>
      </w:r>
      <w:r>
        <w:rPr>
          <w:i/>
        </w:rPr>
        <w:t>GEMO SA</w:t>
      </w:r>
      <w:r>
        <w:t xml:space="preserve">, punctul 28; Hotărârea CEJ din 22 noiembrie 2001 în cauza C-53/00, </w:t>
      </w:r>
      <w:r>
        <w:rPr>
          <w:i/>
        </w:rPr>
        <w:t>Ferring SA</w:t>
      </w:r>
      <w:r>
        <w:t xml:space="preserve">, punctul 19 și următoarele; Hotărârea CEJ din 8 noiembrie 2001 în cauza C-143/99, </w:t>
      </w:r>
      <w:r>
        <w:rPr>
          <w:i/>
        </w:rPr>
        <w:t>Adria-Wien Pipeline</w:t>
      </w:r>
      <w:r>
        <w:t xml:space="preserve">, punctul 38; Hotărârea CEJ în cauza C-310/99, </w:t>
      </w:r>
      <w:r>
        <w:rPr>
          <w:i/>
        </w:rPr>
        <w:t>Italia / Comisia</w:t>
      </w:r>
      <w:r>
        <w:t xml:space="preserve">, punctul 251; Hotărârea CEJ din 14 ianuarie 2004 în cauza T-109/01, </w:t>
      </w:r>
      <w:r>
        <w:rPr>
          <w:i/>
        </w:rPr>
        <w:t>Fleuren Compost BV / Comisia</w:t>
      </w:r>
      <w:r>
        <w:t xml:space="preserve">, punctul 54; Hotărârea CEJ din 5 octombrie 1999 în cauza C-251/97, </w:t>
      </w:r>
      <w:r>
        <w:rPr>
          <w:i/>
        </w:rPr>
        <w:t>Franța / Comisia</w:t>
      </w:r>
      <w:r>
        <w:t xml:space="preserve">, punctul 40; Hotărârea Tribunalului din 15 iunie 2010 în cauza T-177/07, </w:t>
      </w:r>
      <w:r>
        <w:rPr>
          <w:i/>
        </w:rPr>
        <w:t>Mediaset / Comisia</w:t>
      </w:r>
      <w:r>
        <w:t xml:space="preserve">, hotărârea CEJ din 28 iulie 2011 în cauza C-403/10 P , </w:t>
      </w:r>
      <w:r>
        <w:rPr>
          <w:i/>
        </w:rPr>
        <w:t>Mediaset / Comisia</w:t>
      </w:r>
      <w:r>
        <w:t xml:space="preserve">. Hotărârea Tribunalului din 6 octombrie 2009 în cauza T-21/06, </w:t>
      </w:r>
      <w:r>
        <w:rPr>
          <w:i/>
        </w:rPr>
        <w:t>Germania / Comisia</w:t>
      </w:r>
      <w:r>
        <w:t xml:space="preserve">, privind DVB-T – Berlin/Brandenburg, cauzele T-461/13 </w:t>
      </w:r>
      <w:r>
        <w:rPr>
          <w:i/>
        </w:rPr>
        <w:t>Spania / Comisia</w:t>
      </w:r>
      <w:r>
        <w:t xml:space="preserve">, T-462/13 </w:t>
      </w:r>
      <w:r>
        <w:rPr>
          <w:i/>
        </w:rPr>
        <w:t>Țara Bascilor și Itelazpi / Comisia</w:t>
      </w:r>
      <w:r>
        <w:t xml:space="preserve">, </w:t>
      </w:r>
      <w:hyperlink r:id="rId6">
        <w:r>
          <w:rPr>
            <w:rStyle w:val="Hyperlink"/>
          </w:rPr>
          <w:t>T-463/13</w:t>
        </w:r>
      </w:hyperlink>
      <w:r>
        <w:t xml:space="preserve"> și </w:t>
      </w:r>
      <w:hyperlink r:id="rId7">
        <w:r>
          <w:rPr>
            <w:rStyle w:val="Hyperlink"/>
          </w:rPr>
          <w:t>T-464/13</w:t>
        </w:r>
      </w:hyperlink>
      <w:r>
        <w:t xml:space="preserve">, </w:t>
      </w:r>
      <w:r>
        <w:rPr>
          <w:i/>
        </w:rPr>
        <w:t>Galicia / Comisia și Retegal / Comisia</w:t>
      </w:r>
      <w:r>
        <w:t xml:space="preserve">, </w:t>
      </w:r>
      <w:hyperlink r:id="rId8">
        <w:r>
          <w:rPr>
            <w:rStyle w:val="Hyperlink"/>
          </w:rPr>
          <w:t>T-465/13</w:t>
        </w:r>
      </w:hyperlink>
      <w:r>
        <w:t xml:space="preserve"> </w:t>
      </w:r>
      <w:r>
        <w:rPr>
          <w:i/>
        </w:rPr>
        <w:t>Catalonia și CTTI / Comisia</w:t>
      </w:r>
      <w:r>
        <w:t xml:space="preserve">, </w:t>
      </w:r>
      <w:hyperlink r:id="rId9">
        <w:r>
          <w:rPr>
            <w:rStyle w:val="Hyperlink"/>
          </w:rPr>
          <w:t>T-487/13</w:t>
        </w:r>
      </w:hyperlink>
      <w:r>
        <w:t xml:space="preserve"> </w:t>
      </w:r>
      <w:r>
        <w:rPr>
          <w:i/>
        </w:rPr>
        <w:t>Navara / Comisia</w:t>
      </w:r>
      <w:r>
        <w:t xml:space="preserve"> și, în sfârșit, </w:t>
      </w:r>
      <w:hyperlink r:id="rId10">
        <w:r>
          <w:rPr>
            <w:rStyle w:val="Hyperlink"/>
          </w:rPr>
          <w:t>T-541/13</w:t>
        </w:r>
      </w:hyperlink>
      <w:r>
        <w:t xml:space="preserve"> </w:t>
      </w:r>
      <w:r>
        <w:rPr>
          <w:i/>
        </w:rPr>
        <w:t>Abertis Telecom și Retevisión / Comisia.</w:t>
      </w:r>
    </w:p>
  </w:footnote>
  <w:footnote w:id="16">
    <w:p>
      <w:pPr>
        <w:pStyle w:val="footnotetext1"/>
      </w:pPr>
      <w:r>
        <w:rPr>
          <w:rStyle w:val="FootnoteReference"/>
        </w:rPr>
        <w:footnoteRef/>
      </w:r>
      <w:r>
        <w:tab/>
        <w:t>Aceste termene sunt conforme cu raportul RSPG, avizul RSPG și Raportul Lamy.</w:t>
      </w:r>
    </w:p>
  </w:footnote>
  <w:footnote w:id="17">
    <w:p>
      <w:pPr>
        <w:pStyle w:val="footnotetext1"/>
        <w:rPr>
          <w:lang w:val="fr-BE"/>
        </w:rPr>
      </w:pPr>
      <w:r>
        <w:rPr>
          <w:rStyle w:val="FootnoteReference"/>
        </w:rPr>
        <w:footnoteRef/>
      </w:r>
      <w:r>
        <w:tab/>
      </w:r>
      <w:r>
        <w:rPr>
          <w:rStyle w:val="FootnoteReference"/>
        </w:rPr>
        <w:footnoteRef/>
      </w:r>
      <w:r>
        <w:t>A se vedea articolul 6 alineatul (8).</w:t>
      </w:r>
    </w:p>
  </w:footnote>
  <w:footnote w:id="18">
    <w:p>
      <w:pPr>
        <w:pStyle w:val="FootnoteText"/>
        <w:rPr>
          <w:lang w:val="fr-BE"/>
        </w:rPr>
      </w:pPr>
      <w:r>
        <w:rPr>
          <w:rStyle w:val="FootnoteReference"/>
        </w:rPr>
        <w:footnoteRef/>
      </w:r>
      <w:r>
        <w:tab/>
      </w:r>
      <w:r>
        <w:rPr>
          <w:rStyle w:val="FootnoteReference"/>
        </w:rPr>
        <w:footnoteRef/>
      </w:r>
      <w:r>
        <w:t>JO C , , p. .</w:t>
      </w:r>
    </w:p>
  </w:footnote>
  <w:footnote w:id="19">
    <w:p>
      <w:pPr>
        <w:pStyle w:val="FootnoteText"/>
      </w:pPr>
      <w:r>
        <w:rPr>
          <w:rStyle w:val="FootnoteReference"/>
        </w:rPr>
        <w:footnoteRef/>
      </w:r>
      <w:r>
        <w:tab/>
        <w:t>JO C , , p. .</w:t>
      </w:r>
    </w:p>
  </w:footnote>
  <w:footnote w:id="20">
    <w:p>
      <w:pPr>
        <w:pStyle w:val="footnotetext1"/>
      </w:pPr>
      <w:r>
        <w:rPr>
          <w:rStyle w:val="FootnoteReference"/>
        </w:rPr>
        <w:footnoteRef/>
      </w:r>
      <w:r>
        <w:tab/>
        <w:t>Decizia nr. 243/2012/UE a Parlamentului European și a Consiliului din 14 martie 2012 de instituire a unui program multianual pentru politica în domeniul spectrului de frecvențe radio (JO L 81, 21.3.2012, p. 7).</w:t>
      </w:r>
    </w:p>
  </w:footnote>
  <w:footnote w:id="21">
    <w:p>
      <w:pPr>
        <w:pStyle w:val="footnotetext1"/>
      </w:pPr>
      <w:r>
        <w:rPr>
          <w:rStyle w:val="FootnoteReference"/>
        </w:rPr>
        <w:footnoteRef/>
      </w:r>
      <w:r>
        <w:tab/>
        <w:t xml:space="preserve">A se vedea </w:t>
      </w:r>
      <w:hyperlink r:id="rId11">
        <w:r>
          <w:rPr>
            <w:rStyle w:val="Hyperlink"/>
          </w:rPr>
          <w:t>http://ec.europa.eu/priorities/digital-single-market/index_ro.htm</w:t>
        </w:r>
      </w:hyperlink>
      <w:r>
        <w:rPr>
          <w:rStyle w:val="Hyperlink"/>
        </w:rPr>
        <w:t>.</w:t>
      </w:r>
    </w:p>
  </w:footnote>
  <w:footnote w:id="22">
    <w:p>
      <w:pPr>
        <w:pStyle w:val="footnotetext1"/>
      </w:pPr>
      <w:r>
        <w:rPr>
          <w:rStyle w:val="FootnoteReference"/>
        </w:rPr>
        <w:footnoteRef/>
      </w:r>
      <w:r>
        <w:tab/>
        <w:t xml:space="preserve">Raportul dlui Pascal Lamy este disponibil la adresa: </w:t>
      </w:r>
      <w:hyperlink r:id="rId12">
        <w:r>
          <w:rPr>
            <w:rStyle w:val="Hyperlink"/>
          </w:rPr>
          <w:t>https://ec.europa.eu/digital-agenda/en/news/report-results-work-high-level-group-future-use-uhf-band</w:t>
        </w:r>
      </w:hyperlink>
      <w:r>
        <w:rPr>
          <w:rStyle w:val="Hyperlink"/>
        </w:rPr>
        <w:t>.</w:t>
      </w:r>
    </w:p>
  </w:footnote>
  <w:footnote w:id="23">
    <w:p>
      <w:pPr>
        <w:pStyle w:val="footnotetext1"/>
      </w:pPr>
      <w:r>
        <w:rPr>
          <w:rStyle w:val="FootnoteReference"/>
        </w:rPr>
        <w:footnoteRef/>
      </w:r>
      <w:r>
        <w:tab/>
        <w:t>Decizia nr. 676/2002/CE a Parlamentului European și a Consiliului din 7 martie 2002 privind cadrul de reglementare pentru politica de gestionare a spectrului de frecvențe radio în Comunitatea Europeană (decizia privind spectrul de frecvențe radio) (JO L 108, 24.4.2002, p. 1).</w:t>
      </w:r>
    </w:p>
  </w:footnote>
  <w:footnote w:id="24">
    <w:p>
      <w:pPr>
        <w:pStyle w:val="footnotetext1"/>
      </w:pPr>
      <w:r>
        <w:rPr>
          <w:rStyle w:val="FootnoteReference"/>
        </w:rPr>
        <w:footnoteRef/>
      </w:r>
      <w:r>
        <w:tab/>
        <w:t>Directiva 2002/21/CE din 7 martie 2002 privind un cadru de reglementare comun pentru rețelele și serviciile de comunicații electronice (Directivă-cadru) (JO L 108, 24.4.2002, p. 33).</w:t>
      </w:r>
    </w:p>
  </w:footnote>
  <w:footnote w:id="25">
    <w:p>
      <w:pPr>
        <w:pStyle w:val="footnotetext1"/>
      </w:pPr>
      <w:r>
        <w:rPr>
          <w:rStyle w:val="FootnoteReference"/>
        </w:rPr>
        <w:footnoteRef/>
      </w:r>
      <w:r>
        <w:tab/>
        <w:t>Conferința regională de radiocomunicații de la Geneva, din 2006, pentru planificarea serviciului de radiodifuziune digitală terestră în părți ale regiunilor 1 și 3, în benzile de frecvențe 174-230 MHz și 470-862 MHz (RRC-06).</w:t>
      </w:r>
    </w:p>
  </w:footnote>
  <w:footnote w:id="26">
    <w:p>
      <w:pPr>
        <w:pStyle w:val="footnotetext1"/>
      </w:pPr>
      <w:r>
        <w:rPr>
          <w:rStyle w:val="FootnoteReference"/>
        </w:rPr>
        <w:footnoteRef/>
      </w:r>
      <w:r>
        <w:tab/>
        <w:t>În sensul Directivei 2010/13/UE a Parlamentului European și a Consiliului (Directiva serviciilor mass-media audiovizuale).</w:t>
      </w:r>
    </w:p>
  </w:footnote>
  <w:footnote w:id="27">
    <w:p>
      <w:pPr>
        <w:pStyle w:val="footnotetext1"/>
      </w:pPr>
      <w:r>
        <w:rPr>
          <w:rStyle w:val="FootnoteReference"/>
        </w:rPr>
        <w:footnoteRef/>
      </w:r>
      <w:r>
        <w:tab/>
        <w:t>Directiva 2002/20/CE a Parlamentului European și a Consiliului din 7 martie 2002 privind autorizarea rețelelor și serviciilor de comunicații electronice (Directiva privind autorizarea) (JO L 108, 24.4.2002, p.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32617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A2F484"/>
    <w:lvl w:ilvl="0">
      <w:start w:val="1"/>
      <w:numFmt w:val="decimal"/>
      <w:pStyle w:val="ListNumber3"/>
      <w:lvlText w:val="%1."/>
      <w:lvlJc w:val="left"/>
      <w:pPr>
        <w:tabs>
          <w:tab w:val="num" w:pos="926"/>
        </w:tabs>
        <w:ind w:left="926" w:hanging="360"/>
      </w:pPr>
    </w:lvl>
  </w:abstractNum>
  <w:abstractNum w:abstractNumId="2">
    <w:nsid w:val="FFFFFF81"/>
    <w:multiLevelType w:val="singleLevel"/>
    <w:tmpl w:val="D104202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5AAC1658"/>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8D6002D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648A83C4"/>
    <w:lvl w:ilvl="0">
      <w:start w:val="1"/>
      <w:numFmt w:val="decimal"/>
      <w:pStyle w:val="ListNumber"/>
      <w:lvlText w:val="%1."/>
      <w:lvlJc w:val="left"/>
      <w:pPr>
        <w:tabs>
          <w:tab w:val="num" w:pos="360"/>
        </w:tabs>
        <w:ind w:left="360" w:hanging="360"/>
      </w:pPr>
    </w:lvl>
  </w:abstractNum>
  <w:abstractNum w:abstractNumId="6">
    <w:nsid w:val="FFFFFF89"/>
    <w:multiLevelType w:val="singleLevel"/>
    <w:tmpl w:val="8D8A4F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20"/>
  </w:num>
  <w:num w:numId="18">
    <w:abstractNumId w:val="10"/>
  </w:num>
  <w:num w:numId="19">
    <w:abstractNumId w:val="12"/>
  </w:num>
  <w:num w:numId="20">
    <w:abstractNumId w:val="8"/>
  </w:num>
  <w:num w:numId="21">
    <w:abstractNumId w:val="19"/>
  </w:num>
  <w:num w:numId="22">
    <w:abstractNumId w:val="7"/>
  </w:num>
  <w:num w:numId="23">
    <w:abstractNumId w:val="14"/>
  </w:num>
  <w:num w:numId="24">
    <w:abstractNumId w:val="16"/>
  </w:num>
  <w:num w:numId="25">
    <w:abstractNumId w:val="17"/>
  </w:num>
  <w:num w:numId="26">
    <w:abstractNumId w:val="9"/>
  </w:num>
  <w:num w:numId="27">
    <w:abstractNumId w:val="15"/>
  </w:num>
  <w:num w:numId="28">
    <w:abstractNumId w:val="21"/>
  </w:num>
  <w:num w:numId="29">
    <w:abstractNumId w:val="18"/>
  </w:num>
  <w:num w:numId="30">
    <w:abstractNumId w:val="11"/>
  </w:num>
  <w:num w:numId="31">
    <w:abstractNumId w:val="20"/>
  </w:num>
  <w:num w:numId="32">
    <w:abstractNumId w:val="10"/>
  </w:num>
  <w:num w:numId="33">
    <w:abstractNumId w:val="12"/>
  </w:num>
  <w:num w:numId="34">
    <w:abstractNumId w:val="8"/>
  </w:num>
  <w:num w:numId="35">
    <w:abstractNumId w:val="19"/>
  </w:num>
  <w:num w:numId="36">
    <w:abstractNumId w:val="7"/>
  </w:num>
  <w:num w:numId="37">
    <w:abstractNumId w:val="14"/>
  </w:num>
  <w:num w:numId="38">
    <w:abstractNumId w:val="16"/>
  </w:num>
  <w:num w:numId="39">
    <w:abstractNumId w:val="17"/>
  </w:num>
  <w:num w:numId="40">
    <w:abstractNumId w:val="9"/>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2-02 10:29: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23"/>
    <w:docVar w:name="DQCStatus" w:val="Green"/>
    <w:docVar w:name="DQCVersion" w:val="3"/>
    <w:docVar w:name="DQCWithWarnings" w:val="0"/>
    <w:docVar w:name="LW_CONFIDENCE" w:val=" "/>
    <w:docVar w:name="LW_CONST_RESTREINT_UE" w:val="RESTREINT UE"/>
    <w:docVar w:name="LW_CORRIGENDUM" w:val="&lt;UNUSED&gt;"/>
    <w:docVar w:name="LW_COVERPAGE_GUID" w:val="F282C522BF9C47FD890B5977D89CB7CB"/>
    <w:docVar w:name="LW_CROSSREFERENCE" w:val="{SWD(2016) 19 final}_x000b_{SWD(2016) 20 final}"/>
    <w:docVar w:name="LW_DocType" w:val="COM"/>
    <w:docVar w:name="LW_EMISSION" w:val="2.2.2016"/>
    <w:docVar w:name="LW_EMISSION_ISODATE" w:val="2016-02-02"/>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STATUT" w:val="SJ-026"/>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027"/>
    <w:docVar w:name="LW_REF.II.NEW.CP_YEAR" w:val="2016"/>
    <w:docVar w:name="LW_REF.INST.NEW" w:val="COM"/>
    <w:docVar w:name="LW_REF.INST.NEW_ADOPTED" w:val="final"/>
    <w:docVar w:name="LW_REF.INST.NEW_TEXT" w:val="(2016) 43"/>
    <w:docVar w:name="LW_REF.INTERNE" w:val="&lt;UNUSED&gt;"/>
    <w:docVar w:name="LW_SOUS.TITRE.OBJ.CP" w:val="&lt;UNUSED&gt;"/>
    <w:docVar w:name="LW_STATUT.CP" w:val="Propunere de"/>
    <w:docVar w:name="LW_SUPERTITRE" w:val="&lt;UNUSED&gt;"/>
    <w:docVar w:name="LW_TITRE.OBJ.CP" w:val="privind utilizarea benzii de frecven\u539?e de 470-790 MHz în Uniune"/>
    <w:docVar w:name="LW_TYPE.DOC.CP" w:val="DECIZIE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7"/>
      </w:numPr>
      <w:spacing w:before="0" w:after="240"/>
    </w:pPr>
    <w:rPr>
      <w:rFonts w:eastAsia="Times New Roman"/>
      <w:szCs w:val="20"/>
    </w:rPr>
  </w:style>
  <w:style w:type="paragraph" w:customStyle="1" w:styleId="ListNumber2Level2">
    <w:name w:val="List Number 2 (Level 2)"/>
    <w:basedOn w:val="Text2"/>
    <w:pPr>
      <w:numPr>
        <w:ilvl w:val="1"/>
        <w:numId w:val="7"/>
      </w:numPr>
      <w:spacing w:before="0" w:after="240"/>
    </w:pPr>
    <w:rPr>
      <w:rFonts w:eastAsia="Times New Roman"/>
      <w:szCs w:val="20"/>
    </w:rPr>
  </w:style>
  <w:style w:type="paragraph" w:customStyle="1" w:styleId="ListNumber2Level3">
    <w:name w:val="List Number 2 (Level 3)"/>
    <w:basedOn w:val="Text2"/>
    <w:pPr>
      <w:numPr>
        <w:ilvl w:val="2"/>
        <w:numId w:val="7"/>
      </w:numPr>
      <w:spacing w:before="0" w:after="240"/>
    </w:pPr>
    <w:rPr>
      <w:rFonts w:eastAsia="Times New Roman"/>
      <w:szCs w:val="20"/>
    </w:rPr>
  </w:style>
  <w:style w:type="paragraph" w:customStyle="1" w:styleId="ListNumber2Level4">
    <w:name w:val="List Number 2 (Level 4)"/>
    <w:basedOn w:val="Text2"/>
    <w:pPr>
      <w:numPr>
        <w:ilvl w:val="3"/>
        <w:numId w:val="7"/>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character" w:styleId="Hyperlink">
    <w:name w:val="Hyperlink"/>
    <w:basedOn w:val="DefaultParagraphFont"/>
    <w:uiPriority w:val="99"/>
    <w:unhideWhenUsed/>
    <w:rPr>
      <w:color w:val="0000FF"/>
      <w:u w:val="single"/>
    </w:rPr>
  </w:style>
  <w:style w:type="paragraph" w:customStyle="1" w:styleId="footnotetext1">
    <w:name w:val="footnote text1"/>
    <w:aliases w:val="footnote text,Fußnotentex"/>
    <w:basedOn w:val="Normal"/>
    <w:uiPriority w:val="99"/>
    <w:unhideWhenUsed/>
    <w:qFormat/>
    <w:pPr>
      <w:spacing w:before="0" w:after="0"/>
      <w:ind w:left="720" w:hanging="720"/>
    </w:pPr>
    <w:rPr>
      <w:sz w:val="20"/>
      <w:szCs w:val="20"/>
    </w:rPr>
  </w:style>
  <w:style w:type="paragraph" w:styleId="ListNumber2">
    <w:name w:val="List Number 2"/>
    <w:basedOn w:val="Text2"/>
    <w:pPr>
      <w:numPr>
        <w:numId w:val="7"/>
      </w:numPr>
      <w:spacing w:before="0" w:after="240"/>
    </w:pPr>
    <w:rPr>
      <w:rFonts w:eastAsia="Times New Roman"/>
      <w:szCs w:val="20"/>
    </w:rPr>
  </w:style>
  <w:style w:type="paragraph" w:customStyle="1" w:styleId="ListNumber2Level2">
    <w:name w:val="List Number 2 (Level 2)"/>
    <w:basedOn w:val="Text2"/>
    <w:pPr>
      <w:numPr>
        <w:ilvl w:val="1"/>
        <w:numId w:val="7"/>
      </w:numPr>
      <w:spacing w:before="0" w:after="240"/>
    </w:pPr>
    <w:rPr>
      <w:rFonts w:eastAsia="Times New Roman"/>
      <w:szCs w:val="20"/>
    </w:rPr>
  </w:style>
  <w:style w:type="paragraph" w:customStyle="1" w:styleId="ListNumber2Level3">
    <w:name w:val="List Number 2 (Level 3)"/>
    <w:basedOn w:val="Text2"/>
    <w:pPr>
      <w:numPr>
        <w:ilvl w:val="2"/>
        <w:numId w:val="7"/>
      </w:numPr>
      <w:spacing w:before="0" w:after="240"/>
    </w:pPr>
    <w:rPr>
      <w:rFonts w:eastAsia="Times New Roman"/>
      <w:szCs w:val="20"/>
    </w:rPr>
  </w:style>
  <w:style w:type="paragraph" w:customStyle="1" w:styleId="ListNumber2Level4">
    <w:name w:val="List Number 2 (Level 4)"/>
    <w:basedOn w:val="Text2"/>
    <w:pPr>
      <w:numPr>
        <w:ilvl w:val="3"/>
        <w:numId w:val="7"/>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liste.jsf?language=fr&amp;td=ALL&amp;num=T-465/13" TargetMode="External"/><Relationship Id="rId3" Type="http://schemas.openxmlformats.org/officeDocument/2006/relationships/hyperlink" Target="https://ec.europa.eu/eusurvey/runner/PublicConsultationLamyReport2014" TargetMode="External"/><Relationship Id="rId7" Type="http://schemas.openxmlformats.org/officeDocument/2006/relationships/hyperlink" Target="http://curia.europa.eu/juris/liste.jsf?language=fr&amp;td=ALL&amp;num=T-464/13" TargetMode="External"/><Relationship Id="rId12" Type="http://schemas.openxmlformats.org/officeDocument/2006/relationships/hyperlink" Target="https://ec.europa.eu/digital-agenda/en/news/report-results-work-high-level-group-future-use-uhf-band" TargetMode="External"/><Relationship Id="rId2" Type="http://schemas.openxmlformats.org/officeDocument/2006/relationships/hyperlink" Target="http://ec.europa.eu/digital-agenda/en/news/report-results-work-high-level-group-future-use-uhf-band" TargetMode="External"/><Relationship Id="rId1" Type="http://schemas.openxmlformats.org/officeDocument/2006/relationships/hyperlink" Target="http://rspg-spectrum.eu/wp-content/uploads/2013/05/RSPG15-595_final-RSPG_opinion_UHF.pdf" TargetMode="External"/><Relationship Id="rId6" Type="http://schemas.openxmlformats.org/officeDocument/2006/relationships/hyperlink" Target="http://curia.europa.eu/juris/liste.jsf?language=fr&amp;td=ALL&amp;num=T-463/13" TargetMode="External"/><Relationship Id="rId11" Type="http://schemas.openxmlformats.org/officeDocument/2006/relationships/hyperlink" Target="http://ec.europa.eu/priorities/digital-single-market/index_ro.htm" TargetMode="External"/><Relationship Id="rId5" Type="http://schemas.openxmlformats.org/officeDocument/2006/relationships/hyperlink" Target="http://ec.europa.eu/smart-regulation/impact/ia_carried_out/cia_2015_en.htm" TargetMode="External"/><Relationship Id="rId10" Type="http://schemas.openxmlformats.org/officeDocument/2006/relationships/hyperlink" Target="http://curia.europa.eu/juris/liste.jsf?language=fr&amp;td=ALL&amp;num=T-541/13" TargetMode="External"/><Relationship Id="rId4" Type="http://schemas.openxmlformats.org/officeDocument/2006/relationships/hyperlink" Target="https://circabc.europa.eu/d/a/workspace/SpacesStore/614d3daf-76a0-402d-8133-77d2d3dd2518/RSPG13-524%20rev1%20Report_700MHz_reallocation_REV.pdf" TargetMode="External"/><Relationship Id="rId9" Type="http://schemas.openxmlformats.org/officeDocument/2006/relationships/hyperlink" Target="http://curia.europa.eu/juris/liste.jsf?language=fr&amp;td=ALL&amp;num=T-487/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248BF-A5BB-4D55-8136-8DE27BD3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5936</Words>
  <Characters>34431</Characters>
  <Application>Microsoft Office Word</Application>
  <DocSecurity>0</DocSecurity>
  <Lines>521</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2016-01-12T15:41:00Z</cp:lastPrinted>
  <dcterms:created xsi:type="dcterms:W3CDTF">2016-01-29T15:23:00Z</dcterms:created>
  <dcterms:modified xsi:type="dcterms:W3CDTF">2016-02-02T09:29:00Z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