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3900C0508E74D9FA8BA77095DD5C438" style="width:451.25pt;height:366.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pBdr>
          <w:top w:val="nil"/>
          <w:left w:val="nil"/>
          <w:bottom w:val="nil"/>
          <w:right w:val="nil"/>
          <w:between w:val="nil"/>
          <w:bar w:val="nil"/>
        </w:pBdr>
        <w:spacing w:before="0" w:after="240"/>
        <w:rPr>
          <w:noProof/>
        </w:rPr>
      </w:pPr>
      <w:r>
        <w:rPr>
          <w:noProof/>
        </w:rPr>
        <w:t xml:space="preserve">Euroopan digitaalisten sisämarkkinoiden strategiaan sisältyy visio yleisistä korkealaatuisista verkkoyhteyksistä yrityksille ja kansalaisille. Strategiaan sisältyy myös 694–790 MHz:n, jäljempänä ’700 MHz’, taajuusalueen koordinoitua vapauttamista koskevia komission ehdotuksia, joissa otetaan huomioon myös audiovisuaalimedian jakelua koskevat erityistarpeet. Kyseinen taajuusalue soveltuu erityisen hyvin laajakaistapalvelujen tarjoamiseen maaseudulla. </w:t>
      </w:r>
    </w:p>
    <w:p>
      <w:pPr>
        <w:pBdr>
          <w:top w:val="nil"/>
          <w:left w:val="nil"/>
          <w:bottom w:val="nil"/>
          <w:right w:val="nil"/>
          <w:between w:val="nil"/>
          <w:bar w:val="nil"/>
        </w:pBdr>
        <w:spacing w:before="0" w:after="240"/>
        <w:rPr>
          <w:noProof/>
        </w:rPr>
      </w:pPr>
      <w:r>
        <w:rPr>
          <w:noProof/>
        </w:rPr>
        <w:t>Langattomat yhteydet edellyttävät pääsyä alle 1 GHz:n taajuusalueille, joilla sekä kattavuus että nopeus ovat ihanteelliset. Taajuustehokkaampaan digitaalitelevisiotekniikkaan siirtymisen jälkeen 800 MHz:n taajuusalue (790–862 MHz eli ns. taajuusylijäämä) oli UHF-yleisradiotaajuusalueen (470-862 MHz) ensimmäinen unionissa langattoman laajakaistan käyttöön annettu osa. Nykyisin UHF-radiotaajuusalue kattaa taajuudet 470–790 MHz, jäljempänä ’UHF-kaista’. Sitä käytetään digitaalisissa maanpäällisissä televisiolähetyksissä (DTT) ja ohjelma- ja tapahtumatuotannon audiolaitteissa, pääasiassa langattomissa mikrofoneissa.</w:t>
      </w:r>
    </w:p>
    <w:p>
      <w:pPr>
        <w:pBdr>
          <w:top w:val="nil"/>
          <w:left w:val="nil"/>
          <w:bottom w:val="nil"/>
          <w:right w:val="nil"/>
          <w:between w:val="nil"/>
          <w:bar w:val="nil"/>
        </w:pBdr>
        <w:spacing w:before="0" w:after="240"/>
        <w:rPr>
          <w:noProof/>
        </w:rPr>
      </w:pPr>
      <w:r>
        <w:rPr>
          <w:noProof/>
        </w:rPr>
        <w:t xml:space="preserve">Kansainvälisen televiestintäliiton (ITU) maailman radioviestintäkonferenssi vastaa sitovan radio-ohjesäännön tarkistamisesta. Vuoden 2012 konferenssissa (WRC-12) päätettiin, että vuodesta 2015 alkaen 700 MHz:n taajuusalue olisi osoitettava sekä yleisradio- että matkaviestintäpalveluun alueella 1 (Eurooppa ja Afrikka). </w:t>
      </w:r>
    </w:p>
    <w:p>
      <w:pPr>
        <w:pBdr>
          <w:top w:val="nil"/>
          <w:left w:val="nil"/>
          <w:bottom w:val="nil"/>
          <w:right w:val="nil"/>
          <w:between w:val="nil"/>
          <w:bar w:val="nil"/>
        </w:pBdr>
        <w:spacing w:before="0" w:after="240"/>
        <w:rPr>
          <w:noProof/>
        </w:rPr>
      </w:pPr>
      <w:r>
        <w:rPr>
          <w:noProof/>
        </w:rPr>
        <w:t>Marraskuussa 2015 pidettiin konferenssi WRC-15, jossa saatettiin päätökseen kansainväliset neuvottelut teknisistä ja sääntelyllisistä parametreistä 700 MHz:n taajuusalueen käyttämiseksi langattomaan laajakaistaviestintään. 700 MHz:n taajuusalueen yhtenäinen tilanne kaikilla ITU-alueilla</w:t>
      </w:r>
      <w:bookmarkStart w:id="1" w:name="_Ref439944265"/>
      <w:r>
        <w:rPr>
          <w:rStyle w:val="FootnoteReference"/>
          <w:noProof/>
        </w:rPr>
        <w:footnoteReference w:id="1"/>
      </w:r>
      <w:bookmarkEnd w:id="1"/>
      <w:r>
        <w:rPr>
          <w:noProof/>
        </w:rPr>
        <w:t xml:space="preserve"> tarjoaa harvinaisen mahdollisuuden kyseisen taajuusalueen lähes maailmanlaajuiseen yhdenmukaistamiseen langattomaan laajakaistakäyttöön. WRC-15 päätti myös pitää voimassa taajuusalueen 470–694 MHz, jäljempänä ’alle 700 MHz’ osoittamisen yksinomaan yleisradiotoimintaan alueella 1.</w:t>
      </w:r>
    </w:p>
    <w:p>
      <w:pPr>
        <w:pBdr>
          <w:top w:val="nil"/>
          <w:left w:val="nil"/>
          <w:bottom w:val="nil"/>
          <w:right w:val="nil"/>
          <w:between w:val="nil"/>
          <w:bar w:val="nil"/>
        </w:pBdr>
        <w:spacing w:before="0" w:after="240"/>
        <w:rPr>
          <w:noProof/>
        </w:rPr>
      </w:pPr>
      <w:r>
        <w:rPr>
          <w:noProof/>
        </w:rPr>
        <w:t xml:space="preserve">Komission varapuheenjohtaja Neelie Kroes pyysi vuonna 2013 entisen komissaarin Pascal Lamyn puheenjohtajaksi matkaviestintä-, yleisradiotoiminta- ja media-alan edustajista koostuvaan korkean tason ryhmään, jonka tarkoituksena oli muodostaa yhteinen kanta UHF-kaistan tulevaan käyttöön. Puheenjohtaja laati omissa nimissään raportin (ns. Lamyn raportti), jossa suositettiin 700 MHz:n taajuusalueen antamista langattoman laajakaistan käyttöön siten, että turvataan samalla audiovisuaalialan eurooppalainen toimintamalli, jonka mukaan maanpäällinen yleisradiotoiminta voi käyttää alle 700 MHz:n taajuusaluetta. </w:t>
      </w:r>
    </w:p>
    <w:p>
      <w:pPr>
        <w:pBdr>
          <w:top w:val="nil"/>
          <w:left w:val="nil"/>
          <w:bottom w:val="nil"/>
          <w:right w:val="nil"/>
          <w:between w:val="nil"/>
          <w:bar w:val="nil"/>
        </w:pBdr>
        <w:spacing w:before="0" w:after="240"/>
        <w:rPr>
          <w:noProof/>
        </w:rPr>
      </w:pPr>
      <w:r>
        <w:rPr>
          <w:noProof/>
        </w:rPr>
        <w:t>Komission Lamyn raportista toteuttaman julkisen kuulemisen perusteella koordinoiduille unionin toimille löytyy tukea. Samoihin aikoihin radiotaajuuspolitiikkaa käsittelevä ryhmä antoi lausunnon</w:t>
      </w:r>
      <w:r>
        <w:rPr>
          <w:rStyle w:val="FootnoteReference"/>
          <w:noProof/>
        </w:rPr>
        <w:footnoteReference w:id="2"/>
      </w:r>
      <w:r>
        <w:rPr>
          <w:noProof/>
        </w:rPr>
        <w:t>, jossa myös kannatetaan unionin koordinoitua lähestymistapaa langattoman laajakaistan tarjoamiseen 700 MHz:n taajuusalueella. Lausunnossa suositeltiin, että otettaisiin käyttöön yhdenmukaistetut tekniset edellytykset ja yhteinen määräaika 700 MHz:n taajuusalueen tosiasialliselle käytölle ja alle 700 MHz:n taajuusalueen pitkäaikaiselle käytölle audiovisuaaliseen jakeluun, johon sisältyy myös kyseisen taajuusalueen saatavuus DTT-käyttöön.</w:t>
      </w:r>
    </w:p>
    <w:p>
      <w:pPr>
        <w:pBdr>
          <w:top w:val="nil"/>
          <w:left w:val="nil"/>
          <w:bottom w:val="nil"/>
          <w:right w:val="nil"/>
          <w:between w:val="nil"/>
          <w:bar w:val="nil"/>
        </w:pBdr>
        <w:spacing w:before="0" w:after="240"/>
        <w:rPr>
          <w:noProof/>
        </w:rPr>
      </w:pPr>
      <w:r>
        <w:rPr>
          <w:noProof/>
        </w:rPr>
        <w:t xml:space="preserve">Vastauksena eurooppalaisen sidosryhmäkuulemisen ja ITU:n puitteissa tehtyjen kansainvälisten sopimusten tuloksiin komissio on kehittänyt unionin strategian pitkäaikaiselle UHF-kaistan käytölle. Strategian tarkoituksena on edistää digitaalisten sisämarkkinoiden luomista sekä turvata radiotaajuuksien tehokas hallinnointi UHF-kaistalla sen kulttuurinen, yhteiskunnallinen ja taloudellinen arvo huomioon ottaen. UHF-kaistaa koskevassa strategiassa on kolme pääosiota: </w:t>
      </w:r>
    </w:p>
    <w:p>
      <w:pPr>
        <w:pStyle w:val="Bullet0"/>
        <w:numPr>
          <w:ilvl w:val="0"/>
          <w:numId w:val="5"/>
        </w:numPr>
        <w:rPr>
          <w:noProof/>
        </w:rPr>
      </w:pPr>
      <w:r>
        <w:rPr>
          <w:noProof/>
        </w:rPr>
        <w:t xml:space="preserve">teknologia- ja palveluneutraaliuteen perustuvat yhdenmukaistetut tekniset edellytykset langattomille sähköisille laajakaistaviestintäpalveluille 700 MHz:n taajuusalueella; </w:t>
      </w:r>
    </w:p>
    <w:p>
      <w:pPr>
        <w:pStyle w:val="Bullet0"/>
        <w:rPr>
          <w:noProof/>
        </w:rPr>
      </w:pPr>
      <w:r>
        <w:rPr>
          <w:noProof/>
        </w:rPr>
        <w:t xml:space="preserve">yhteinen määräaika 700 MHz:n taajuusalueen tosiasialliselle saatavuudelle langattomien sähköisten laajakaistaviestintäpalvelujen käyttöön edellä mainittujen yhdenmukaistettujen teknisten edellytysten mukaisesti sekä koordinointitoimenpiteet tämän siirtymävaiheen tukemiseksi; </w:t>
      </w:r>
    </w:p>
    <w:p>
      <w:pPr>
        <w:pStyle w:val="Bullet0"/>
        <w:rPr>
          <w:noProof/>
        </w:rPr>
      </w:pPr>
      <w:r>
        <w:rPr>
          <w:noProof/>
        </w:rPr>
        <w:t>etusija audiovisuaalisten mediapalvelujen jakelulle alle 700 MHz:n taajuusalueella ja yhdessä tämän kanssa joustava lähestymistapa siihen, miten taajuusaluetta käytetään; tämä on tarpeen sen vuoksi, että DTT:n merkitys eri jäsenvaltioiden markkinoilla vaihtelee.</w:t>
      </w: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pBdr>
          <w:top w:val="nil"/>
          <w:left w:val="nil"/>
          <w:bottom w:val="nil"/>
          <w:right w:val="nil"/>
          <w:between w:val="nil"/>
          <w:bar w:val="nil"/>
        </w:pBdr>
        <w:spacing w:before="0" w:after="240"/>
        <w:rPr>
          <w:noProof/>
        </w:rPr>
      </w:pPr>
      <w:r>
        <w:rPr>
          <w:noProof/>
        </w:rPr>
        <w:t>Yksi monivuotisen radiotaajuuspoliittisen ohjelman perustamisesta annetun Euroopan parlamentin ja neuvoston päätöksen 2012/243/EU keskeisistä tavoitteista on 1 200 MHz:n laajuinen taajuusalue langatonta laajakaistaa varten. Tämän ehdotuksen tarkoituksena on auttaa kyseisen tavoitteen saavuttamisessa. Lisäksi ehdotuksen tavoitteisiin kuuluu innovatiivisten audiovisuaalisten mediapalvelujen jatkokehittäminen radiotaajuuspoliittisen ohjelman tavoitteiden mukaisesti, ja se on yhdenmukainen valtuutusdirektiivin</w:t>
      </w:r>
      <w:r>
        <w:rPr>
          <w:rStyle w:val="FootnoteReference"/>
          <w:noProof/>
        </w:rPr>
        <w:footnoteReference w:id="3"/>
      </w:r>
      <w:r>
        <w:rPr>
          <w:noProof/>
        </w:rPr>
        <w:t xml:space="preserve"> ja puitedirektiivin</w:t>
      </w:r>
      <w:r>
        <w:rPr>
          <w:rStyle w:val="FootnoteReference"/>
          <w:noProof/>
        </w:rPr>
        <w:footnoteReference w:id="4"/>
      </w:r>
      <w:r>
        <w:rPr>
          <w:noProof/>
        </w:rPr>
        <w:t xml:space="preserve"> sekä erityisesti jälkimmäisen 9 ja 9 a artiklan kanssa.</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pBdr>
          <w:top w:val="nil"/>
          <w:left w:val="nil"/>
          <w:bottom w:val="nil"/>
          <w:right w:val="nil"/>
          <w:between w:val="nil"/>
          <w:bar w:val="nil"/>
        </w:pBdr>
        <w:spacing w:before="0" w:after="240"/>
        <w:rPr>
          <w:rFonts w:eastAsia="Arial Unicode MS"/>
          <w:noProof/>
        </w:rPr>
      </w:pPr>
      <w:r>
        <w:rPr>
          <w:noProof/>
        </w:rPr>
        <w:t>Tämä lainsäädäntötoimenpide perustuu SEUT-sopimuksen 114 artiklaan sisämarkkinoiden toiminnan turvaamiseksi.</w:t>
      </w:r>
    </w:p>
    <w:p>
      <w:pPr>
        <w:pStyle w:val="ManualHeading2"/>
        <w:rPr>
          <w:rFonts w:eastAsia="Arial Unicode MS"/>
          <w:noProof/>
          <w:u w:color="000000"/>
          <w:bdr w:val="nil"/>
        </w:rPr>
      </w:pPr>
      <w:r>
        <w:rPr>
          <w:noProof/>
        </w:rPr>
        <w:t>•</w:t>
      </w:r>
      <w:r>
        <w:rPr>
          <w:noProof/>
        </w:rPr>
        <w:tab/>
        <w:t xml:space="preserve">Toissijaisuus- ja suhteellisuusperiaate </w:t>
      </w:r>
    </w:p>
    <w:p>
      <w:pPr>
        <w:pBdr>
          <w:top w:val="nil"/>
          <w:left w:val="nil"/>
          <w:bottom w:val="nil"/>
          <w:right w:val="nil"/>
          <w:between w:val="nil"/>
          <w:bar w:val="nil"/>
        </w:pBdr>
        <w:spacing w:before="0" w:after="240"/>
        <w:rPr>
          <w:noProof/>
        </w:rPr>
      </w:pPr>
      <w:r>
        <w:rPr>
          <w:noProof/>
        </w:rPr>
        <w:t xml:space="preserve">Kuten vaikutustenarvioinnissakin selitetään, tässä päätösehdotuksessa esitetty ratkaisu on toissijaisuus- ja suhteellisuusperiaatteen kannalta paras vaihtoehto. </w:t>
      </w:r>
    </w:p>
    <w:p>
      <w:pPr>
        <w:pBdr>
          <w:top w:val="nil"/>
          <w:left w:val="nil"/>
          <w:bottom w:val="nil"/>
          <w:right w:val="nil"/>
          <w:between w:val="nil"/>
          <w:bar w:val="nil"/>
        </w:pBdr>
        <w:spacing w:before="0" w:after="240"/>
        <w:rPr>
          <w:noProof/>
        </w:rPr>
      </w:pPr>
      <w:r>
        <w:rPr>
          <w:noProof/>
        </w:rPr>
        <w:t>Toissijaisuusperiaatetta noudatetaan, sillä aloitteen tavoitteita ei voisi saavuttaa yksittäisten jäsenvaltioiden toimilla, mutta toisaalta aloite mahdollistaa kansallisten olosuhteiden (sekä 700 MHz:n että alle 700 MHz:n taajuusalueilla) huomioon ottamisen.</w:t>
      </w:r>
    </w:p>
    <w:p>
      <w:pPr>
        <w:suppressAutoHyphens/>
        <w:spacing w:before="0" w:after="240"/>
        <w:rPr>
          <w:rFonts w:eastAsia="Times New Roman"/>
          <w:noProof/>
          <w:szCs w:val="24"/>
        </w:rPr>
      </w:pPr>
      <w:r>
        <w:rPr>
          <w:noProof/>
        </w:rPr>
        <w:t xml:space="preserve">EU:n olisi päätettävä, miten se aikoo tulevaisuudessa käyttää 700 MHz:n taajuusaluetta välttääkseen toisistaan eroavat kansalliset lähestymistavat ja rajoittaakseen interferenssiä raja-alueilla. UHF-kaistaa koskevan koko unionin laajuisen yhteisen lainsäädännön puuttuminen pirstoisi haitallisesti UHF-kaistan käyttöä unionissa. Siitä seuraisi raja-alueilla interferenssiä, joka voisi vaikuttaa jopa 13 prosenttiin EU:n väestöstä. </w:t>
      </w:r>
    </w:p>
    <w:p>
      <w:pPr>
        <w:suppressAutoHyphens/>
        <w:spacing w:before="0" w:after="240"/>
        <w:rPr>
          <w:rFonts w:eastAsia="Times New Roman"/>
          <w:noProof/>
        </w:rPr>
      </w:pPr>
      <w:r>
        <w:rPr>
          <w:noProof/>
        </w:rPr>
        <w:t>Sen vuoksi on tarpeen osoittaa ja valtuuttaa koordinoidusti 700 MHz:n taajuusalue langattomalle laajakaistalle vuoteen 2020 mennessä. Lisäksi on tarpeen osoittaa alle 700 MHz:n taajuusalue koordinoidusti joustavaan käyttöön, joka turvaa audiovisuaalisten mediapalvelujen tarjoamisen suurelle yleisölle. Tarvitaan myös investointeja tehokkaampaan teknologiaan, jotta voidaan vapauttaa 700 MHz:n taajuusalue nykyisestä DTT:n käytöstä.</w:t>
      </w:r>
    </w:p>
    <w:p>
      <w:pPr>
        <w:pBdr>
          <w:top w:val="nil"/>
          <w:left w:val="nil"/>
          <w:bottom w:val="nil"/>
          <w:right w:val="nil"/>
          <w:between w:val="nil"/>
          <w:bar w:val="nil"/>
        </w:pBdr>
        <w:spacing w:before="0" w:after="240"/>
        <w:rPr>
          <w:noProof/>
        </w:rPr>
      </w:pPr>
      <w:r>
        <w:rPr>
          <w:noProof/>
        </w:rPr>
        <w:t>Alle 700 MHz:n joustava käyttö on niin ikään suhteellisuusperiaatteen mukaista, koska sillä tavoin ongelmaan voidaan puuttua ja tavoitteet saavuttaa tehokkaimmalla mahdollisella tavalla. Esimerkiksi koko alle 700 MHz:n taajuusalueen vapauttaminen langattomalle laajakaistalle olisi laajempi toimenpide kuin on nykyisin tarpeen vastaamiseksi alle 1 GHz:n taajuusalueen kysyntään langattoman liikenteen tarpeisiin. Joustava käyttö tarjoaa samalla sääntelyvarmuuden DTT:lle alle 700 MHz:n taajuusalueella niille jäsenvaltioille, jotka haluavat säilyttää nykyisen DTT-kapasiteettinsa. Lisäksi taajuusalueen käytölle voidaan vahvistaa yhdenmukaistettuja teknisiä edellytyksiä yhteisymmärryksessä kansallisten tekniikan asiantuntijoiden kanssa päätöksen 676/2002/EY mukaisessa radiotaajuuskomiteassa.</w:t>
      </w:r>
    </w:p>
    <w:p>
      <w:pPr>
        <w:pStyle w:val="ManualHeading2"/>
        <w:rPr>
          <w:rFonts w:eastAsia="Arial Unicode MS"/>
          <w:noProof/>
          <w:u w:color="000000"/>
          <w:bdr w:val="nil"/>
        </w:rPr>
      </w:pPr>
      <w:r>
        <w:rPr>
          <w:noProof/>
        </w:rPr>
        <w:t>•</w:t>
      </w:r>
      <w:r>
        <w:rPr>
          <w:noProof/>
        </w:rPr>
        <w:tab/>
        <w:t>Toimintatavan valinta</w:t>
      </w:r>
    </w:p>
    <w:p>
      <w:pPr>
        <w:pBdr>
          <w:top w:val="nil"/>
          <w:left w:val="nil"/>
          <w:bottom w:val="nil"/>
          <w:right w:val="nil"/>
          <w:between w:val="nil"/>
          <w:bar w:val="nil"/>
        </w:pBdr>
        <w:spacing w:before="0" w:after="240"/>
        <w:rPr>
          <w:noProof/>
        </w:rPr>
      </w:pPr>
      <w:r>
        <w:rPr>
          <w:noProof/>
        </w:rPr>
        <w:t xml:space="preserve">Komission esittämän unionin UHF-kaistastrategian täytäntöönpanoon käytetään kahta oikeudellista välinettä. Ei-sitova toimenpide, kuten Euroopan parlamentin ja neuvoston suositus, ei tekisi unionin tason koordinoinnista pakollista eikä edellyttäisi jäsenvaltioilta toimia. Päätöstä pidetään parempana kuin asetusta, sillä se asettaa jäsenvaltioille velvoitteita, mutta päätöksellä ei ole jäsenvaltioille suoraan sovellettavia vaikutuksia yksityisten tahojen suhteen. Lisäksi päätös soveltuu tähän tarkoitukseen paremmin kuin direktiivi, koska suunniteltuun toimenpiteeseen ei sisälly laajaa kokonaisuutta kansalliseen lainsäädäntöön siirrettäviä yleisiä sääntöjä vaan ainoastaan rajallinen määrä erityistoimia jäsenvaltioiden toteutettaviksi. Esimerkiksi radiotaajuuspoliittisen ohjelman perustamisesta annetun Euroopan parlamentin ja neuvoston päätöksen 243/2012/EU 6 artiklan 4 kohdassa säädetään samankaltaisista jäsenvaltioiden velvollisuuksista ja toimista, ja aikaisemmin on myös annettu Euroopan parlamentin ja neuvoston päätökset 128/1999/EY, 626/2008/EY ja 676/2002/EY, joissa säädetään samanlaisista jäsenvaltioiden velvollisuuksista ja toimista. </w:t>
      </w:r>
    </w:p>
    <w:p>
      <w:pPr>
        <w:pBdr>
          <w:top w:val="nil"/>
          <w:left w:val="nil"/>
          <w:bottom w:val="nil"/>
          <w:right w:val="nil"/>
          <w:between w:val="nil"/>
          <w:bar w:val="nil"/>
        </w:pBdr>
        <w:spacing w:before="0" w:after="240"/>
        <w:rPr>
          <w:noProof/>
        </w:rPr>
      </w:pPr>
      <w:r>
        <w:rPr>
          <w:noProof/>
        </w:rPr>
        <w:t>Tämän SEUT-sopimuksen 114 artiklan mukaisen toimenpiteen yhteydessä annetaan komission täytäntöönpanopäätös, joka hyväksytään komitologiamenettelyllä päätöksen N:o 676/2002/EY</w:t>
      </w:r>
      <w:r>
        <w:rPr>
          <w:rStyle w:val="FootnoteReference"/>
          <w:noProof/>
        </w:rPr>
        <w:footnoteReference w:id="5"/>
      </w:r>
      <w:r>
        <w:rPr>
          <w:noProof/>
        </w:rPr>
        <w:t xml:space="preserve"> mukaisesti. Täytäntöönpanopäätöksen tarkoituksena on osoittaa 700 MHz:n taajuusalue ja antaa se saataville langattomien sähköisten laajakaistaviestintäpalvelujen käyttöön sellaisten yhdenmukaistettujen teknisten edellytysten mukaisesti, jotka laaditaan CEPT:n</w:t>
      </w:r>
      <w:r>
        <w:rPr>
          <w:rStyle w:val="FootnoteReference"/>
          <w:noProof/>
        </w:rPr>
        <w:footnoteReference w:id="6"/>
      </w:r>
      <w:r>
        <w:rPr>
          <w:noProof/>
        </w:rPr>
        <w:t xml:space="preserve"> avustuksella. Tätä lähestymistapaa noudatettiin myös, kun yhdenmukaistettiin 800 MHz:n taajuusalue langattomia sähköisiä laajakaistaviestintäpalveluja varten radiotaajuuspoliittisen ohjelman ja komission päätöksen 2010/267/EU</w:t>
      </w:r>
      <w:r>
        <w:rPr>
          <w:rStyle w:val="FootnoteReference"/>
          <w:noProof/>
        </w:rPr>
        <w:footnoteReference w:id="7"/>
      </w:r>
      <w:r>
        <w:rPr>
          <w:noProof/>
        </w:rPr>
        <w:t xml:space="preserve"> nojalla.</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Sidosryhmien kuuleminen</w:t>
      </w:r>
    </w:p>
    <w:p>
      <w:pPr>
        <w:rPr>
          <w:noProof/>
          <w:szCs w:val="24"/>
        </w:rPr>
      </w:pPr>
      <w:r>
        <w:rPr>
          <w:noProof/>
        </w:rPr>
        <w:t>Tässä ehdotuksessa on otettu huomioon seuraavat sidosryhmien näkemykset:</w:t>
      </w:r>
    </w:p>
    <w:p>
      <w:pPr>
        <w:pStyle w:val="Point1"/>
        <w:rPr>
          <w:noProof/>
        </w:rPr>
      </w:pPr>
      <w:r>
        <w:rPr>
          <w:noProof/>
        </w:rPr>
        <w:t>a)</w:t>
      </w:r>
      <w:r>
        <w:rPr>
          <w:noProof/>
        </w:rPr>
        <w:tab/>
        <w:t>Pascal Lamyn laatima Lamyn raportti</w:t>
      </w:r>
      <w:r>
        <w:rPr>
          <w:rStyle w:val="FootnoteReference"/>
          <w:noProof/>
        </w:rPr>
        <w:footnoteReference w:id="8"/>
      </w:r>
      <w:r>
        <w:rPr>
          <w:noProof/>
        </w:rPr>
        <w:t>. Raportti perustuu korkean tason ryhmän, jossa Pascal Lamy oli puheenjohtajana, työskentelyyn;</w:t>
      </w:r>
    </w:p>
    <w:p>
      <w:pPr>
        <w:pStyle w:val="Point1"/>
        <w:rPr>
          <w:noProof/>
        </w:rPr>
      </w:pPr>
      <w:r>
        <w:rPr>
          <w:noProof/>
        </w:rPr>
        <w:t>b)</w:t>
      </w:r>
      <w:r>
        <w:rPr>
          <w:noProof/>
        </w:rPr>
        <w:tab/>
        <w:t>Lamyn raportista järjestettyyn julkiseen kuulemiseen</w:t>
      </w:r>
      <w:r>
        <w:rPr>
          <w:rStyle w:val="FootnoteReference"/>
          <w:noProof/>
        </w:rPr>
        <w:footnoteReference w:id="9"/>
      </w:r>
      <w:r>
        <w:rPr>
          <w:noProof/>
        </w:rPr>
        <w:t xml:space="preserve"> saadut vastaukset;</w:t>
      </w:r>
    </w:p>
    <w:p>
      <w:pPr>
        <w:pStyle w:val="Point1"/>
        <w:rPr>
          <w:noProof/>
          <w:lang w:val="en-GB"/>
        </w:rPr>
      </w:pPr>
      <w:r>
        <w:rPr>
          <w:noProof/>
          <w:lang w:val="en-GB"/>
        </w:rPr>
        <w:t>c)</w:t>
      </w:r>
      <w:r>
        <w:rPr>
          <w:noProof/>
          <w:lang w:val="en-GB"/>
        </w:rPr>
        <w:tab/>
        <w:t>radiotaajuuspolitiikkaa käsittelevän ryhmän raportti ”Proposed spectrum coordination approach for broadcasting in the case of a reallocation of the 700 MHz band”</w:t>
      </w:r>
      <w:r>
        <w:rPr>
          <w:rStyle w:val="FootnoteReference"/>
          <w:noProof/>
        </w:rPr>
        <w:footnoteReference w:id="10"/>
      </w:r>
      <w:r>
        <w:rPr>
          <w:noProof/>
          <w:lang w:val="en-GB"/>
        </w:rPr>
        <w:t>;</w:t>
      </w:r>
    </w:p>
    <w:p>
      <w:pPr>
        <w:pStyle w:val="Point1"/>
        <w:rPr>
          <w:noProof/>
          <w:lang w:val="en-GB"/>
        </w:rPr>
      </w:pPr>
      <w:r>
        <w:rPr>
          <w:noProof/>
          <w:lang w:val="en-GB"/>
        </w:rPr>
        <w:t>d)</w:t>
      </w:r>
      <w:r>
        <w:rPr>
          <w:noProof/>
          <w:lang w:val="en-GB"/>
        </w:rPr>
        <w:tab/>
        <w:t>radiotaajuuspolitiikkaa käsittelevän ryhmän lausunto ”Long-term strategy on the future use of UHF band (470-790 MHz) in the European Union”.</w:t>
      </w:r>
    </w:p>
    <w:p>
      <w:pPr>
        <w:pStyle w:val="ManualHeading2"/>
        <w:rPr>
          <w:rFonts w:eastAsia="Arial Unicode MS"/>
          <w:noProof/>
          <w:u w:color="000000"/>
          <w:bdr w:val="nil"/>
        </w:rPr>
      </w:pPr>
      <w:r>
        <w:rPr>
          <w:noProof/>
        </w:rPr>
        <w:t>•</w:t>
      </w:r>
      <w:r>
        <w:rPr>
          <w:noProof/>
        </w:rPr>
        <w:tab/>
        <w:t>Asiantuntijatiedon keruu ja käyttö</w:t>
      </w:r>
    </w:p>
    <w:p>
      <w:pPr>
        <w:pBdr>
          <w:top w:val="nil"/>
          <w:left w:val="nil"/>
          <w:bottom w:val="nil"/>
          <w:right w:val="nil"/>
          <w:between w:val="nil"/>
          <w:bar w:val="nil"/>
        </w:pBdr>
        <w:spacing w:before="0" w:after="240"/>
        <w:rPr>
          <w:noProof/>
        </w:rPr>
      </w:pPr>
      <w:r>
        <w:rPr>
          <w:noProof/>
        </w:rPr>
        <w:t xml:space="preserve">Komissio on teettänyt tätä ehdotusta varten kaksi riippumatonta tutkimusta. Nämä tutkimukset olivat </w:t>
      </w:r>
    </w:p>
    <w:p>
      <w:pPr>
        <w:pStyle w:val="Bullet0"/>
        <w:rPr>
          <w:rFonts w:ascii="Calibri" w:hAnsi="Calibri"/>
          <w:noProof/>
          <w:sz w:val="22"/>
          <w:lang w:val="en-GB"/>
        </w:rPr>
      </w:pPr>
      <w:r>
        <w:rPr>
          <w:noProof/>
          <w:lang w:val="en-GB"/>
        </w:rPr>
        <w:t xml:space="preserve">”Economic and Social Impact of Repurposing the 700 MHz frequency band for Wireless Broadband Services in the European Union”; </w:t>
      </w:r>
    </w:p>
    <w:p>
      <w:pPr>
        <w:pStyle w:val="Bullet0"/>
        <w:rPr>
          <w:noProof/>
          <w:lang w:val="en-GB"/>
        </w:rPr>
      </w:pPr>
      <w:r>
        <w:rPr>
          <w:noProof/>
          <w:lang w:val="en-GB"/>
        </w:rPr>
        <w:t xml:space="preserve">”Challenges and opportunities of broadcast-broadband convergence and its impact on spectrum and network use”. </w:t>
      </w:r>
    </w:p>
    <w:p>
      <w:pPr>
        <w:pBdr>
          <w:top w:val="nil"/>
          <w:left w:val="nil"/>
          <w:bottom w:val="nil"/>
          <w:right w:val="nil"/>
          <w:between w:val="nil"/>
          <w:bar w:val="nil"/>
        </w:pBdr>
        <w:spacing w:before="0" w:after="240"/>
        <w:rPr>
          <w:noProof/>
          <w:szCs w:val="24"/>
        </w:rPr>
      </w:pPr>
      <w:r>
        <w:rPr>
          <w:noProof/>
        </w:rPr>
        <w:t xml:space="preserve">Ensimmäisessä näistä kahdesta analysoidaan siirtymisestä aiheutuvia kustannuksia, 700 MHz:n taajuusaluetta käyttävän langattoman laajakaistan vaikutuksia sekä sosiokulttuurisia näkökohtia, jotka liittyvät DTT:n uudelleenkonfigurointiin käyttämään alle 700 MHz:n taajuusaluetta. </w:t>
      </w:r>
    </w:p>
    <w:p>
      <w:pPr>
        <w:pBdr>
          <w:top w:val="nil"/>
          <w:left w:val="nil"/>
          <w:bottom w:val="nil"/>
          <w:right w:val="nil"/>
          <w:between w:val="nil"/>
          <w:bar w:val="nil"/>
        </w:pBdr>
        <w:spacing w:before="0" w:after="240"/>
        <w:rPr>
          <w:rFonts w:eastAsia="Arial Unicode MS"/>
          <w:noProof/>
        </w:rPr>
      </w:pPr>
      <w:r>
        <w:rPr>
          <w:noProof/>
        </w:rPr>
        <w:t>Toisessa tutkimuksessa esitetään kattava arvio DTT:n ja langattoman laajakaistan lähentymisen mahdollisuuksista vuoden 2020 jälkeiselle ajalle.</w:t>
      </w:r>
    </w:p>
    <w:p>
      <w:pPr>
        <w:pStyle w:val="ManualHeading2"/>
        <w:rPr>
          <w:rFonts w:eastAsia="Arial Unicode MS"/>
          <w:noProof/>
          <w:u w:color="000000"/>
          <w:bdr w:val="nil"/>
        </w:rPr>
      </w:pPr>
      <w:r>
        <w:rPr>
          <w:noProof/>
        </w:rPr>
        <w:t>•</w:t>
      </w:r>
      <w:r>
        <w:rPr>
          <w:noProof/>
        </w:rPr>
        <w:tab/>
        <w:t>Vaikutustenarviointi</w:t>
      </w:r>
    </w:p>
    <w:p>
      <w:pPr>
        <w:pBdr>
          <w:top w:val="nil"/>
          <w:left w:val="nil"/>
          <w:bottom w:val="nil"/>
          <w:right w:val="nil"/>
          <w:between w:val="nil"/>
          <w:bar w:val="nil"/>
        </w:pBdr>
        <w:spacing w:before="0" w:after="240"/>
        <w:rPr>
          <w:rFonts w:eastAsia="Arial Unicode MS"/>
          <w:noProof/>
        </w:rPr>
      </w:pPr>
      <w:r>
        <w:rPr>
          <w:noProof/>
        </w:rPr>
        <w:t>Sääntelyntarkastelulautakunta antoi komission laatimasta vaikutustenarvioinnista myönteisen lausunnon</w:t>
      </w:r>
      <w:r>
        <w:rPr>
          <w:rStyle w:val="FootnoteReference"/>
          <w:noProof/>
        </w:rPr>
        <w:footnoteReference w:id="11"/>
      </w:r>
      <w:r>
        <w:rPr>
          <w:noProof/>
        </w:rPr>
        <w:t xml:space="preserve"> 27. marraskuuta 2015.</w:t>
      </w:r>
    </w:p>
    <w:p>
      <w:pPr>
        <w:pBdr>
          <w:top w:val="nil"/>
          <w:left w:val="nil"/>
          <w:bottom w:val="nil"/>
          <w:right w:val="nil"/>
          <w:between w:val="nil"/>
          <w:bar w:val="nil"/>
        </w:pBdr>
        <w:spacing w:before="0" w:after="240"/>
        <w:rPr>
          <w:noProof/>
        </w:rPr>
      </w:pPr>
      <w:r>
        <w:rPr>
          <w:noProof/>
        </w:rPr>
        <w:t>Vaikutustenarvioinnissa tarkasteltiin neljää toimintavaihtoehtoa:</w:t>
      </w:r>
    </w:p>
    <w:p>
      <w:pPr>
        <w:pStyle w:val="Point0"/>
        <w:rPr>
          <w:noProof/>
        </w:rPr>
      </w:pPr>
      <w:r>
        <w:rPr>
          <w:noProof/>
        </w:rPr>
        <w:t>1)</w:t>
      </w:r>
      <w:r>
        <w:rPr>
          <w:noProof/>
        </w:rPr>
        <w:tab/>
        <w:t>Ei toimia unionin tasolla</w:t>
      </w:r>
    </w:p>
    <w:p>
      <w:pPr>
        <w:pStyle w:val="Point0"/>
        <w:rPr>
          <w:noProof/>
        </w:rPr>
      </w:pPr>
      <w:r>
        <w:rPr>
          <w:noProof/>
        </w:rPr>
        <w:t>2)</w:t>
      </w:r>
      <w:r>
        <w:rPr>
          <w:noProof/>
        </w:rPr>
        <w:tab/>
        <w:t>700 MHz:n taajuusalueen koordinoitu osoittaminen ja valtuuttaminen langattomalle laajakaistalle vuoteen 2020 mennessä ja alle 700 MHz:n taajuusalueen varaaminen DTT:lle ja ohjelma- ja tapahtumatuotannon langattomille laitteille.</w:t>
      </w:r>
    </w:p>
    <w:p>
      <w:pPr>
        <w:pStyle w:val="Point0"/>
        <w:rPr>
          <w:noProof/>
        </w:rPr>
      </w:pPr>
      <w:r>
        <w:rPr>
          <w:noProof/>
        </w:rPr>
        <w:t>3)</w:t>
      </w:r>
      <w:r>
        <w:rPr>
          <w:noProof/>
        </w:rPr>
        <w:tab/>
        <w:t>700 MHz:n taajuusalueen koordinoitu osoittaminen ja valtuuttaminen langattomalle laajakaistalle vuoteen 2020 mennessä. Alle 700 MHz:n taajuusalueen koordinoitu osoittaminen joustavaan käyttöön kansallisen kysynnän mukaan. Se turvaisi audiovisuaalisten mediapalvelujen jatkuvan tarjoamisen suurelle yleisölle (teknologianeutraalisti), mukaan luettuna ilmaislähetykset ja taajuusalueen saatavuus ohjelma- ja tapahtumatuotannon audiolaitteiden käyttöön. Interferenssin välttämiseksi alle 700 MHz:n taajuusalue olisi rajoitettava teknisesti vain laskevan siirtotien toimintoihin</w:t>
      </w:r>
      <w:r>
        <w:rPr>
          <w:rStyle w:val="FootnoteReference"/>
          <w:noProof/>
        </w:rPr>
        <w:footnoteReference w:id="12"/>
      </w:r>
      <w:r>
        <w:rPr>
          <w:noProof/>
        </w:rPr>
        <w:t>. Tähän vaihtoehtoon sisältyisi myös sellaisen taajuusstrategian kehittäminen ohjelma- ja tapahtumatuotannon audiosovelluksille, jossa otettaisiin huomioon niiden taajuuksien menettäminen UHF-kaistalla.</w:t>
      </w:r>
    </w:p>
    <w:p>
      <w:pPr>
        <w:pStyle w:val="Point0"/>
        <w:rPr>
          <w:noProof/>
        </w:rPr>
      </w:pPr>
      <w:r>
        <w:rPr>
          <w:noProof/>
        </w:rPr>
        <w:t>4)</w:t>
      </w:r>
      <w:r>
        <w:rPr>
          <w:noProof/>
        </w:rPr>
        <w:tab/>
        <w:t>Koko UHF-kaistan koordinoitu osoittaminen ja valtuuttaminen langattomiin laajakaistapalveluihin vuoteen 2020 mennessä.</w:t>
      </w:r>
    </w:p>
    <w:p>
      <w:pPr>
        <w:pBdr>
          <w:top w:val="nil"/>
          <w:left w:val="nil"/>
          <w:bottom w:val="nil"/>
          <w:right w:val="nil"/>
          <w:between w:val="nil"/>
          <w:bar w:val="nil"/>
        </w:pBdr>
        <w:spacing w:before="0" w:after="240"/>
        <w:rPr>
          <w:noProof/>
        </w:rPr>
      </w:pPr>
      <w:r>
        <w:rPr>
          <w:noProof/>
        </w:rPr>
        <w:t xml:space="preserve">Komissio valitsi vaihtoehdon 3, jota se piti parhaana politiikan tavoitteiden saavuttamiseksi. Parhaana pidetty vaihtoehto edistää taajuuksia ja yhteyksiä koskevien unionin tason päämäärien saavuttamista. 700 MHz:n taajuusalueen käyttö langattomaan laajakaistaan yhdessä 800 MHz:n ja 900 MHz:n alueiden taajuuksien kanssa lisäisi matkaviestinverkon kapasiteettia. Tämä tarjoaisi yleisen kattavuuden nopealla tiedonsiirrolla (vähintään 30 Mb/s käyttäjää kohden) edustavilla ja kilpailuun perustuvilla 3–4 operaattorin markkinoilla. Vuoden 2020 asettaminen yhteiseksi määräajaksi 700 MHz:n taajuusalueen uudelleen osoittamiselle on tarkoituksenmukaista myös siksi, että sopii yhteen 5G:n käyttöönoton kanssa. Vaihtoehto 3 tarjoaa myös varmuuden taajuuksien saatavuudesta alle 700 MHz:n alueella yleisölle suunnattujen audiovisuaalisten lähetysten ja viestintäpalvelujen ja erityisesti maanpäällisten digitaalisten lähetysten tarjoajille. Alle 700 MHz:n taajuusalueen käytön joustavuus helpottaa interferenssin torjumista ja mahdollistaa innovatiivisen ”ekosysteemin”, joka kannustaa investointeihin ja uusiin liiketoimintamalleihin. </w:t>
      </w:r>
    </w:p>
    <w:p>
      <w:pPr>
        <w:pBdr>
          <w:top w:val="nil"/>
          <w:left w:val="nil"/>
          <w:bottom w:val="nil"/>
          <w:right w:val="nil"/>
          <w:between w:val="nil"/>
          <w:bar w:val="nil"/>
        </w:pBdr>
        <w:spacing w:before="0" w:after="240"/>
        <w:rPr>
          <w:noProof/>
        </w:rPr>
      </w:pPr>
      <w:r>
        <w:rPr>
          <w:noProof/>
        </w:rPr>
        <w:t>Vaihtoehtoa 3 tukevat edellä mainitun WRC-15:n tulokset sekä 700 MHz:n että alle 700 MHz:n taajuusalueen osalta. Alle 700 MHz:n taajuusalue säilyy yksinomaan yleisradiotoiminnan käytössä Euroopassa, Afrikassa ja isossa osassa muutakin maailmaa.</w:t>
      </w:r>
    </w:p>
    <w:p>
      <w:pPr>
        <w:pBdr>
          <w:top w:val="nil"/>
          <w:left w:val="nil"/>
          <w:bottom w:val="nil"/>
          <w:right w:val="nil"/>
          <w:between w:val="nil"/>
          <w:bar w:val="nil"/>
        </w:pBdr>
        <w:spacing w:before="0" w:after="240"/>
        <w:rPr>
          <w:noProof/>
        </w:rPr>
      </w:pPr>
      <w:r>
        <w:rPr>
          <w:noProof/>
        </w:rPr>
        <w:t>Ensimmäisessä edellä mainituista komission teettämistä tutkimuksista todettiin, että 700 MHz:n taajuusalueen vapauttaminen vuonna 2020 ja päivittäminen seuraavan sukupolven maanpäälliseen yleisradiotoimintaan maksaisi arviolta 1,2 – 4,4 miljardia euroa. Valtaosa näistä kustannuksista aiheutuisi loppukäyttäjille näiden vaihtaessa vastaanottimia uusiin ennen laitteiden normaalin käyttöiän päättymistä. Ohjelma- ja tapahtumatuotannon audiosovellusten tapauksessa siirtymäkustannukset vuonna 2020 olisivat 200 miljoonaa euroa. Tämä arvio perustuu siihen, että 30 %  ohjelma- ja tapahtumatuotannon audiolaitteiden nykyisestä käyttäjäkunnasta toimii 700 MHz:n taajuusalueella. EU-maat voivat kuitenkin rajoittaa näitä kustannuksia tarjoamalla teknologianeutraaleja tukitoimenpiteitä valtiontukisääntöjä noudattaen</w:t>
      </w:r>
      <w:r>
        <w:rPr>
          <w:rStyle w:val="FootnoteReference"/>
          <w:noProof/>
        </w:rPr>
        <w:footnoteReference w:id="13"/>
      </w:r>
      <w:r>
        <w:rPr>
          <w:noProof/>
        </w:rPr>
        <w:t>. Lisäksi on arvioitu, että DTT-verkon mukauttaminen tuottamaan sama ohjelmasisältö pienemmällä taajuuskapasiteetilla maksaisi enintään noin 890 miljoonaa euroa. Tähän voi erityisesti sisältyä sellaisille oikeudenhaltijoille aiheutuneita kustannuksia, joiden oikeuksia on tarpeen muuttaa ennen kuin päättyy kausi, jonka ajaksi ne on myönnetty. Jos jäsenvaltiot harkitsevat toimenpiteitä kustannusten vähentämiseksi, niiden on noudatettava teknologianeutraaliuden periaatetta ja komission päätöksentekokäytäntöjä valtiontukien</w:t>
      </w:r>
      <w:r>
        <w:rPr>
          <w:rStyle w:val="FootnoteReference"/>
          <w:noProof/>
        </w:rPr>
        <w:footnoteReference w:id="14"/>
      </w:r>
      <w:r>
        <w:rPr>
          <w:noProof/>
        </w:rPr>
        <w:t xml:space="preserve"> alalla sekä EU:n tuomioistuinten asiaa koskevaa oikeuskäytäntöä</w:t>
      </w:r>
      <w:r>
        <w:rPr>
          <w:rStyle w:val="FootnoteReference"/>
          <w:noProof/>
        </w:rPr>
        <w:footnoteReference w:id="15"/>
      </w:r>
      <w:r>
        <w:rPr>
          <w:noProof/>
        </w:rPr>
        <w:t xml:space="preserve">. Joissakin tapauksissa oikeuksien peruuntumisen korvaamiseksi hyväksytyt toimenpiteet voivat tietyissä olosuhteissa olla unionin lainsäädännön mukaisia, jos korvaus ei ylitä peruuntumisesta aiheutuvaa haittaa. Radiotaajuuspolitiikkaa käsittelevän ryhmän mukaan käyttöoikeuksia on myönnetty 14 jäsenvaltiossa joko määräämättömäksi ajaksi taikka vuoden 2020 yli ulottuvaksi ajanjaksoksi. </w:t>
      </w:r>
    </w:p>
    <w:p>
      <w:pPr>
        <w:rPr>
          <w:rFonts w:eastAsia="Arial Unicode MS"/>
          <w:noProof/>
        </w:rPr>
      </w:pPr>
      <w:r>
        <w:rPr>
          <w:noProof/>
        </w:rPr>
        <w:t>800 MHz:n ja 900 MHz:n viimeaikaisten taajuushuutokauppojen tulokset huomioon ottaen varovainen arvio 700 MHz:n taajuusalueen käyttöoikeuksien myöntämisestä saatavista kokonaistuloista 28 jäsenvaltion EU:ssa vuonna 2020 on noin 11 miljardia euroa, jos kaikki muut edellytykset ovat samat.</w:t>
      </w:r>
    </w:p>
    <w:p>
      <w:pPr>
        <w:pStyle w:val="ManualHeading1"/>
        <w:rPr>
          <w:noProof/>
        </w:rPr>
      </w:pPr>
      <w:r>
        <w:rPr>
          <w:noProof/>
        </w:rPr>
        <w:t>4.</w:t>
      </w:r>
      <w:r>
        <w:rPr>
          <w:noProof/>
        </w:rPr>
        <w:tab/>
        <w:t>TALOUSARVIOVAIKUTUKSET</w:t>
      </w:r>
    </w:p>
    <w:p>
      <w:pPr>
        <w:rPr>
          <w:noProof/>
        </w:rPr>
      </w:pPr>
      <w:r>
        <w:rPr>
          <w:noProof/>
        </w:rPr>
        <w:t>Unionille ei ole odotettavissa erityisiä talousarviovaikutuksia.</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Ehdotukseen sisältyvien säännösten yksityiskohtaiset selitykset</w:t>
      </w:r>
    </w:p>
    <w:p>
      <w:pPr>
        <w:pBdr>
          <w:top w:val="nil"/>
          <w:left w:val="nil"/>
          <w:bottom w:val="nil"/>
          <w:right w:val="nil"/>
          <w:between w:val="nil"/>
          <w:bar w:val="nil"/>
        </w:pBdr>
        <w:spacing w:before="0" w:after="240"/>
        <w:rPr>
          <w:noProof/>
        </w:rPr>
      </w:pPr>
      <w:r>
        <w:rPr>
          <w:noProof/>
        </w:rPr>
        <w:t xml:space="preserve">Tässä ehdotuksessa säädetään UHF-kaistan strategian mukaisesti seuraavista: </w:t>
      </w:r>
    </w:p>
    <w:p>
      <w:pPr>
        <w:pStyle w:val="Bullet0"/>
        <w:rPr>
          <w:noProof/>
        </w:rPr>
      </w:pPr>
      <w:r>
        <w:rPr>
          <w:noProof/>
        </w:rPr>
        <w:t xml:space="preserve">määräajat 700 MHz:n taajuusalueen uudelleen osoittamiselle langattomiin sähköisiin laajakaistaviestintäpalveluihin unionin tasolla yhdenmukaistetuin teknisin edellytyksin; </w:t>
      </w:r>
    </w:p>
    <w:p>
      <w:pPr>
        <w:pStyle w:val="Bullet0"/>
        <w:rPr>
          <w:noProof/>
        </w:rPr>
      </w:pPr>
      <w:r>
        <w:rPr>
          <w:noProof/>
        </w:rPr>
        <w:t xml:space="preserve">toimenpiteet, joilla helpotetaan taajuuksien käytön siirtymää UHF-kaistalla; </w:t>
      </w:r>
    </w:p>
    <w:p>
      <w:pPr>
        <w:pStyle w:val="Bullet0"/>
        <w:rPr>
          <w:noProof/>
        </w:rPr>
      </w:pPr>
      <w:r>
        <w:rPr>
          <w:noProof/>
        </w:rPr>
        <w:t>alle 700 MHz:n taajuusalueen pitkäaikaista käyttöä koskevat toimenpiteet, joita tarkastellaan kuitenkin myöhemmin uudelleen.</w:t>
      </w:r>
    </w:p>
    <w:p>
      <w:pPr>
        <w:pBdr>
          <w:top w:val="nil"/>
          <w:left w:val="nil"/>
          <w:bottom w:val="nil"/>
          <w:right w:val="nil"/>
          <w:between w:val="nil"/>
          <w:bar w:val="nil"/>
        </w:pBdr>
        <w:spacing w:before="0" w:after="240"/>
        <w:rPr>
          <w:noProof/>
        </w:rPr>
      </w:pPr>
      <w:r>
        <w:rPr>
          <w:noProof/>
        </w:rPr>
        <w:t xml:space="preserve">Ehdotetun päätöksen 1 artiklassa asetetaan jäsenvaltioille kaksi sitovaa yhteistä määräaikaa 700 MHz:n taajuusalueen uudelleen osoittamiselle langattomiin sähköisiin laajakaistaviestintäpalveluihin: </w:t>
      </w:r>
    </w:p>
    <w:p>
      <w:pPr>
        <w:pStyle w:val="Bullet0"/>
        <w:rPr>
          <w:noProof/>
        </w:rPr>
      </w:pPr>
      <w:r>
        <w:rPr>
          <w:noProof/>
        </w:rPr>
        <w:t xml:space="preserve">rajat ylittävät koordinointisopimukset on tehtävä vuoden 2017 loppuun mennessä;  </w:t>
      </w:r>
    </w:p>
    <w:p>
      <w:pPr>
        <w:pStyle w:val="Bullet0"/>
        <w:rPr>
          <w:noProof/>
        </w:rPr>
      </w:pPr>
      <w:r>
        <w:rPr>
          <w:noProof/>
        </w:rPr>
        <w:t>700 MHz:n taajuusalue on asetettava tosiasiallisesti langattomien sähköisten laajakaistaviestintäpalvelujen saataville 2020-luvun puoliväliin mennessä, taajuusalueen käytön yhdenmukaistettuja teknisiä edellytyksiä koskevan komission täytäntöönpanopäätöksen mukaisesti</w:t>
      </w:r>
      <w:r>
        <w:rPr>
          <w:rStyle w:val="FootnoteReference"/>
          <w:noProof/>
        </w:rPr>
        <w:footnoteReference w:id="16"/>
      </w:r>
      <w:r>
        <w:rPr>
          <w:noProof/>
        </w:rPr>
        <w:t xml:space="preserve">. </w:t>
      </w:r>
    </w:p>
    <w:p>
      <w:pPr>
        <w:pBdr>
          <w:top w:val="nil"/>
          <w:left w:val="nil"/>
          <w:bottom w:val="nil"/>
          <w:right w:val="nil"/>
          <w:between w:val="nil"/>
          <w:bar w:val="nil"/>
        </w:pBdr>
        <w:spacing w:before="0" w:after="240"/>
        <w:rPr>
          <w:noProof/>
        </w:rPr>
      </w:pPr>
      <w:r>
        <w:rPr>
          <w:noProof/>
        </w:rPr>
        <w:t>Lisäksi 1 artiklassa säädetään, että 700 MHz:n taajuusalueen käyttö langattomaan laajakaistaan unionin yhteisen määräajan jälkeen on suojattava raja-alueilla.</w:t>
      </w:r>
    </w:p>
    <w:p>
      <w:pPr>
        <w:pBdr>
          <w:top w:val="nil"/>
          <w:left w:val="nil"/>
          <w:bottom w:val="nil"/>
          <w:right w:val="nil"/>
          <w:between w:val="nil"/>
          <w:bar w:val="nil"/>
        </w:pBdr>
        <w:spacing w:before="0" w:after="240"/>
        <w:rPr>
          <w:noProof/>
        </w:rPr>
      </w:pPr>
      <w:r>
        <w:rPr>
          <w:noProof/>
        </w:rPr>
        <w:t>2 artiklassa velvoitetaan jäsenvaltiot mahdollistamaan kaupankäynti 700 MHz:n taajuusalueen käyttöoikeuksilla. Tämä noudattaa radiotaajuuspoliittisen ohjelman</w:t>
      </w:r>
      <w:r>
        <w:rPr>
          <w:rStyle w:val="FootnoteReference"/>
          <w:noProof/>
        </w:rPr>
        <w:footnoteReference w:id="17"/>
      </w:r>
      <w:r>
        <w:rPr>
          <w:noProof/>
        </w:rPr>
        <w:t xml:space="preserve"> ja puitedirektiivin tavoitteita ja säännöksiä.</w:t>
      </w:r>
    </w:p>
    <w:p>
      <w:pPr>
        <w:pBdr>
          <w:top w:val="nil"/>
          <w:left w:val="nil"/>
          <w:bottom w:val="nil"/>
          <w:right w:val="nil"/>
          <w:between w:val="nil"/>
          <w:bar w:val="nil"/>
        </w:pBdr>
        <w:spacing w:before="0" w:after="240"/>
        <w:rPr>
          <w:noProof/>
        </w:rPr>
      </w:pPr>
      <w:r>
        <w:rPr>
          <w:noProof/>
        </w:rPr>
        <w:t xml:space="preserve">3 artiklan mukaan jäsenvaltioiden on toteutettava kansallisen tason kuulemisia ja harkittava toimenpiteitä väestönsä ja alueensa korkeatasoisen kattavuuden turvaamiseksi myöntäessään 700 MHz:n taajuusalueen käyttöoikeuksia langattomille sähköisille laajakaistaviestintäpalveluille. Tavoitteena on hyödyntää UHF-kaistan yhteiskunnallisia ja taloudellisia etuja edistämällä digitaalisen kahtiajaon kaventamista ja mahdollistamalla laaja esineiden internet.  </w:t>
      </w:r>
    </w:p>
    <w:p>
      <w:pPr>
        <w:pBdr>
          <w:top w:val="nil"/>
          <w:left w:val="nil"/>
          <w:bottom w:val="nil"/>
          <w:right w:val="nil"/>
          <w:between w:val="nil"/>
          <w:bar w:val="nil"/>
        </w:pBdr>
        <w:spacing w:before="0" w:after="240"/>
        <w:rPr>
          <w:noProof/>
          <w:sz w:val="23"/>
          <w:szCs w:val="23"/>
        </w:rPr>
      </w:pPr>
      <w:r>
        <w:rPr>
          <w:noProof/>
          <w:sz w:val="23"/>
        </w:rPr>
        <w:t xml:space="preserve">4 artiklassa käsitellään alle 700 MHz:n taajuusalueen pitkäaikaista käyttöä. Siinä velvoitetaan jäsenvaltiot turvaamaan pitkällä aikavälillä tämän taajuusalueen käyttö audiovisuaalisten mediapalvelujen jakeluun suurelle yleisölle. </w:t>
      </w:r>
      <w:r>
        <w:rPr>
          <w:noProof/>
        </w:rPr>
        <w:t>Tähän olisi sisällyttävä ohjelma- ja tapahtumatuotannon langattomien audiolaitteiden jatkuva käyttö kansallisten tärkeysjärjestysten mukaisesti.</w:t>
      </w:r>
      <w:r>
        <w:rPr>
          <w:noProof/>
          <w:sz w:val="23"/>
        </w:rPr>
        <w:t xml:space="preserve"> </w:t>
      </w:r>
    </w:p>
    <w:p>
      <w:pPr>
        <w:pBdr>
          <w:top w:val="nil"/>
          <w:left w:val="nil"/>
          <w:bottom w:val="nil"/>
          <w:right w:val="nil"/>
          <w:between w:val="nil"/>
          <w:bar w:val="nil"/>
        </w:pBdr>
        <w:spacing w:before="0" w:after="240"/>
        <w:rPr>
          <w:noProof/>
          <w:sz w:val="23"/>
          <w:szCs w:val="23"/>
        </w:rPr>
      </w:pPr>
      <w:r>
        <w:rPr>
          <w:noProof/>
          <w:sz w:val="23"/>
        </w:rPr>
        <w:t>Jotta voidaan varmistaa jäsenvaltioiden velvollisuuksien yhdenmukaisuus puitedirektiivin 9 ja 9 a artiklan kanssa, velvoitetta turvata alle 700 MHz:n taajuusalueen käyttö sovelletaan audiovisuaalisten mediapalvelujen tarjoamiseen suurelle yleisölle eikä langattoman teknologian tai sähköisen viestintäpalvelun tyyppiin. Sen vuoksi 4 artiklassa on säännöksiä, joilla turvataan taajuuksien saatavuuden varmuus ja mahdollistetaan DTT:n jatkokehittäminen tärkeimpänä alustana maanpäällisten audiovisuaalisten mediapalvelujen tarjoamiselle suurelle yleisölle. Lisäksi kyseisellä artiklalla mahdollistetaan alle 700 MHz:n taajuusalueen käyttö muuhunkin yksinomaan laskevan siirtotien teknologiaan tai sähköisen viestinnän palveluihin (siirto verkosta vastaanottimiin kuten televisioihin tai tabletteihin).</w:t>
      </w:r>
    </w:p>
    <w:p>
      <w:pPr>
        <w:pBdr>
          <w:top w:val="nil"/>
          <w:left w:val="nil"/>
          <w:bottom w:val="nil"/>
          <w:right w:val="nil"/>
          <w:between w:val="nil"/>
          <w:bar w:val="nil"/>
        </w:pBdr>
        <w:spacing w:before="0" w:after="240"/>
        <w:rPr>
          <w:noProof/>
          <w:sz w:val="23"/>
          <w:szCs w:val="23"/>
        </w:rPr>
      </w:pPr>
      <w:r>
        <w:rPr>
          <w:noProof/>
        </w:rPr>
        <w:t>5 artiklassa velvoitetaan jäsenvaltiot hyväksymään kansalliset etenemissuunnitelmat, jotka koskevat 700 MHz:n taajuusalueen osoittamista langattomaan laajakaistaan ja tähän liittyvää siirtymäprosessia koko UHF-kaistan tapauksessa, sekä tiedottamaan näistä suunnitelmista koko unionin laajuisesti. Tämän säännöksen taustalla on sidosryhmien kesken hyväksytty siirtymävaiheen etenemissuunnitelma (Lamyn raportin liite 2). Etenemissuunnitelmassa esitetään niiden toimenpiteiden soveltamisala, joita suunnitellaan siirtymiseksi uuteen DTT-teknologiaan 700 MHz:n taajuusalueen uudelleenosoittamisen yhteydessä.</w:t>
      </w:r>
      <w:r>
        <w:rPr>
          <w:noProof/>
          <w:sz w:val="23"/>
        </w:rPr>
        <w:t xml:space="preserve"> Tarkoituksena on varmistaa, että vaikutuksia kansalaisiin ja yrityksiin voidaan rajoittaa läpinäkyvällä menettelyllä.</w:t>
      </w:r>
    </w:p>
    <w:p>
      <w:pPr>
        <w:pBdr>
          <w:top w:val="nil"/>
          <w:left w:val="nil"/>
          <w:bottom w:val="nil"/>
          <w:right w:val="nil"/>
          <w:between w:val="nil"/>
          <w:bar w:val="nil"/>
        </w:pBdr>
        <w:spacing w:before="0" w:after="240"/>
        <w:rPr>
          <w:noProof/>
          <w:sz w:val="23"/>
          <w:szCs w:val="23"/>
        </w:rPr>
      </w:pPr>
      <w:r>
        <w:rPr>
          <w:noProof/>
        </w:rPr>
        <w:t>6 artiklan mukaan komissio tarkastelee vuoteen 2025 mennessä yhteistyössä jäsenvaltioiden kanssa taajuuksien käyttöä alle 700 MHz:n taajuusalueella. Tarkastelun tehtyään komissio tiedottaa Euroopan parlamentille ja neuvostolle tarkastelun päätelmistä sekä esittää mahdollisesti sääntelyn muuttamista koskevan ehdotuksen, jossa voidaan esimerkiksi muuttaa taajuuksien käyttöä koskevien turvaamissäännösten sisältöä, muotoa tai kestoa.</w:t>
      </w:r>
      <w:r>
        <w:rPr>
          <w:noProof/>
          <w:sz w:val="23"/>
        </w:rPr>
        <w:t xml:space="preserve"> Tämä säännös noudattaa Lamyn raportin suositusta. Taajuuksien käyttöä alle 700 MHz:n taajuusalueella koskevassa komission tarkastelussa olisi otettava huomioon tämän taajuusalueen suunniteltu uudelleentarkastelu ITU:n  maailman radioviestintäkonferenssissa vuonna 2023.</w:t>
      </w:r>
    </w:p>
    <w:p>
      <w:pPr>
        <w:pBdr>
          <w:top w:val="nil"/>
          <w:left w:val="nil"/>
          <w:bottom w:val="nil"/>
          <w:right w:val="nil"/>
          <w:between w:val="nil"/>
          <w:bar w:val="nil"/>
        </w:pBdr>
        <w:spacing w:before="0" w:after="240"/>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2016/0027 (COD)</w:t>
      </w:r>
    </w:p>
    <w:p>
      <w:pPr>
        <w:pStyle w:val="Statut"/>
        <w:rPr>
          <w:noProof/>
        </w:rPr>
      </w:pPr>
      <w:r>
        <w:rPr>
          <w:noProof/>
        </w:rPr>
        <w:t>Ehdotus</w:t>
      </w:r>
    </w:p>
    <w:p>
      <w:pPr>
        <w:pStyle w:val="Typedudocument"/>
        <w:rPr>
          <w:noProof/>
        </w:rPr>
      </w:pPr>
      <w:r>
        <w:rPr>
          <w:noProof/>
        </w:rPr>
        <w:t>EUROOPAN PARLAMENTIN JA NEUVOSTON PÄÄTÖS</w:t>
      </w:r>
    </w:p>
    <w:p>
      <w:pPr>
        <w:pStyle w:val="Titreobjet"/>
        <w:rPr>
          <w:noProof/>
        </w:rPr>
      </w:pPr>
      <w:r>
        <w:rPr>
          <w:noProof/>
        </w:rPr>
        <w:t>470–790 MHz:n taajuusalueen käytöstä unionissa</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114 artiklan,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18"/>
      </w:r>
      <w:r>
        <w:rPr>
          <w:noProof/>
        </w:rPr>
        <w:t>,</w:t>
      </w:r>
    </w:p>
    <w:p>
      <w:pPr>
        <w:rPr>
          <w:noProof/>
        </w:rPr>
      </w:pPr>
      <w:r>
        <w:rPr>
          <w:noProof/>
        </w:rPr>
        <w:t>ottavat huomioon alueiden komitean lausunnon</w:t>
      </w:r>
      <w:r>
        <w:rPr>
          <w:rStyle w:val="FootnoteReference"/>
          <w:noProof/>
        </w:rPr>
        <w:footnoteReference w:id="19"/>
      </w:r>
      <w:r>
        <w:rPr>
          <w:noProof/>
        </w:rPr>
        <w:t>,</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Euroopan parlamentti ja neuvosto asettivat päätöksellä N:o 243/2012/EU</w:t>
      </w:r>
      <w:r>
        <w:rPr>
          <w:rStyle w:val="FootnoteReference"/>
          <w:noProof/>
        </w:rPr>
        <w:footnoteReference w:id="20"/>
      </w:r>
      <w:r>
        <w:rPr>
          <w:noProof/>
        </w:rPr>
        <w:t xml:space="preserve"> perustetussa monivuotisessa radiotaajuuspoliittisessa ohjelmassa tavoitteeksi, että unionissa olisi vuoteen 2015 mennessä eriteltävä vähintään 1 200 MHz:n laajuinen langattomiin sähköisiin laajakaistaviestintäpalveluihin soveltuva taajuusalue sekä tuettava innovatiivisten audiovisuaalisten välineiden ja muiden palveluiden jatkokehittämistä varmistamalla, että saatavilla on riittävästi taajuuksia kyseisten palveluiden satelliittivälitteistä ja maanpäällisiä verkkoja käyttävää tarjontaa varten, jos tämä tarve on selvästi perusteltu, sekä varmistamalla tarvittavat taajuusalueet ohjelma- ja tapahtumatuotannolle.</w:t>
      </w:r>
    </w:p>
    <w:p>
      <w:pPr>
        <w:pStyle w:val="ManualConsidrant"/>
        <w:rPr>
          <w:noProof/>
        </w:rPr>
      </w:pPr>
      <w:r>
        <w:t>(2)</w:t>
      </w:r>
      <w:r>
        <w:tab/>
      </w:r>
      <w:r>
        <w:rPr>
          <w:noProof/>
        </w:rPr>
        <w:t>Komissio korostaa digitaalisten sisämarkkinoiden strategiassaan</w:t>
      </w:r>
      <w:r>
        <w:rPr>
          <w:rStyle w:val="FootnoteReference"/>
          <w:noProof/>
        </w:rPr>
        <w:footnoteReference w:id="21"/>
      </w:r>
      <w:r>
        <w:rPr>
          <w:noProof/>
        </w:rPr>
        <w:t xml:space="preserve"> 694–790 MHz:n, jäljempänä ’700 MHz’, taajuusalueen merkitystä pyrittäessä turvaamaan laajakaistapalvelut maaseutualueilla sekä sitä, että on tarpeen vapauttaa kyseinen taajuusalue koordinoidusti ja ottaen huomioon audiovisuaalisten mediapalvelujen jakelun erityistarpeet.</w:t>
      </w:r>
    </w:p>
    <w:p>
      <w:pPr>
        <w:pStyle w:val="ManualConsidrant"/>
        <w:rPr>
          <w:noProof/>
        </w:rPr>
      </w:pPr>
      <w:r>
        <w:t>(3)</w:t>
      </w:r>
      <w:r>
        <w:tab/>
      </w:r>
      <w:r>
        <w:rPr>
          <w:noProof/>
        </w:rPr>
        <w:t>Taajuusalue 470–790 MHz on arvokas voimavara, kun otetaan käyttöön langattomia verkkoja, joiden kattavuus on saumaton sisä- ja ulkotiloissa. Tätä taajuusaluetta käyttävät nykyisin digitaaliset maanpäälliset televisiolähetykset (DTT) sekä ohjelma- ja tapahtumatuotannon langattomat audiolaitteet kaikkialla unionissa. Se tukee viestinnän, luovan toiminnan ja kulttuurin alojen kehittämistä. Nämä ovat aloja, jotka hyödyntävät hyvin laajasti juuri kyseistä taajuusaluetta langattomaan sisällön tarjontaan suurelle yleisölle.</w:t>
      </w:r>
    </w:p>
    <w:p>
      <w:pPr>
        <w:pStyle w:val="ManualConsidrant"/>
        <w:rPr>
          <w:noProof/>
        </w:rPr>
      </w:pPr>
      <w:r>
        <w:t>(4)</w:t>
      </w:r>
      <w:r>
        <w:tab/>
      </w:r>
      <w:r>
        <w:rPr>
          <w:noProof/>
        </w:rPr>
        <w:t>Kansainvälisen televiestintäliiton maailman radioviestintäkonferenssin hyväksymässä radio-ohjesäännössä osoitetaan alueella 1, johon unioni kuuluu, 700 MHz:n taajuusalue yleisradioverkolle ja matkaviestintäverkolle (ilmailuradioliikennettä lukuun ottamatta) jaetuin ensisijaisin oikeuksin sekä 470–694 MHz:n, jäljempänä ’alle 700 MHz’, taajuusalue ensisijaisin oikeuksin yksinomaan yleisradioverkolle ja toissijaisin oikeuksin ohjelma- ja tapahtumatuotannon langattomien laitteiden käyttöön.</w:t>
      </w:r>
    </w:p>
    <w:p>
      <w:pPr>
        <w:pStyle w:val="ManualConsidrant"/>
        <w:rPr>
          <w:noProof/>
        </w:rPr>
      </w:pPr>
      <w:r>
        <w:t>(5)</w:t>
      </w:r>
      <w:r>
        <w:tab/>
      </w:r>
      <w:r>
        <w:rPr>
          <w:noProof/>
        </w:rPr>
        <w:t>Langattoman laajakaistaliikenteen nopea kasvu edellyttää langattoman verkon kapasiteetin tehostamista. Taajuusalue 700 MHz tarjoaa sekä lisäkapasiteettia että yleistä kattavuutta, erityisesti taloudellisesti haastavilla maaseutualueilla ja syrjäseuduilla sisätiloissa tapahtuvaan käyttöön ja monenlaiseen koneiden väliseen viestintään. Tässä yhteydessä olisi koko unionin korkealaatuisesti kattaviin maanpäällisiin langattomiin järjestelmiin tähtäävillä johdonmukaisilla toimenpiteillä, jotka perustuvat operaattorien toimilupiin liittyviä velvollisuuksia koskeviin parhaisiin kansallisiin toimintatapoihin, pyrittävä saavuttamaan radiotaajuuspoliittisen ohjelman tavoite, jonka mukaan vuoteen 2020 mennessä kaikilla kansalaisilla olisi oltava saatavilla laajakaista, jonka nopeus on vähintään 30 Mb/s. Tällä tavoin toimenpiteet auttavat edistämään innovatiivisia digitaalisia palveluja ja varmistamaan pitkän aikavälin yhteiskunnalliset ja taloudelliset hyödyt.</w:t>
      </w:r>
    </w:p>
    <w:p>
      <w:pPr>
        <w:pStyle w:val="ManualConsidrant"/>
        <w:rPr>
          <w:noProof/>
        </w:rPr>
      </w:pPr>
      <w:r>
        <w:t>(6)</w:t>
      </w:r>
      <w:r>
        <w:tab/>
      </w:r>
      <w:r>
        <w:rPr>
          <w:noProof/>
        </w:rPr>
        <w:t>Taajuuksien jakaminen on teknisesti vaikeaa yhteisellä taajuusalueella toisaalta kaksisuuntaisen langattoman laajakaistan käytön (nouseva ja laskeva siirtotie) ja toisaalta yksisuuntaisten televisiolähetysten tai ohjelma- ja tapahtumatuotannon langattomien laitteiden käytön välillä. Tämä tarkoittaa sitä, että 700 MHz:n taajuusalueen osoittaminen kaksisuuntaisiin maanpäällisiin langattomiin sähköisiin laajakaistaviestintäpalveluihin veisi DTT:n ja ohjelma- ja tapahtumatuotannon langattomien laitteiden käyttäjiltä osan taajuuksista. Sen vuoksi DTT:n ja ohjelma- ja tapahtumatuotannon alat tarvitsevat sääntelyn pitkän aikavälin ennustettavuutta riittävien taajuuksien saatavuuden suhteen, jotta ne voivat turvata palvelujensa kestävän tarjonnan ja kehittämisen ja erityisesti maksuttomat televisiolähetykset. Kansallisella ja unionin tasolla voi olla tarpeen toteuttaa toimenpiteitä, jotta voidaan turvata lisätaajuuksien saatavuus ohjelma- ja tapahtumatuotannon langattomien laitteiden käyttöön 470–790 MHz:n taajuusalueen ulkopuolella.</w:t>
      </w:r>
    </w:p>
    <w:p>
      <w:pPr>
        <w:pStyle w:val="ManualConsidrant"/>
        <w:rPr>
          <w:noProof/>
        </w:rPr>
      </w:pPr>
      <w:r>
        <w:t>(7)</w:t>
      </w:r>
      <w:r>
        <w:tab/>
      </w:r>
      <w:r>
        <w:rPr>
          <w:noProof/>
        </w:rPr>
        <w:t>Taajuusalueen 470–790 MHz tulevaa käyttöä käsittelevän korkean tason työryhmän puheenjohtaja Pascal Lamy suositteli komissiolle antamassaan raportissa, jäljempänä ’Lamyn raportti’</w:t>
      </w:r>
      <w:r>
        <w:rPr>
          <w:rStyle w:val="FootnoteReference"/>
          <w:noProof/>
        </w:rPr>
        <w:footnoteReference w:id="22"/>
      </w:r>
      <w:r>
        <w:rPr>
          <w:noProof/>
        </w:rPr>
        <w:t>, että 700 MHz:n taajuusalue annettaisiin langattoman laajakaistan käyttöön vuoteen 2020 mennessä (+/- kaksi vuotta). Tämä auttaisi saavuttamaan sääntelyn pitkän aikavälin ennustettavuuden, jotta DTT voisi käyttää alle 700 MHz:n taajuusaluetta vuoteen 2030 asti, mutta sitä olisi kuitenkin tarkasteltava uudelleen vuoteen 2025 mennessä. Lisäksi Lamyn raportissa suositeltiin kansallista joustavuutta alle 700 MHz:n taajuusalueen käytössä, mikä koskee ainoastaan laskevaa siirtotietä. Ainoastaan laskevan siirtotien käyttö tarkoittaa kaiken tiedonsiirron rajoittamista langattomassa järjestelmässä, käytettävästä teknologiasta riippumatta, ainoastaan yksisuuntaiseen siirtoon keskusinfrastruktuurista, kuten linkkitornista tai tukiasemasta, kannettaviin tai liikuteltaviin laitteisiin kuten televisiovastaanottimiin tai matkapuhelimiin.</w:t>
      </w:r>
    </w:p>
    <w:p>
      <w:pPr>
        <w:pStyle w:val="ManualConsidrant"/>
        <w:rPr>
          <w:noProof/>
        </w:rPr>
      </w:pPr>
      <w:r>
        <w:t>(8)</w:t>
      </w:r>
      <w:r>
        <w:tab/>
      </w:r>
      <w:r>
        <w:rPr>
          <w:noProof/>
        </w:rPr>
        <w:t>Radiotaajuuspolitiikkaa käsittelevä ryhmä suosittelee 470–790 MHz:n taajuusalueen tulevaa käyttöä unionissa koskevasta pitkän aikavälin strategiasta antamassaan lausunnossa, jäljempänä ’radiotaajuuspolitiikkaa käsittelevän ryhmän lausunto’, koko unionin kattavaa koordinoitua lähestymistapaa 700 MHz:n taajuusalueen saattamiseen maanpäällisten langattomien sähköisten laajakaistaviestintäpalvelujen tosiasialliseen käyttöön vuoden 2020 loppuun mennessä. Tähän liittyisi alle 700 MHz:n taajuusalueen pitkän aikavälin saatavuuden varmistaminen vuoteen 2030 asti ainoastaan laskevaa siirtotietä käyttävien audiovisuaalisten mediapalvelujen tarjoamiseen. Radiotaajuuspolitiikkaa käsittelevä ryhmä suosittelee erityisesti joustavuutta, joka mahdollistaisi alle 700 MHz:n taajuusalueen käyttämisen myös ainoastaan laskevan siirtotien langattomiin sähköisiin laajakaistaviestintäpalveluihin.</w:t>
      </w:r>
    </w:p>
    <w:p>
      <w:pPr>
        <w:pStyle w:val="ManualConsidrant"/>
        <w:rPr>
          <w:noProof/>
        </w:rPr>
      </w:pPr>
      <w:r>
        <w:t>(9)</w:t>
      </w:r>
      <w:r>
        <w:tab/>
      </w:r>
      <w:r>
        <w:rPr>
          <w:noProof/>
        </w:rPr>
        <w:t>Koska jotkin jäsenvaltiot ovat jo aloittaneet tai toteuttaneet kansallisia menettelyjä salliakseen 700 MHz:n taajuusalueen käytön kaksisuuntaisiin maanpäällisiin langattomiin sähköisiin laajakaistaviestintäpalveluihin, unionin olisi toteutettava viipymättä toimia sisämarkkinoiden hajautumisen ehkäisemiseksi. Nyt tarvitaan 470–790 MHz:n taajuusalueen tulevaan käyttöön  koordinoitua lähestymistapaa, jossa olisi otettava huomioon myös sääntelyn ennustettavuus ja tasoitettava jäsenvaltioiden eroja suhteessa sisämarkkinoiden tavoitteisiin sekä edistettävä unionin yhdenmukaista esiintymistä kansainvälisissä yhteyksissä. Tähän liittyen jäsenvaltiot olisi velvoitettava toteuttamaan 700 MHz:n taajuusalueen uudelleen osoittaminen hyvissä ajoin unionin ja kansallisen lainsäädännön mukaisesti.</w:t>
      </w:r>
    </w:p>
    <w:p>
      <w:pPr>
        <w:pStyle w:val="ManualConsidrant"/>
        <w:rPr>
          <w:noProof/>
        </w:rPr>
      </w:pPr>
      <w:r>
        <w:t>(10)</w:t>
      </w:r>
      <w:r>
        <w:tab/>
      </w:r>
      <w:r>
        <w:rPr>
          <w:noProof/>
        </w:rPr>
        <w:t>Jos 700 MHz:n taajuusaluetta käyttävät muut sovellukset unioniin kuulumattomissa maissa kansainvälisten sopimusten mukaisesti taikka kansallisen alueen osissa, jotka ovat jäsenvaltion viranomaisvalvonnan ulottumattomissa, tällainen käyttö voi rajoittaa kyseisen taajuusalueen käyttöä  maanpäällisiin langattomiin sähköisiin laajakaistaviestintäpalveluihin joissakin jäsenvaltioissa. Tämä estäisi näitä jäsenvaltioita noudattamasta koko unionille asetettua yhteistä aikataulua. Jäsenvaltioiden, joita asia koskee, olisi toteutettava kaikki tarvittavat toimet minimoidakseen tällaisten rajoitusten keston ja maantieteellisen ulottuvuuden sekä pyydettävä tarvittaessa unionin apua, josta säädetään radiotaajuuspoliittisesta ohjelmasta annetun päätöksen 10 artiklan 2 kohdassa. Niiden olisi lisäksi ilmoitettava komissiolle tällaisista rajoituksista päätöksen N:o 676/2002/EY</w:t>
      </w:r>
      <w:r>
        <w:rPr>
          <w:rStyle w:val="FootnoteReference"/>
          <w:noProof/>
        </w:rPr>
        <w:footnoteReference w:id="23"/>
      </w:r>
      <w:r>
        <w:rPr>
          <w:noProof/>
        </w:rPr>
        <w:t xml:space="preserve"> 6 artiklan 2 kohdan ja 7 artiklan mukaisesti, ja tiedot olisi julkaistava kyseisen päätöksen 5 artiklan mukaisesti.</w:t>
      </w:r>
    </w:p>
    <w:p>
      <w:pPr>
        <w:pStyle w:val="ManualConsidrant"/>
        <w:rPr>
          <w:noProof/>
        </w:rPr>
      </w:pPr>
      <w:r>
        <w:t>(11)</w:t>
      </w:r>
      <w:r>
        <w:tab/>
      </w:r>
      <w:r>
        <w:rPr>
          <w:noProof/>
        </w:rPr>
        <w:t>700 MHz:n taajuusalueen käyttöön  maanpäällisiin langattomiin sähköisiin laajakaistaviestintäpalveluihin olisi sovellettava joustavaa valtuutusta niin pian kuin mahdollista. Tähän olisi sisällyttävä taajuusalueen käyttöoikeuksien haltijoille mahdollisuus myydä ja vuokrata olemassa olevia oikeuksiaan direktiivin 2002/21/EY</w:t>
      </w:r>
      <w:r>
        <w:rPr>
          <w:rStyle w:val="FootnoteReference"/>
          <w:noProof/>
        </w:rPr>
        <w:footnoteReference w:id="24"/>
      </w:r>
      <w:r>
        <w:rPr>
          <w:noProof/>
        </w:rPr>
        <w:t xml:space="preserve"> 9, 9 a ja 9 b artiklaa sovellettaessa.</w:t>
      </w:r>
    </w:p>
    <w:p>
      <w:pPr>
        <w:pStyle w:val="ManualConsidrant"/>
        <w:rPr>
          <w:noProof/>
        </w:rPr>
      </w:pPr>
      <w:r>
        <w:t>(12)</w:t>
      </w:r>
      <w:r>
        <w:tab/>
      </w:r>
      <w:r>
        <w:rPr>
          <w:noProof/>
        </w:rPr>
        <w:t>Direktiivin 2002/21/EY 9 ja 9 a artiklan mukaisesti jäsenvaltioiden olisi sovellettava mahdollisuuksien mukaan joustavaa lähestymistapaa, ja ne voivat sallia muita ainoastaan laskevan siirtotien käyttötapoja, kuten maanpäällisiä langattomia sähköisiä laajakaistaviestintäpalveluja, alle 700 MHz:n taajuusalueella niiden kansallisten tarpeiden mukaisesti, jotka liittyvät  audiovisuaalisten mediapalvelujen jakeluun suurelle yleisölle. Salliessaan alle 700 MHz:n taajuusalueen käytön ainoastaan laskevan siirtotien maanpäällisiin langattomiin sähköisiin laajakaistaviestintäpalveluihin jäsenvaltioiden olisi varmistettava, että tällainen käyttö ei vaikuta alle 700 MHz:n taajuusalueen käyttöön maanpäällisiin digitaalisiin lähetyksiin naapurijäsenvaltioissa, siten kuin asiasta sovittiin alueellisessa radioviestintäkonferenssissa vuonna 2006</w:t>
      </w:r>
      <w:r>
        <w:rPr>
          <w:rStyle w:val="FootnoteReference"/>
          <w:noProof/>
        </w:rPr>
        <w:footnoteReference w:id="25"/>
      </w:r>
      <w:r>
        <w:rPr>
          <w:noProof/>
        </w:rPr>
        <w:t>.</w:t>
      </w:r>
    </w:p>
    <w:p>
      <w:pPr>
        <w:pStyle w:val="ManualConsidrant"/>
        <w:rPr>
          <w:noProof/>
        </w:rPr>
      </w:pPr>
      <w:r>
        <w:t>(13)</w:t>
      </w:r>
      <w:r>
        <w:tab/>
      </w:r>
      <w:r>
        <w:rPr>
          <w:noProof/>
        </w:rPr>
        <w:t>Taajuuksien käyttö 470–694 MHz:n taajuusalueella olisi joka tapauksessa arvioitava uudelleen unionin tasolla viimeistään vuonna 2025. Arviossa olisi otettava huomioon myös kyseisen taajuusalueen suunniteltu uudelleentarkastelu maailman radioviestintäkonferenssissa vuonna 2023. Alle 700 MHz:n taajuusalueen käyttöä muutettaessa olisi otettava huomioon teknologian kehitys, kuluttajien käyttäytyminen, maksuttomien televisiolähetysten</w:t>
      </w:r>
      <w:r>
        <w:rPr>
          <w:rStyle w:val="FootnoteReference"/>
          <w:noProof/>
        </w:rPr>
        <w:footnoteReference w:id="26"/>
      </w:r>
      <w:r>
        <w:rPr>
          <w:noProof/>
        </w:rPr>
        <w:t xml:space="preserve"> jatkumisen tärkeys sekä yhteiskunnalliset, taloudelliset ja kulttuuriin liittyvät yleistä etua koskevat tavoitteet. Tässä yhteydessä tarvitaan tutkimuksia alle 700 MHz:n taajuusalueen vakiintuneen ja uuden käytön rinnakkaisuuden teknisistä ja sääntelyllisistä edellytyksistä. Niiden avulla voitaisiin varmistaa yhdenmukaisuus eri jäsenvaltioiden suhtautumisessa taajuuksien joustavaan ja tehokkaaseen käyttöön sekä mahdollistaa teknisiä yhdenmukaistamistoimia käyttöä ja rinnakkaisuutta varten kyseisellä taajuusalueella. Tällaisia tutkimuksia ja toimenpiteitä voidaan toteuttaa päätöksen N:o 676/2002/EY mukaisesti.</w:t>
      </w:r>
    </w:p>
    <w:p>
      <w:pPr>
        <w:pStyle w:val="ManualConsidrant"/>
        <w:rPr>
          <w:noProof/>
        </w:rPr>
      </w:pPr>
      <w:r>
        <w:t>(14)</w:t>
      </w:r>
      <w:r>
        <w:tab/>
      </w:r>
      <w:r>
        <w:rPr>
          <w:noProof/>
        </w:rPr>
        <w:t>Jäsenvaltioiden olisi hyväksyttävä johdonmukaisia kansallisia etenemissuunnitelmia, joiden avulla voidaan helpottaa 700 MHz:n taajuusalueen käyttöä maanpäällisin langattomiin sähköisiin laajakaistaviestintäpalveluihin siten, että voidaan samalla turvata taajuusalueen vapaaksi jättävien televisiolähetyspalvelujen jatkuvuus. Kun etenemissuunnitelmat on hyväksytty, jäsenvaltioiden olisi tiedotettava niistä avoimesti kaikkialla unionissa. Etenemissuunnitelmissa olisi käsiteltävä taajuuksien uudelleen suunnittelun toimintoja ja aikatauluja, verkon ja loppukäyttäjien laitteiden teknistä kehitystä, radio- ja muiden laitteiden rinnakkaisuutta, olemassa olevia ja uusia valtuutusjärjestelyjä, ja niissä olisi oltava tietoja mahdollisuudesta korvata mahdollisia siirtymäkustannuksia, jotta voidaan välttää muun muassa kustannuksia loppukäyttäjille. Jos jäsenvaltiot aikovat säilyttää DTT:n, etenemissuunnitelmissa olisi kiinnitettävä erityistä huomiota lähetyslaitteiden päivittämiseen taajuustehokkaampaan teknologiaan, kuten edistyneet videoformaatit (esim. HEVC) tai signaalinsiirtoteknologiat (esim. DVB-T2).</w:t>
      </w:r>
    </w:p>
    <w:p>
      <w:pPr>
        <w:pStyle w:val="ManualConsidrant"/>
        <w:rPr>
          <w:noProof/>
        </w:rPr>
      </w:pPr>
      <w:r>
        <w:t>(15)</w:t>
      </w:r>
      <w:r>
        <w:tab/>
      </w:r>
      <w:r>
        <w:rPr>
          <w:noProof/>
        </w:rPr>
        <w:t>Taajuusalueen käytön siirtymän loppuun saattamisesta 470–790 MHz:n taajuusalueella mahdollisesti suoritettavien korvausten laajuutta ja menettelyjä olisi tarkasteltava asiaa koskevien kansallisten säännösten mukaisesti, siten kuin säädetään direktiivin 2002/20/EU</w:t>
      </w:r>
      <w:r>
        <w:rPr>
          <w:rStyle w:val="FootnoteReference"/>
          <w:noProof/>
        </w:rPr>
        <w:footnoteReference w:id="27"/>
      </w:r>
      <w:r>
        <w:rPr>
          <w:noProof/>
        </w:rPr>
        <w:t xml:space="preserve"> 14 artiklassa, ja korvausten on oltava SEUT-sopimuksen 107 ja 108 artiklan mukaisia.</w:t>
      </w:r>
    </w:p>
    <w:p>
      <w:pPr>
        <w:pStyle w:val="ManualConsidrant"/>
        <w:rPr>
          <w:noProof/>
        </w:rPr>
      </w:pPr>
      <w:r>
        <w:t>(16)</w:t>
      </w:r>
      <w:r>
        <w:tab/>
      </w:r>
      <w:r>
        <w:rPr>
          <w:noProof/>
        </w:rPr>
        <w:t>Jäsenvaltiot eivät voi riittävällä tavalla saavuttaa tämän päätöksen tavoitetta eli 470–790 MHz:n taajuusalueen käytön koordinoidun siirtymän varmistamista unionissa yhteisten tavoitteiden mukaisesti, vaan se voidaan toiminnan laajuuden ja vaikutusten vuoksi saavuttaa paremmin unionin tasolla, joten unioni voi toteuttaa toimenpiteitä Euroopan unionista tehdyn sopimuksen 5 artiklassa vahvistetun toissijaisuusperiaatteen mukaisesti. Mainitussa artiklassa vahvistetun suhteellisuusperiaatteen mukaisesti tässä päätöksessä ei ylitetä sitä, mikä on tarpeen kyseisen tavoitteen saavuttamiseksi,</w:t>
      </w:r>
    </w:p>
    <w:p>
      <w:pPr>
        <w:pStyle w:val="Formuledadoption"/>
        <w:rPr>
          <w:noProof/>
        </w:rPr>
      </w:pPr>
      <w:r>
        <w:rPr>
          <w:noProof/>
        </w:rPr>
        <w:t xml:space="preserve">OVAT HYVÄKSYNEET TÄMÄN PÄÄTÖKSEN: </w:t>
      </w:r>
    </w:p>
    <w:p>
      <w:pPr>
        <w:pStyle w:val="Titrearticle"/>
        <w:rPr>
          <w:noProof/>
        </w:rPr>
      </w:pPr>
      <w:r>
        <w:rPr>
          <w:noProof/>
        </w:rPr>
        <w:t>1 artikla</w:t>
      </w:r>
    </w:p>
    <w:p>
      <w:pPr>
        <w:pStyle w:val="Point0"/>
        <w:rPr>
          <w:noProof/>
        </w:rPr>
      </w:pPr>
      <w:r>
        <w:rPr>
          <w:noProof/>
        </w:rPr>
        <w:t>1)</w:t>
      </w:r>
      <w:r>
        <w:rPr>
          <w:noProof/>
        </w:rPr>
        <w:tab/>
        <w:t>Jäsenvaltioiden on 30 päivään kesäkuuta 2020 mennessä sallittava 694–790 MHz:n taajuusalueen käyttö maanpäällisissä järjestelmissä, joilla voidaan tarjota langattomia sähköisiä laajakaistaviestintäpalveluja, ainoastaan sellaisten yhdenmukaistettujen teknisten edellytysten mukaisesti, jotka komissio vahvistaa päätöksen N:o 676/2002/EY 4 artiklan mukaisesti. Jäsenvaltioiden on tarvittaessa toteutettava valtuutusmenettelyt tai muutettava asiaa koskevia olemassa olevia oikeuksia taajuusalueen käyttöön direktiivin 2002/20/EY mukaisesti siten, että käyttö sallitaan.</w:t>
      </w:r>
    </w:p>
    <w:p>
      <w:pPr>
        <w:pStyle w:val="Point0"/>
        <w:rPr>
          <w:noProof/>
        </w:rPr>
      </w:pPr>
      <w:r>
        <w:rPr>
          <w:noProof/>
        </w:rPr>
        <w:t>2)</w:t>
      </w:r>
      <w:r>
        <w:rPr>
          <w:noProof/>
        </w:rPr>
        <w:tab/>
        <w:t>Jotta voidaan sallia 694–790 MHz:n taajuusalueen käyttö 1 kohdan mukaisesti, jäsenvaltioiden on 31 päivään joulukuuta 2017 mennessä tehtävä kaikki tarvittavat rajatylittävät taajuuksien koordinointisopimukset unionissa.</w:t>
      </w:r>
    </w:p>
    <w:p>
      <w:pPr>
        <w:pStyle w:val="Point0"/>
        <w:rPr>
          <w:noProof/>
        </w:rPr>
      </w:pPr>
      <w:r>
        <w:rPr>
          <w:noProof/>
        </w:rPr>
        <w:t>3)</w:t>
      </w:r>
      <w:r>
        <w:rPr>
          <w:noProof/>
        </w:rPr>
        <w:tab/>
        <w:t>Edellä 1 ja 2 kohdassa säädetyt velvollisuudet eivät sido jäsenvaltioita maantieteellisillä alueilla, joilla taajuuksien koordinointi unioniin kuulumattomien maiden kanssa on ratkaisematon kysymys, jos jäsenvaltiot toteuttavat kaikki käytännössä toteutettavissa olevat toimet minimoidakseen tällaisen ratkaisemattoman koordinoinnin keston ja maantieteellisen laajuuden sekä tiedottavat tuloksista komissiolle vuosittain siihen asti, kun ratkaisemattomat koordinointikysymykset on ratkaistu. Tätä kohtaa sovelletaan myös Kyproksen tasavallan taajuuksien koordinointia koskeviin ongelmiin, jotka johtuvat siitä, että Kyproksen hallitusta estetään suorittamasta tehokasta valvontaa osalla Kyproksen aluetta.</w:t>
      </w:r>
    </w:p>
    <w:p>
      <w:pPr>
        <w:pStyle w:val="Titrearticle"/>
        <w:rPr>
          <w:noProof/>
        </w:rPr>
      </w:pPr>
      <w:r>
        <w:rPr>
          <w:noProof/>
        </w:rPr>
        <w:t>2 artikla</w:t>
      </w:r>
    </w:p>
    <w:p>
      <w:pPr>
        <w:rPr>
          <w:noProof/>
        </w:rPr>
      </w:pPr>
      <w:r>
        <w:rPr>
          <w:noProof/>
        </w:rPr>
        <w:t>Jäsenvaltioiden on 30 päivään kesäkuuta 2022 mennessä sallittava taajuuksien käyttöoikeuksien siirto tai vuokraaminen sähköisiin viestintäpalveluihin 694–790 MHz:n taajuusalueella.</w:t>
      </w:r>
    </w:p>
    <w:p>
      <w:pPr>
        <w:pStyle w:val="Titrearticle"/>
        <w:rPr>
          <w:noProof/>
        </w:rPr>
      </w:pPr>
      <w:r>
        <w:rPr>
          <w:noProof/>
        </w:rPr>
        <w:t>3 artikla</w:t>
      </w:r>
    </w:p>
    <w:p>
      <w:pPr>
        <w:rPr>
          <w:noProof/>
        </w:rPr>
      </w:pPr>
      <w:r>
        <w:rPr>
          <w:noProof/>
        </w:rPr>
        <w:t xml:space="preserve">Kun jäsenvaltiot valtuuttavat 694–790 MHz:n taajuusalueen käytön tai muuttavat olemassa olevia oikeuksia käyttää 694–790 MHz:n taajuusaluetta, niiden on toteutettava kaikki tarvittavat toimenpiteet varmistaakseen väestönsä ja alueensa korkeatasoisen kattavuuden vähintään 30 Mb/s:n nopeudella sisä- ja ulkotiloissa, tarvittaessa myös ennalta määritellyillä kansallisilla ensisijaisilla alueilla sekä tärkeimpien maaliikenneväylien varrella. Tällaisiin toimenpiteisiin voi sisältyä edellytyksiä verkkoinfrastruktuurin tai taajuuksien yhteiskäytön helpottamiseksi tai siihen kannustamiseksi unionin lainsäädännön mukaisesti. </w:t>
      </w:r>
    </w:p>
    <w:p>
      <w:pPr>
        <w:rPr>
          <w:noProof/>
        </w:rPr>
      </w:pPr>
      <w:r>
        <w:rPr>
          <w:noProof/>
        </w:rPr>
        <w:t>Tässä tarkoituksessa jäsenvaltioiden on toteutettava arvioita ja kuulemisia tarpeesta asettaa edellytyksiä taajuuksien käyttöoikeuksille 694–790 MHz:n taajuusalueella.</w:t>
      </w:r>
    </w:p>
    <w:p>
      <w:pPr>
        <w:pStyle w:val="Titrearticle"/>
        <w:rPr>
          <w:noProof/>
        </w:rPr>
      </w:pPr>
      <w:r>
        <w:rPr>
          <w:noProof/>
        </w:rPr>
        <w:t>4 artikla</w:t>
      </w:r>
    </w:p>
    <w:p>
      <w:pPr>
        <w:pStyle w:val="Point0"/>
        <w:rPr>
          <w:noProof/>
        </w:rPr>
      </w:pPr>
      <w:r>
        <w:rPr>
          <w:noProof/>
        </w:rPr>
        <w:t>1)</w:t>
      </w:r>
      <w:r>
        <w:rPr>
          <w:noProof/>
        </w:rPr>
        <w:tab/>
        <w:t>Jäsenvaltioiden on varmistettava 470–694 MHz:n taajuusalueen tai sen osien saatavuus audiovisuaalisten mediapalvelujen maanpäälliseen tarjoamiseen suurelle yleisölle, maksuttomat televisiolähetykset mukaan luettuina, sekä ohjelma- ja tapahtumatuotannon langattomien audiolaitteiden käyttöön, kansallisten yleisradiotoiminnan tarpeiden perusteella. Jäsenvaltioiden on varmistettava, että 470–694 MHz:n taajuusalueen mikä tahansa muu käyttö niiden alueella ei haittaa audiovisuaalisten mediapalvelujen maanpäällistä tarjoamista naapurijäsenvaltiossa.</w:t>
      </w:r>
    </w:p>
    <w:p>
      <w:pPr>
        <w:pStyle w:val="Point0"/>
        <w:rPr>
          <w:noProof/>
        </w:rPr>
      </w:pPr>
      <w:r>
        <w:rPr>
          <w:noProof/>
        </w:rPr>
        <w:t>2)</w:t>
      </w:r>
      <w:r>
        <w:rPr>
          <w:noProof/>
        </w:rPr>
        <w:tab/>
        <w:t>Jos jäsenvaltiot valtuuttavat taajuuksien käytön 470–694 MHz:n taajuusalueella maanpäällisissä järjestelmissä, joilla voidaan tarjota muita sähköisiä viestintäpalveluja kuin televisiolähetysverkkoja, tällainen käyttö saa koskea ainoastaan laskevaa siirtotietä. Tällainen käyttö ei saa rajoittaa kansainvälisistä sopimuksista ja unionin lainsäädännöstä johtuvia velvollisuuksia.</w:t>
      </w:r>
    </w:p>
    <w:p>
      <w:pPr>
        <w:pStyle w:val="Titrearticle"/>
        <w:rPr>
          <w:noProof/>
        </w:rPr>
      </w:pPr>
      <w:r>
        <w:rPr>
          <w:noProof/>
        </w:rPr>
        <w:t>5 artikla</w:t>
      </w:r>
    </w:p>
    <w:p>
      <w:pPr>
        <w:rPr>
          <w:noProof/>
        </w:rPr>
      </w:pPr>
      <w:r>
        <w:rPr>
          <w:noProof/>
        </w:rPr>
        <w:t>Jäsenvaltioiden on 30 päivään kesäkuuta 2017 mennessä hyväksyttävä ja julkistettava kansallinen suunnitelmansa ja aikataulunsa, jäljempänä ’kansallinen etenemissuunnitelma’, tämän päätöksen 1 ja 4 artiklan mukaisten velvollisuuksiensa täyttämiseksi.</w:t>
      </w:r>
    </w:p>
    <w:p>
      <w:pPr>
        <w:rPr>
          <w:noProof/>
        </w:rPr>
      </w:pPr>
      <w:r>
        <w:rPr>
          <w:noProof/>
        </w:rPr>
        <w:t>Jotta voidaan varmistaa, että 694–790 MHz:n taajuusalueen käyttö on 1 artiklan 1 kohdan mukaista, jäsenvaltioiden on tarvittaessa sisällytettävä kansallisiin etenemissuunnitelmiinsa tietoja toimenpiteistä, joilla rajoitetaan tulevan siirtymävaiheen vaikutuksia yleisöön ja ohjelma- ja tapahtumatuotannon langattomien audiolaitteiden käyttäjiin sekä helpotetaan yhteentoimivan televisiolähetysverkon laitteiden ja vastaanottimien oikea-aikaista saatavuutta sisämarkkinoilla.</w:t>
      </w:r>
    </w:p>
    <w:p>
      <w:pPr>
        <w:pStyle w:val="Titrearticle"/>
        <w:rPr>
          <w:noProof/>
        </w:rPr>
      </w:pPr>
      <w:r>
        <w:rPr>
          <w:noProof/>
        </w:rPr>
        <w:t>6 artikla</w:t>
      </w:r>
    </w:p>
    <w:p>
      <w:pPr>
        <w:rPr>
          <w:noProof/>
        </w:rPr>
      </w:pPr>
      <w:r>
        <w:rPr>
          <w:noProof/>
        </w:rPr>
        <w:t xml:space="preserve">Komissio laatii 1 päivään tammikuuta 2025 mennessä yhteistyössä jäsenvaltioiden kanssa arvion sekä kertomuksen neuvostolle ja parlamentille 470–694 MHz:n taajuusalueen käytön kehityssuunnista, ottaen huomion ne yhteiskunnalliset, taloudelliset sekä kulttuuriin ja teknologiaan liittyvät näkökohdat, jotka vaikuttavat taajuusalueen käyttöön 1 ja 4 artiklan mukaisesti. Kertomuksessa on arvioitava, onko tarpeen muuttaa 470–694 MHz:n taajuusalueen tai jonkin sen osan käyttöä unionissa. </w:t>
      </w:r>
    </w:p>
    <w:p>
      <w:pPr>
        <w:pStyle w:val="Titrearticle"/>
        <w:rPr>
          <w:noProof/>
        </w:rPr>
      </w:pPr>
      <w:r>
        <w:rPr>
          <w:noProof/>
        </w:rPr>
        <w:t>7 artikla</w:t>
      </w:r>
    </w:p>
    <w:p>
      <w:pPr>
        <w:keepNext/>
        <w:keepLines/>
        <w:rPr>
          <w:noProof/>
        </w:rPr>
      </w:pPr>
      <w:r>
        <w:rPr>
          <w:noProof/>
        </w:rPr>
        <w:t xml:space="preserve">Tämä päätös tulee voimaan kahdentenakymmenentenä päivänä sen jälkeen, kun se on julkaistu </w:t>
      </w:r>
      <w:r>
        <w:rPr>
          <w:i/>
          <w:noProof/>
        </w:rPr>
        <w:t>Euroopan unionin virallisessa lehdessä.</w:t>
      </w:r>
    </w:p>
    <w:p>
      <w:pPr>
        <w:pStyle w:val="Titrearticle"/>
        <w:rPr>
          <w:noProof/>
        </w:rPr>
      </w:pPr>
      <w:r>
        <w:rPr>
          <w:noProof/>
        </w:rPr>
        <w:t>8 artikla</w:t>
      </w:r>
    </w:p>
    <w:p>
      <w:pPr>
        <w:rPr>
          <w:noProof/>
        </w:rPr>
      </w:pPr>
      <w:r>
        <w:rPr>
          <w:noProof/>
        </w:rPr>
        <w:t>Tämä päätös on osoitettu kaikille jäsenvaltioille.</w:t>
      </w:r>
    </w:p>
    <w:p>
      <w:pPr>
        <w:pStyle w:val="Fait"/>
        <w:rPr>
          <w:noProof/>
        </w:rPr>
      </w:pPr>
      <w:r>
        <w:rPr>
          <w:noProof/>
        </w:rP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1"/>
        <w:ind w:left="709" w:hanging="709"/>
      </w:pPr>
      <w:r>
        <w:rPr>
          <w:rStyle w:val="FootnoteReference"/>
        </w:rPr>
        <w:footnoteRef/>
      </w:r>
      <w:r>
        <w:tab/>
        <w:t>Taajuuskaista 700 MHz  alueella 3 ja taajuuskaista 698–790 MHz alueella 2 oli osoitettu jaetuin ensisijaisin oikeuksin matkaviestintään jo ennen vuotta 2012.</w:t>
      </w:r>
    </w:p>
  </w:footnote>
  <w:footnote w:id="2">
    <w:p>
      <w:pPr>
        <w:pStyle w:val="footnotetext1"/>
        <w:ind w:left="709" w:hanging="709"/>
        <w:jc w:val="left"/>
      </w:pPr>
      <w:r>
        <w:rPr>
          <w:rStyle w:val="FootnoteReference"/>
        </w:rPr>
        <w:footnoteRef/>
      </w:r>
      <w:r>
        <w:tab/>
        <w:t xml:space="preserve">Asiakirja RSPG15-595 final: </w:t>
      </w:r>
      <w:hyperlink r:id="rId1">
        <w:r>
          <w:rPr>
            <w:rStyle w:val="Hyperlink"/>
          </w:rPr>
          <w:t>http://rspg-spectrum.eu/wp-content/uploads/2013/05/RSPG15-595_final-RSPG_opinion_UHF.pdf</w:t>
        </w:r>
      </w:hyperlink>
      <w:r>
        <w:rPr>
          <w:rStyle w:val="Hyperlink"/>
        </w:rPr>
        <w:t>.</w:t>
      </w:r>
    </w:p>
  </w:footnote>
  <w:footnote w:id="3">
    <w:p>
      <w:pPr>
        <w:pStyle w:val="footnotetext1"/>
      </w:pPr>
      <w:r>
        <w:rPr>
          <w:rStyle w:val="FootnoteReference"/>
        </w:rPr>
        <w:footnoteRef/>
      </w:r>
      <w:r>
        <w:tab/>
        <w:t>Euroopan parlamentin ja neuvoston direktiivi 2002/21/EY, annettu 7 päivänä maaliskuuta 2002, sähköisten viestintäverkkojen ja -palvelujen yhteisestä sääntelyjärjestelmästä (puitedirektiivi) (EYVL L 108, 24.4.2002, s. 33).</w:t>
      </w:r>
    </w:p>
  </w:footnote>
  <w:footnote w:id="4">
    <w:p>
      <w:pPr>
        <w:pStyle w:val="footnotetext1"/>
      </w:pPr>
      <w:r>
        <w:rPr>
          <w:rStyle w:val="FootnoteReference"/>
        </w:rPr>
        <w:footnoteRef/>
      </w:r>
      <w:r>
        <w:tab/>
        <w:t>Euroopan parlamentin ja neuvoston direktiivi 2002/20/EY, annettu 7 päivänä maaliskuuta 2002, sähköisiä viestintäverkkoja ja -palveluja koskevista valtuutuksista (valtuutusdirektiivi) (EYVL L 108, 24.4.2002 s. 21).</w:t>
      </w:r>
    </w:p>
  </w:footnote>
  <w:footnote w:id="5">
    <w:p>
      <w:pPr>
        <w:pStyle w:val="footnotetext1"/>
      </w:pPr>
      <w:r>
        <w:rPr>
          <w:rStyle w:val="FootnoteReference"/>
        </w:rPr>
        <w:footnoteRef/>
      </w:r>
      <w:r>
        <w:tab/>
        <w:t>Euroopan parlamentin ja neuvoston päätös N:o 676/2002/EY, tehty 7 päivänä maaliskuuta 2002, Euroopan yhteisön radiotaajuuspolitiikan sääntelyjärjestelmästä (radiotaajuuspäätös) (EYVL L 108, 24.4.2002, s. 1).</w:t>
      </w:r>
    </w:p>
  </w:footnote>
  <w:footnote w:id="6">
    <w:p>
      <w:pPr>
        <w:pStyle w:val="FootnoteText"/>
      </w:pPr>
      <w:r>
        <w:rPr>
          <w:rStyle w:val="FootnoteReference"/>
        </w:rPr>
        <w:footnoteRef/>
      </w:r>
      <w:r>
        <w:tab/>
        <w:t>Euroopan radio-, tele- ja postihallintojen yhteistyökonferenssi.</w:t>
      </w:r>
    </w:p>
  </w:footnote>
  <w:footnote w:id="7">
    <w:p>
      <w:pPr>
        <w:pStyle w:val="FootnoteText"/>
      </w:pPr>
      <w:r>
        <w:rPr>
          <w:rStyle w:val="FootnoteReference"/>
        </w:rPr>
        <w:footnoteRef/>
      </w:r>
      <w:r>
        <w:tab/>
        <w:t>Komission päätös 2010/267/EU, annettu 6 päivänä toukokuuta 2010, taajuusalueen 790–862 MHz käytön teknisten ehtojen yhdenmukaistamisesta sähköisten viestintäpalvelujen tarjontaan Euroopan unionissa pystyviä maanpäällisiä järjestelmiä varten (EUVL L 117, 11.5.2010, s. 95).</w:t>
      </w:r>
    </w:p>
  </w:footnote>
  <w:footnote w:id="8">
    <w:p>
      <w:pPr>
        <w:pStyle w:val="footnotetext1"/>
        <w:ind w:left="709" w:hanging="709"/>
      </w:pPr>
      <w:r>
        <w:rPr>
          <w:rStyle w:val="FootnoteReference"/>
        </w:rPr>
        <w:footnoteRef/>
      </w:r>
      <w:r>
        <w:tab/>
        <w:t xml:space="preserve">Linkki: </w:t>
      </w:r>
      <w:hyperlink r:id="rId2">
        <w:r>
          <w:rPr>
            <w:rStyle w:val="Hyperlink"/>
          </w:rPr>
          <w:t>http://ec.europa.eu/digital-agenda/en/news/report-results-work-high-level-group-future-use-uhf-band</w:t>
        </w:r>
      </w:hyperlink>
      <w:r>
        <w:rPr>
          <w:rStyle w:val="Hyperlink"/>
        </w:rPr>
        <w:t>.</w:t>
      </w:r>
    </w:p>
  </w:footnote>
  <w:footnote w:id="9">
    <w:p>
      <w:pPr>
        <w:pStyle w:val="footnotetext1"/>
        <w:ind w:left="709" w:hanging="709"/>
      </w:pPr>
      <w:r>
        <w:rPr>
          <w:rStyle w:val="FootnoteReference"/>
        </w:rPr>
        <w:footnoteRef/>
      </w:r>
      <w:r>
        <w:tab/>
        <w:t xml:space="preserve">Linkki: </w:t>
      </w:r>
      <w:hyperlink r:id="rId3">
        <w:r>
          <w:rPr>
            <w:rStyle w:val="Hyperlink"/>
          </w:rPr>
          <w:t>https://ec.europa.eu/eusurvey/runner/PublicConsultationLamyReport2014</w:t>
        </w:r>
      </w:hyperlink>
      <w:r>
        <w:rPr>
          <w:rStyle w:val="Hyperlink"/>
        </w:rPr>
        <w:t>.</w:t>
      </w:r>
    </w:p>
  </w:footnote>
  <w:footnote w:id="10">
    <w:p>
      <w:pPr>
        <w:pStyle w:val="footnotetext1"/>
        <w:ind w:left="709" w:hanging="709"/>
        <w:jc w:val="left"/>
      </w:pPr>
      <w:r>
        <w:rPr>
          <w:rStyle w:val="FootnoteReference"/>
        </w:rPr>
        <w:footnoteRef/>
      </w:r>
      <w:r>
        <w:tab/>
        <w:t xml:space="preserve">Asiakirja RSPG13-524 rev1, linkki: </w:t>
      </w:r>
      <w:hyperlink r:id="rId4">
        <w:r>
          <w:rPr>
            <w:rStyle w:val="Hyperlink"/>
          </w:rPr>
          <w:t>https://circabc.europa.eu/d/a/workspace/SpacesStore/614d3daf-76a0-402d-8133-77d2d3dd2518/RSPG13-524 %20rev1 %20Report_700MHz_reallocation_REV.pdf</w:t>
        </w:r>
      </w:hyperlink>
      <w:r>
        <w:rPr>
          <w:rStyle w:val="Hyperlink"/>
        </w:rPr>
        <w:t>.</w:t>
      </w:r>
    </w:p>
  </w:footnote>
  <w:footnote w:id="11">
    <w:p>
      <w:pPr>
        <w:pStyle w:val="footnotetext1"/>
      </w:pPr>
      <w:r>
        <w:rPr>
          <w:rStyle w:val="FootnoteReference"/>
        </w:rPr>
        <w:footnoteRef/>
      </w:r>
      <w:r>
        <w:tab/>
        <w:t xml:space="preserve">Linkki: </w:t>
      </w:r>
      <w:hyperlink r:id="rId5" w:anchor="cnect">
        <w:r>
          <w:rPr>
            <w:rStyle w:val="Hyperlink"/>
          </w:rPr>
          <w:t>http://ec.europa.eu/smart-regulation/impact/ia_carried_out/cia_2015_en.htm#cnect</w:t>
        </w:r>
      </w:hyperlink>
    </w:p>
  </w:footnote>
  <w:footnote w:id="12">
    <w:p>
      <w:pPr>
        <w:pStyle w:val="footnotetext1"/>
      </w:pPr>
      <w:r>
        <w:rPr>
          <w:rStyle w:val="FootnoteReference"/>
        </w:rPr>
        <w:footnoteRef/>
      </w:r>
      <w:r>
        <w:tab/>
        <w:t>Siirto yksinomaan verkkoinfrastruktuurista vastaanottimiin, esimerkiksi televisioihin tai tabletteihin.</w:t>
      </w:r>
    </w:p>
  </w:footnote>
  <w:footnote w:id="13">
    <w:p>
      <w:pPr>
        <w:pStyle w:val="footnotetext1"/>
      </w:pPr>
      <w:r>
        <w:rPr>
          <w:rStyle w:val="FootnoteReference"/>
        </w:rPr>
        <w:footnoteRef/>
      </w:r>
      <w:r>
        <w:tab/>
        <w:t>Komissio on tehnyt useita päätöksiä valtiontukien hyväksymisestä kuluttajille ja ohjelma- ja tapahtumatuotannon laitteiden käyttäjille aiheutuvien vaikutusten rajoittamiseksi. Ks. esimerkiksi seuraavat asiat: N 622/03 — Digitalisierungsfonds — Itävalta (EUVL C 228, 17.9.2005); C 25/04 — maanpäällisten digitaalitelevisiolähetysten (DVB-T) aloittaminen Berlin-Brandenburgissa — Saksa (EUVL L 200, 22.7.2006); C 24/04 — maanpäällisten digitaalitelevisiolähetysten aloittaminen Ruotsissa (EUVL L 112, 30.4.2007); C 52/05 — tuki digisovittimien hankintaan Italiassa (EUVL L 147, 8.6.2007); N 270/06 — tuki sovellusliittymällä varustettujen digisovittimien hankintaan — Italia (EUVL C 80, 13.4.2007); N 107/07 — avustukset IdTV:lle — Italia (EUVL C 246, 20.10.2007); C 34/06 — maanpäällisten digitaalitelevisiolähetysten (DVB-T) aloittaminen Nordrhein-Westfalenissa (EUVL L 236, 3.9.2008); SA.28685 Captación de Televisión Digital en Cantabria — Espanja (EUVL C 119, 24.4.2012); N671b/2009 — Digitaalitekniikkaan siirtyminen Slovakiassa (EYVL C 39, 8.2.2011).</w:t>
      </w:r>
    </w:p>
  </w:footnote>
  <w:footnote w:id="14">
    <w:p>
      <w:pPr>
        <w:pStyle w:val="footnotetext1"/>
      </w:pPr>
      <w:r>
        <w:rPr>
          <w:rStyle w:val="FootnoteReference"/>
        </w:rPr>
        <w:footnoteRef/>
      </w:r>
      <w:r>
        <w:tab/>
        <w:t>Valtiontuki C 25/2004, DVB-T Berlin Brandenburg;  Valtiontuki C 52/2005, Digisovittimet; tammikuulle 2016 suunniteltu komission päätös Espanjan kuningaskunnan ilmoittamasta valtiontuesta SA.32619 taajuusylijäämän vapauttamisesta aiheutuvien vahinkojen korvaamiseksi.</w:t>
      </w:r>
    </w:p>
  </w:footnote>
  <w:footnote w:id="15">
    <w:p>
      <w:pPr>
        <w:pStyle w:val="footnotetext1"/>
      </w:pPr>
      <w:r>
        <w:rPr>
          <w:rStyle w:val="FootnoteReference"/>
        </w:rPr>
        <w:footnoteRef/>
      </w:r>
      <w:r>
        <w:tab/>
        <w:t xml:space="preserve">Asia C-222/04, 10.1.2006, </w:t>
      </w:r>
      <w:r>
        <w:rPr>
          <w:i/>
        </w:rPr>
        <w:t>Cassa di Risparmio di Firenze</w:t>
      </w:r>
      <w:r>
        <w:t xml:space="preserve">, 131 kohta; Asia C-126/01, 20.11.2003, </w:t>
      </w:r>
      <w:r>
        <w:rPr>
          <w:i/>
        </w:rPr>
        <w:t>GEMO SA</w:t>
      </w:r>
      <w:r>
        <w:t xml:space="preserve">, 28 kohta; Asia C-53/00, 22.11.2001, </w:t>
      </w:r>
      <w:r>
        <w:rPr>
          <w:i/>
        </w:rPr>
        <w:t>Ferring SA</w:t>
      </w:r>
      <w:r>
        <w:t xml:space="preserve">, 19 kohta ja sitä seuraavat kohdat. Asia C-143/99, 8.11.2001, </w:t>
      </w:r>
      <w:r>
        <w:rPr>
          <w:i/>
        </w:rPr>
        <w:t>Adria-Wien Pipeline</w:t>
      </w:r>
      <w:r>
        <w:t xml:space="preserve">, 38 kohta; Asia C-310/99, </w:t>
      </w:r>
      <w:r>
        <w:rPr>
          <w:i/>
        </w:rPr>
        <w:t>Italia v. komissio</w:t>
      </w:r>
      <w:r>
        <w:t xml:space="preserve">, 251 kohta; Asia T-109/01, 14.1.2004, </w:t>
      </w:r>
      <w:r>
        <w:rPr>
          <w:i/>
        </w:rPr>
        <w:t>Fleuren Compost BV  v. komissio</w:t>
      </w:r>
      <w:r>
        <w:t xml:space="preserve">, 54 kohta; Asia C-251/97, 5.10.1999, </w:t>
      </w:r>
      <w:r>
        <w:rPr>
          <w:i/>
        </w:rPr>
        <w:t>Ranska v. komissio</w:t>
      </w:r>
      <w:r>
        <w:t xml:space="preserve">, 40 kohta. Asia T-177/07, 15.6.2010, </w:t>
      </w:r>
      <w:r>
        <w:rPr>
          <w:i/>
        </w:rPr>
        <w:t>Mediaset v. komissio</w:t>
      </w:r>
      <w:r>
        <w:t xml:space="preserve">, asia C-403/10 P, 28.7.2011, </w:t>
      </w:r>
      <w:r>
        <w:rPr>
          <w:i/>
        </w:rPr>
        <w:t>Mediaset v. komissio</w:t>
      </w:r>
      <w:r>
        <w:t xml:space="preserve">. Asia T-21/06, 6.10.2009, </w:t>
      </w:r>
      <w:r>
        <w:rPr>
          <w:i/>
        </w:rPr>
        <w:t>Saksa v. komissio</w:t>
      </w:r>
      <w:r>
        <w:t xml:space="preserve">, DVB-T – Berlin/Brandenburg, asiat T-461/13 </w:t>
      </w:r>
      <w:r>
        <w:rPr>
          <w:i/>
        </w:rPr>
        <w:t>Espanja v. komissio</w:t>
      </w:r>
      <w:r>
        <w:t xml:space="preserve">, T-462/13 </w:t>
      </w:r>
      <w:r>
        <w:rPr>
          <w:i/>
        </w:rPr>
        <w:t>Baskimaa ja Itelazpi v. komissio</w:t>
      </w:r>
      <w:r>
        <w:t xml:space="preserve">, </w:t>
      </w:r>
      <w:hyperlink r:id="rId6">
        <w:r>
          <w:rPr>
            <w:rStyle w:val="Hyperlink"/>
          </w:rPr>
          <w:t>T-463/13</w:t>
        </w:r>
      </w:hyperlink>
      <w:r>
        <w:t xml:space="preserve"> ja </w:t>
      </w:r>
      <w:hyperlink r:id="rId7">
        <w:r>
          <w:rPr>
            <w:rStyle w:val="Hyperlink"/>
          </w:rPr>
          <w:t>T-464/13</w:t>
        </w:r>
      </w:hyperlink>
      <w:r>
        <w:t xml:space="preserve"> </w:t>
      </w:r>
      <w:r>
        <w:rPr>
          <w:i/>
        </w:rPr>
        <w:t>Galicia v. komissio ja  Retegal v. komissio</w:t>
      </w:r>
      <w:r>
        <w:t xml:space="preserve">, </w:t>
      </w:r>
      <w:hyperlink r:id="rId8">
        <w:r>
          <w:rPr>
            <w:rStyle w:val="Hyperlink"/>
          </w:rPr>
          <w:t>T-465/13</w:t>
        </w:r>
      </w:hyperlink>
      <w:r>
        <w:t xml:space="preserve"> </w:t>
      </w:r>
      <w:r>
        <w:rPr>
          <w:i/>
        </w:rPr>
        <w:t>Katalonia ja CTTI v. komissio</w:t>
      </w:r>
      <w:r>
        <w:t xml:space="preserve">, </w:t>
      </w:r>
      <w:hyperlink r:id="rId9">
        <w:r>
          <w:rPr>
            <w:rStyle w:val="Hyperlink"/>
          </w:rPr>
          <w:t>T-487/13</w:t>
        </w:r>
      </w:hyperlink>
      <w:r>
        <w:t xml:space="preserve"> </w:t>
      </w:r>
      <w:r>
        <w:rPr>
          <w:i/>
        </w:rPr>
        <w:t>Navarra v. komissio</w:t>
      </w:r>
      <w:r>
        <w:t xml:space="preserve"> sekä </w:t>
      </w:r>
      <w:hyperlink r:id="rId10">
        <w:r>
          <w:rPr>
            <w:rStyle w:val="Hyperlink"/>
          </w:rPr>
          <w:t>T-541/13</w:t>
        </w:r>
      </w:hyperlink>
      <w:r>
        <w:t xml:space="preserve"> </w:t>
      </w:r>
      <w:r>
        <w:rPr>
          <w:i/>
        </w:rPr>
        <w:t>Abertis Telecom ja Retevisión v. komissio.</w:t>
      </w:r>
    </w:p>
  </w:footnote>
  <w:footnote w:id="16">
    <w:p>
      <w:pPr>
        <w:pStyle w:val="footnotetext1"/>
      </w:pPr>
      <w:r>
        <w:rPr>
          <w:rStyle w:val="FootnoteReference"/>
        </w:rPr>
        <w:footnoteRef/>
      </w:r>
      <w:r>
        <w:tab/>
        <w:t>Nämä määräajat ovat radiotaajuuspolitiikkaa käsittelevän ryhmän raportin, saman ryhmän lausunnon ja Lamyn raportin mukaisia.</w:t>
      </w:r>
    </w:p>
  </w:footnote>
  <w:footnote w:id="17">
    <w:p>
      <w:pPr>
        <w:pStyle w:val="footnotetext1"/>
      </w:pPr>
      <w:r>
        <w:rPr>
          <w:rStyle w:val="FootnoteReference"/>
        </w:rPr>
        <w:footnoteRef/>
      </w:r>
      <w:r>
        <w:tab/>
        <w:t>Ks. 6 artiklan 8 kohta.</w:t>
      </w:r>
    </w:p>
  </w:footnote>
  <w:footnote w:id="18">
    <w:p>
      <w:pPr>
        <w:pStyle w:val="FootnoteText"/>
      </w:pPr>
      <w:r>
        <w:rPr>
          <w:rStyle w:val="FootnoteReference"/>
        </w:rPr>
        <w:footnoteRef/>
      </w:r>
      <w:r>
        <w:tab/>
        <w:t>EUVL C , , s. .</w:t>
      </w:r>
    </w:p>
  </w:footnote>
  <w:footnote w:id="19">
    <w:p>
      <w:pPr>
        <w:pStyle w:val="FootnoteText"/>
      </w:pPr>
      <w:r>
        <w:rPr>
          <w:rStyle w:val="FootnoteReference"/>
        </w:rPr>
        <w:footnoteRef/>
      </w:r>
      <w:r>
        <w:tab/>
        <w:t>EUVL C , , s. .</w:t>
      </w:r>
    </w:p>
  </w:footnote>
  <w:footnote w:id="20">
    <w:p>
      <w:pPr>
        <w:pStyle w:val="footnotetext1"/>
      </w:pPr>
      <w:r>
        <w:rPr>
          <w:rStyle w:val="FootnoteReference"/>
        </w:rPr>
        <w:footnoteRef/>
      </w:r>
      <w:r>
        <w:tab/>
        <w:t>Euroopan parlamentin ja neuvoston päätös N:o 243/2012/EU, annettu 14 päivänä maaliskuuta 2012, monivuotisen radiotaajuuspoliittisen ohjelman perustamisesta (EUVL L 81, 21.3.2012, s. 7).</w:t>
      </w:r>
    </w:p>
  </w:footnote>
  <w:footnote w:id="21">
    <w:p>
      <w:pPr>
        <w:pStyle w:val="footnotetext1"/>
        <w:rPr>
          <w:lang w:val="pl-PL"/>
        </w:rPr>
      </w:pPr>
      <w:r>
        <w:rPr>
          <w:rStyle w:val="FootnoteReference"/>
        </w:rPr>
        <w:footnoteRef/>
      </w:r>
      <w:r>
        <w:rPr>
          <w:lang w:val="pl-PL"/>
        </w:rPr>
        <w:tab/>
        <w:t xml:space="preserve">Ks. </w:t>
      </w:r>
      <w:hyperlink r:id="rId11">
        <w:r>
          <w:rPr>
            <w:rStyle w:val="Hyperlink"/>
            <w:lang w:val="pl-PL"/>
          </w:rPr>
          <w:t>http://ec.europa.eu/priorities/digital-single-market/index_en.htm</w:t>
        </w:r>
      </w:hyperlink>
      <w:r>
        <w:rPr>
          <w:rStyle w:val="Hyperlink"/>
          <w:lang w:val="pl-PL"/>
        </w:rPr>
        <w:t>.</w:t>
      </w:r>
    </w:p>
  </w:footnote>
  <w:footnote w:id="22">
    <w:p>
      <w:pPr>
        <w:pStyle w:val="footnotetext1"/>
        <w:rPr>
          <w:lang w:val="it-IT"/>
        </w:rPr>
      </w:pPr>
      <w:r>
        <w:rPr>
          <w:rStyle w:val="FootnoteReference"/>
        </w:rPr>
        <w:footnoteRef/>
      </w:r>
      <w:r>
        <w:rPr>
          <w:lang w:val="it-IT"/>
        </w:rPr>
        <w:tab/>
        <w:t xml:space="preserve">Pascal Lamyn raportti: </w:t>
      </w:r>
      <w:hyperlink r:id="rId12">
        <w:r>
          <w:rPr>
            <w:rStyle w:val="Hyperlink"/>
            <w:lang w:val="it-IT"/>
          </w:rPr>
          <w:t>https://ec.europa.eu/digital-agenda/en/news/report-results-work-high-level-group-future-use-uhf-band</w:t>
        </w:r>
      </w:hyperlink>
      <w:r>
        <w:rPr>
          <w:rStyle w:val="Hyperlink"/>
          <w:lang w:val="it-IT"/>
        </w:rPr>
        <w:t>.</w:t>
      </w:r>
    </w:p>
  </w:footnote>
  <w:footnote w:id="23">
    <w:p>
      <w:pPr>
        <w:pStyle w:val="footnotetext1"/>
      </w:pPr>
      <w:r>
        <w:rPr>
          <w:rStyle w:val="FootnoteReference"/>
        </w:rPr>
        <w:footnoteRef/>
      </w:r>
      <w:r>
        <w:tab/>
        <w:t>Euroopan parlamentin ja neuvoston päätös N:o 676/2002/EY, tehty 7 päivänä maaliskuuta 2002, Euroopan yhteisön radiotaajuuspolitiikan sääntelyjärjestelmästä (radiotaajuuspäätös) (EYVL L 108, 24.4.2002, s. 1).</w:t>
      </w:r>
    </w:p>
  </w:footnote>
  <w:footnote w:id="24">
    <w:p>
      <w:pPr>
        <w:pStyle w:val="footnotetext1"/>
      </w:pPr>
      <w:r>
        <w:rPr>
          <w:rStyle w:val="FootnoteReference"/>
        </w:rPr>
        <w:footnoteRef/>
      </w:r>
      <w:r>
        <w:tab/>
        <w:t>Direktiivi 2002/21/EY, annettu 7 päivänä maaliskuuta 2002, sähköisten viestintäverkkojen ja -palvelujen yhteisestä sääntelyjärjestelmästä (puitedirektiivi) (EYVL L 108, 24.4.2002, s. 33).</w:t>
      </w:r>
    </w:p>
  </w:footnote>
  <w:footnote w:id="25">
    <w:p>
      <w:pPr>
        <w:pStyle w:val="footnotetext1"/>
      </w:pPr>
      <w:r>
        <w:rPr>
          <w:rStyle w:val="FootnoteReference"/>
        </w:rPr>
        <w:footnoteRef/>
      </w:r>
      <w:r>
        <w:tab/>
        <w:t>Genevessä vuonna 2006 pidetty alueellinen radioviestintäkonferenssi, jossa käsiteltiin digitaalisia maanpäällisiä lähetyspalveluja osassa alueita 1 ja 3 taajuusalueilla 174–230 MHz ja 470–862 MHz (RRC-06).</w:t>
      </w:r>
    </w:p>
  </w:footnote>
  <w:footnote w:id="26">
    <w:p>
      <w:pPr>
        <w:pStyle w:val="footnotetext1"/>
      </w:pPr>
      <w:r>
        <w:rPr>
          <w:rStyle w:val="FootnoteReference"/>
        </w:rPr>
        <w:footnoteRef/>
      </w:r>
      <w:r>
        <w:tab/>
        <w:t>Siten kuin tarkoitetaan Euroopan parlamentin ja neuvoston direktiivissä 2010/13/EU (audiovisuaalisia mediapalveluja koskeva direktiivi).</w:t>
      </w:r>
    </w:p>
  </w:footnote>
  <w:footnote w:id="27">
    <w:p>
      <w:pPr>
        <w:pStyle w:val="footnotetext1"/>
      </w:pPr>
      <w:r>
        <w:rPr>
          <w:rStyle w:val="FootnoteReference"/>
        </w:rPr>
        <w:footnoteRef/>
      </w:r>
      <w:r>
        <w:tab/>
        <w:t>Euroopan parlamentin ja neuvoston direktiivi 2002/20/EY, annettu 7 päivänä maaliskuuta 2002, sähköisiä viestintäverkkoja ja -palveluja koskevista valtuutuksista (valtuutusdirektiivi) (EYVL L 108, 24.4.2002 s.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32617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1A2F484"/>
    <w:lvl w:ilvl="0">
      <w:start w:val="1"/>
      <w:numFmt w:val="decimal"/>
      <w:pStyle w:val="ListNumber3"/>
      <w:lvlText w:val="%1."/>
      <w:lvlJc w:val="left"/>
      <w:pPr>
        <w:tabs>
          <w:tab w:val="num" w:pos="926"/>
        </w:tabs>
        <w:ind w:left="926" w:hanging="360"/>
      </w:pPr>
    </w:lvl>
  </w:abstractNum>
  <w:abstractNum w:abstractNumId="2">
    <w:nsid w:val="FFFFFF81"/>
    <w:multiLevelType w:val="singleLevel"/>
    <w:tmpl w:val="D1042026"/>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5AAC1658"/>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8D6002D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648A83C4"/>
    <w:lvl w:ilvl="0">
      <w:start w:val="1"/>
      <w:numFmt w:val="decimal"/>
      <w:pStyle w:val="ListNumber"/>
      <w:lvlText w:val="%1."/>
      <w:lvlJc w:val="left"/>
      <w:pPr>
        <w:tabs>
          <w:tab w:val="num" w:pos="360"/>
        </w:tabs>
        <w:ind w:left="360" w:hanging="360"/>
      </w:pPr>
    </w:lvl>
  </w:abstractNum>
  <w:abstractNum w:abstractNumId="6">
    <w:nsid w:val="FFFFFF89"/>
    <w:multiLevelType w:val="singleLevel"/>
    <w:tmpl w:val="8D8A4F7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4"/>
  </w:num>
  <w:num w:numId="3">
    <w:abstractNumId w:val="3"/>
  </w:num>
  <w:num w:numId="4">
    <w:abstractNumId w:val="2"/>
  </w:num>
  <w:num w:numId="5">
    <w:abstractNumId w:val="14"/>
    <w:lvlOverride w:ilvl="0">
      <w:startOverride w:val="1"/>
    </w:lvlOverride>
  </w:num>
  <w:num w:numId="6">
    <w:abstractNumId w:val="13"/>
  </w:num>
  <w:num w:numId="7">
    <w:abstractNumId w:val="21"/>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1"/>
  </w:num>
  <w:num w:numId="16">
    <w:abstractNumId w:val="20"/>
  </w:num>
  <w:num w:numId="17">
    <w:abstractNumId w:val="10"/>
  </w:num>
  <w:num w:numId="18">
    <w:abstractNumId w:val="12"/>
  </w:num>
  <w:num w:numId="19">
    <w:abstractNumId w:val="8"/>
  </w:num>
  <w:num w:numId="20">
    <w:abstractNumId w:val="19"/>
  </w:num>
  <w:num w:numId="21">
    <w:abstractNumId w:val="7"/>
  </w:num>
  <w:num w:numId="22">
    <w:abstractNumId w:val="14"/>
  </w:num>
  <w:num w:numId="23">
    <w:abstractNumId w:val="16"/>
  </w:num>
  <w:num w:numId="24">
    <w:abstractNumId w:val="17"/>
  </w:num>
  <w:num w:numId="25">
    <w:abstractNumId w:val="9"/>
  </w:num>
  <w:num w:numId="26">
    <w:abstractNumId w:val="15"/>
  </w:num>
  <w:num w:numId="27">
    <w:abstractNumId w:val="21"/>
  </w:num>
  <w:num w:numId="28">
    <w:abstractNumId w:val="18"/>
  </w:num>
  <w:num w:numId="29">
    <w:abstractNumId w:val="11"/>
  </w:num>
  <w:num w:numId="30">
    <w:abstractNumId w:val="20"/>
  </w:num>
  <w:num w:numId="31">
    <w:abstractNumId w:val="10"/>
  </w:num>
  <w:num w:numId="32">
    <w:abstractNumId w:val="12"/>
  </w:num>
  <w:num w:numId="33">
    <w:abstractNumId w:val="8"/>
  </w:num>
  <w:num w:numId="34">
    <w:abstractNumId w:val="19"/>
  </w:num>
  <w:num w:numId="35">
    <w:abstractNumId w:val="7"/>
  </w:num>
  <w:num w:numId="36">
    <w:abstractNumId w:val="14"/>
  </w:num>
  <w:num w:numId="37">
    <w:abstractNumId w:val="16"/>
  </w:num>
  <w:num w:numId="38">
    <w:abstractNumId w:val="17"/>
  </w:num>
  <w:num w:numId="39">
    <w:abstractNumId w:val="9"/>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02 10:28:5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23"/>
    <w:docVar w:name="DQCStatus" w:val="Green"/>
    <w:docVar w:name="DQCVersion" w:val="3"/>
    <w:docVar w:name="DQCWithWarnings" w:val="0"/>
    <w:docVar w:name="LW_CONFIDENCE" w:val=" "/>
    <w:docVar w:name="LW_CONST_RESTREINT_UE" w:val="RESTREINT UE"/>
    <w:docVar w:name="LW_CORRIGENDUM" w:val="&lt;UNUSED&gt;"/>
    <w:docVar w:name="LW_COVERPAGE_GUID" w:val="63900C0508E74D9FA8BA77095DD5C438"/>
    <w:docVar w:name="LW_CROSSREFERENCE" w:val="{SWD(2016) 19 final}_x000b_{SWD(2016) 20 final}"/>
    <w:docVar w:name="LW_DocType" w:val="COM"/>
    <w:docVar w:name="LW_EMISSION" w:val="2.2.2016"/>
    <w:docVar w:name="LW_EMISSION_ISODATE" w:val="2016-02-02"/>
    <w:docVar w:name="LW_EMISSION_LOCATION" w:val="BRX"/>
    <w:docVar w:name="LW_EMISSION_PREFIX" w:val="Bryssel "/>
    <w:docVar w:name="LW_EMISSION_SUFFIX" w:val=" "/>
    <w:docVar w:name="LW_ID_DOCMODEL" w:val="SJ-026"/>
    <w:docVar w:name="LW_ID_DOCSIGNATURE" w:val="SJ-026"/>
    <w:docVar w:name="LW_ID_DOCSTRUCTURE" w:val="COM/PL/ORG"/>
    <w:docVar w:name="LW_ID_DOCTYPE" w:val="SJ-026"/>
    <w:docVar w:name="LW_ID_STATUT" w:val="SJ-026"/>
    <w:docVar w:name="LW_INTERETEEE.CP" w:val="&lt;UNUSED&gt;"/>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027"/>
    <w:docVar w:name="LW_REF.II.NEW.CP_YEAR" w:val="2016"/>
    <w:docVar w:name="LW_REF.INST.NEW" w:val="COM"/>
    <w:docVar w:name="LW_REF.INST.NEW_ADOPTED" w:val="final"/>
    <w:docVar w:name="LW_REF.INST.NEW_TEXT" w:val="(2016) 43"/>
    <w:docVar w:name="LW_REF.INTERNE" w:val="&lt;UNUSED&gt;"/>
    <w:docVar w:name="LW_SOUS.TITRE.OBJ.CP" w:val="&lt;UNUSED&gt;"/>
    <w:docVar w:name="LW_STATUT.CP" w:val="Ehdotus"/>
    <w:docVar w:name="LW_SUPERTITRE" w:val="&lt;UNUSED&gt;"/>
    <w:docVar w:name="LW_TITRE.OBJ.CP" w:val="470\u8211?790 MHz:n taajuusalueen käytöstä unionissa"/>
    <w:docVar w:name="LW_TYPE.DOC.CP" w:val="EUROOPAN PARLAMENTIN JA 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character" w:styleId="Hyperlink">
    <w:name w:val="Hyperlink"/>
    <w:basedOn w:val="DefaultParagraphFont"/>
    <w:uiPriority w:val="99"/>
    <w:unhideWhenUsed/>
    <w:rPr>
      <w:color w:val="0000FF"/>
      <w:u w:val="single"/>
    </w:rPr>
  </w:style>
  <w:style w:type="paragraph" w:customStyle="1" w:styleId="footnotetext1">
    <w:name w:val="footnote text1"/>
    <w:aliases w:val="footnote text,Fußnotentex"/>
    <w:basedOn w:val="Normal"/>
    <w:uiPriority w:val="99"/>
    <w:unhideWhenUsed/>
    <w:qFormat/>
    <w:pPr>
      <w:spacing w:before="0" w:after="0"/>
      <w:ind w:left="720" w:hanging="720"/>
    </w:pPr>
    <w:rPr>
      <w:sz w:val="20"/>
      <w:szCs w:val="20"/>
    </w:rPr>
  </w:style>
  <w:style w:type="paragraph" w:styleId="ListNumber2">
    <w:name w:val="List Number 2"/>
    <w:basedOn w:val="Text2"/>
    <w:pPr>
      <w:numPr>
        <w:numId w:val="6"/>
      </w:numPr>
      <w:spacing w:before="0" w:after="240"/>
    </w:pPr>
    <w:rPr>
      <w:rFonts w:eastAsia="Times New Roman"/>
      <w:szCs w:val="20"/>
    </w:rPr>
  </w:style>
  <w:style w:type="paragraph" w:customStyle="1" w:styleId="ListNumber2Level2">
    <w:name w:val="List Number 2 (Level 2)"/>
    <w:basedOn w:val="Text2"/>
    <w:pPr>
      <w:numPr>
        <w:ilvl w:val="1"/>
        <w:numId w:val="6"/>
      </w:numPr>
      <w:spacing w:before="0" w:after="240"/>
    </w:pPr>
    <w:rPr>
      <w:rFonts w:eastAsia="Times New Roman"/>
      <w:szCs w:val="20"/>
    </w:rPr>
  </w:style>
  <w:style w:type="paragraph" w:customStyle="1" w:styleId="ListNumber2Level3">
    <w:name w:val="List Number 2 (Level 3)"/>
    <w:basedOn w:val="Text2"/>
    <w:pPr>
      <w:numPr>
        <w:ilvl w:val="2"/>
        <w:numId w:val="6"/>
      </w:numPr>
      <w:spacing w:before="0" w:after="240"/>
    </w:pPr>
    <w:rPr>
      <w:rFonts w:eastAsia="Times New Roman"/>
      <w:szCs w:val="20"/>
    </w:rPr>
  </w:style>
  <w:style w:type="paragraph" w:customStyle="1" w:styleId="ListNumber2Level4">
    <w:name w:val="List Number 2 (Level 4)"/>
    <w:basedOn w:val="Text2"/>
    <w:pPr>
      <w:numPr>
        <w:ilvl w:val="3"/>
        <w:numId w:val="6"/>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character" w:styleId="Hyperlink">
    <w:name w:val="Hyperlink"/>
    <w:basedOn w:val="DefaultParagraphFont"/>
    <w:uiPriority w:val="99"/>
    <w:unhideWhenUsed/>
    <w:rPr>
      <w:color w:val="0000FF"/>
      <w:u w:val="single"/>
    </w:rPr>
  </w:style>
  <w:style w:type="paragraph" w:customStyle="1" w:styleId="footnotetext1">
    <w:name w:val="footnote text1"/>
    <w:aliases w:val="footnote text,Fußnotentex"/>
    <w:basedOn w:val="Normal"/>
    <w:uiPriority w:val="99"/>
    <w:unhideWhenUsed/>
    <w:qFormat/>
    <w:pPr>
      <w:spacing w:before="0" w:after="0"/>
      <w:ind w:left="720" w:hanging="720"/>
    </w:pPr>
    <w:rPr>
      <w:sz w:val="20"/>
      <w:szCs w:val="20"/>
    </w:rPr>
  </w:style>
  <w:style w:type="paragraph" w:styleId="ListNumber2">
    <w:name w:val="List Number 2"/>
    <w:basedOn w:val="Text2"/>
    <w:pPr>
      <w:numPr>
        <w:numId w:val="6"/>
      </w:numPr>
      <w:spacing w:before="0" w:after="240"/>
    </w:pPr>
    <w:rPr>
      <w:rFonts w:eastAsia="Times New Roman"/>
      <w:szCs w:val="20"/>
    </w:rPr>
  </w:style>
  <w:style w:type="paragraph" w:customStyle="1" w:styleId="ListNumber2Level2">
    <w:name w:val="List Number 2 (Level 2)"/>
    <w:basedOn w:val="Text2"/>
    <w:pPr>
      <w:numPr>
        <w:ilvl w:val="1"/>
        <w:numId w:val="6"/>
      </w:numPr>
      <w:spacing w:before="0" w:after="240"/>
    </w:pPr>
    <w:rPr>
      <w:rFonts w:eastAsia="Times New Roman"/>
      <w:szCs w:val="20"/>
    </w:rPr>
  </w:style>
  <w:style w:type="paragraph" w:customStyle="1" w:styleId="ListNumber2Level3">
    <w:name w:val="List Number 2 (Level 3)"/>
    <w:basedOn w:val="Text2"/>
    <w:pPr>
      <w:numPr>
        <w:ilvl w:val="2"/>
        <w:numId w:val="6"/>
      </w:numPr>
      <w:spacing w:before="0" w:after="240"/>
    </w:pPr>
    <w:rPr>
      <w:rFonts w:eastAsia="Times New Roman"/>
      <w:szCs w:val="20"/>
    </w:rPr>
  </w:style>
  <w:style w:type="paragraph" w:customStyle="1" w:styleId="ListNumber2Level4">
    <w:name w:val="List Number 2 (Level 4)"/>
    <w:basedOn w:val="Text2"/>
    <w:pPr>
      <w:numPr>
        <w:ilvl w:val="3"/>
        <w:numId w:val="6"/>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uria.europa.eu/juris/liste.jsf?language=fr&amp;td=ALL&amp;num=T-465/13" TargetMode="External"/><Relationship Id="rId3" Type="http://schemas.openxmlformats.org/officeDocument/2006/relationships/hyperlink" Target="https://ec.europa.eu/eusurvey/runner/PublicConsultationLamyReport2014" TargetMode="External"/><Relationship Id="rId7" Type="http://schemas.openxmlformats.org/officeDocument/2006/relationships/hyperlink" Target="http://curia.europa.eu/juris/liste.jsf?language=fr&amp;td=ALL&amp;num=T-464/13" TargetMode="External"/><Relationship Id="rId12" Type="http://schemas.openxmlformats.org/officeDocument/2006/relationships/hyperlink" Target="https://ec.europa.eu/digital-agenda/en/news/report-results-work-high-level-group-future-use-uhf-band" TargetMode="External"/><Relationship Id="rId2" Type="http://schemas.openxmlformats.org/officeDocument/2006/relationships/hyperlink" Target="http://ec.europa.eu/digital-agenda/en/news/report-results-work-high-level-group-future-use-uhf-band" TargetMode="External"/><Relationship Id="rId1" Type="http://schemas.openxmlformats.org/officeDocument/2006/relationships/hyperlink" Target="http://rspg-spectrum.eu/wp-content/uploads/2013/05/RSPG15-595_final-RSPG_opinion_UHF.pdf" TargetMode="External"/><Relationship Id="rId6" Type="http://schemas.openxmlformats.org/officeDocument/2006/relationships/hyperlink" Target="http://curia.europa.eu/juris/liste.jsf?language=fr&amp;td=ALL&amp;num=T-463/13" TargetMode="External"/><Relationship Id="rId11" Type="http://schemas.openxmlformats.org/officeDocument/2006/relationships/hyperlink" Target="http://ec.europa.eu/priorities/digital-single-market/index_en.htm" TargetMode="External"/><Relationship Id="rId5" Type="http://schemas.openxmlformats.org/officeDocument/2006/relationships/hyperlink" Target="http://ec.europa.eu/smart-regulation/impact/ia_carried_out/cia_2015_en.htm" TargetMode="External"/><Relationship Id="rId10" Type="http://schemas.openxmlformats.org/officeDocument/2006/relationships/hyperlink" Target="http://curia.europa.eu/juris/liste.jsf?language=fr&amp;td=ALL&amp;num=T-541/13" TargetMode="External"/><Relationship Id="rId4" Type="http://schemas.openxmlformats.org/officeDocument/2006/relationships/hyperlink" Target="https://circabc.europa.eu/d/a/workspace/SpacesStore/614d3daf-76a0-402d-8133-77d2d3dd2518/RSPG13-524%20rev1%20Report_700MHz_reallocation_REV.pdf" TargetMode="External"/><Relationship Id="rId9" Type="http://schemas.openxmlformats.org/officeDocument/2006/relationships/hyperlink" Target="http://curia.europa.eu/juris/liste.jsf?language=fr&amp;td=ALL&amp;num=T-487/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A611-0BA3-47A5-8A76-9DD71E66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16</Pages>
  <Words>3867</Words>
  <Characters>34108</Characters>
  <Application>Microsoft Office Word</Application>
  <DocSecurity>0</DocSecurity>
  <Lines>516</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2016-01-12T15:41:00Z</cp:lastPrinted>
  <dcterms:created xsi:type="dcterms:W3CDTF">2016-01-29T12:44:00Z</dcterms:created>
  <dcterms:modified xsi:type="dcterms:W3CDTF">2016-02-02T09:28:00Z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SJ-026</vt:lpwstr>
  </property>
  <property fmtid="{D5CDD505-2E9C-101B-9397-08002B2CF9AE}" pid="10" name="DQCStatus">
    <vt:lpwstr>Green (DQC version 03)</vt:lpwstr>
  </property>
</Properties>
</file>