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1B8" w:rsidRDefault="003201AA" w:rsidP="003201AA"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alt="F4318749CB48406ABF80B596284F9F99" style="width:451.25pt;height:370.9pt">
            <v:imagedata r:id="rId9" o:title=""/>
          </v:shape>
        </w:pict>
      </w:r>
    </w:p>
    <w:p w:rsidR="00F911B8" w:rsidRDefault="00F911B8">
      <w:pPr>
        <w:pStyle w:val="Pagedecouverture"/>
        <w:rPr>
          <w:noProof/>
        </w:rPr>
        <w:sectPr w:rsidR="00F911B8" w:rsidSect="003201A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 w:rsidR="00F911B8" w:rsidRDefault="003201AA">
      <w:pPr>
        <w:pStyle w:val="Annexetitre"/>
        <w:rPr>
          <w:noProof/>
          <w:u w:val="none"/>
        </w:rPr>
      </w:pPr>
      <w:bookmarkStart w:id="0" w:name="_GoBack"/>
      <w:bookmarkEnd w:id="0"/>
      <w:r>
        <w:rPr>
          <w:noProof/>
          <w:u w:val="none"/>
        </w:rPr>
        <w:lastRenderedPageBreak/>
        <w:t>PRILOG I.</w:t>
      </w:r>
    </w:p>
    <w:p w:rsidR="00F911B8" w:rsidRDefault="003201AA">
      <w:pPr>
        <w:pStyle w:val="NormalCentered"/>
        <w:rPr>
          <w:b/>
          <w:noProof/>
        </w:rPr>
      </w:pPr>
      <w:r>
        <w:rPr>
          <w:b/>
          <w:noProof/>
        </w:rPr>
        <w:t>Živini spojevi i smjese žive koji podliježu odredbama članka 3. i 4.</w:t>
      </w:r>
    </w:p>
    <w:p w:rsidR="00F911B8" w:rsidRDefault="00F911B8">
      <w:pPr>
        <w:rPr>
          <w:noProof/>
        </w:rPr>
      </w:pPr>
    </w:p>
    <w:p w:rsidR="00F911B8" w:rsidRDefault="003201AA">
      <w:pPr>
        <w:rPr>
          <w:noProof/>
        </w:rPr>
      </w:pPr>
      <w:r>
        <w:rPr>
          <w:b/>
          <w:i/>
          <w:noProof/>
        </w:rPr>
        <w:t>Živini spojevi</w:t>
      </w:r>
      <w:r>
        <w:rPr>
          <w:noProof/>
        </w:rPr>
        <w:t xml:space="preserve">: </w:t>
      </w:r>
    </w:p>
    <w:p w:rsidR="00F911B8" w:rsidRDefault="003201AA">
      <w:pPr>
        <w:rPr>
          <w:noProof/>
        </w:rPr>
      </w:pPr>
      <w:r>
        <w:rPr>
          <w:noProof/>
        </w:rPr>
        <w:t>Živin(I)-klorid (Hg</w:t>
      </w:r>
      <w:r>
        <w:rPr>
          <w:noProof/>
          <w:vertAlign w:val="subscript"/>
        </w:rPr>
        <w:t>2</w:t>
      </w:r>
      <w:r>
        <w:rPr>
          <w:noProof/>
        </w:rPr>
        <w:t>Cl</w:t>
      </w:r>
      <w:r>
        <w:rPr>
          <w:noProof/>
          <w:vertAlign w:val="subscript"/>
        </w:rPr>
        <w:t>2</w:t>
      </w:r>
      <w:r>
        <w:rPr>
          <w:noProof/>
        </w:rPr>
        <w:t>, CAS RN 10112-91-1)</w:t>
      </w:r>
    </w:p>
    <w:p w:rsidR="00F911B8" w:rsidRDefault="003201AA">
      <w:pPr>
        <w:rPr>
          <w:noProof/>
        </w:rPr>
      </w:pPr>
      <w:r>
        <w:rPr>
          <w:noProof/>
        </w:rPr>
        <w:t>Živin(II)-oksid (HgO, CAS RN 21908-53-2)</w:t>
      </w:r>
    </w:p>
    <w:p w:rsidR="00F911B8" w:rsidRDefault="003201AA">
      <w:pPr>
        <w:rPr>
          <w:noProof/>
        </w:rPr>
      </w:pPr>
      <w:r>
        <w:rPr>
          <w:noProof/>
        </w:rPr>
        <w:t>Cinabarit</w:t>
      </w:r>
    </w:p>
    <w:p w:rsidR="00F911B8" w:rsidRDefault="00F911B8">
      <w:pPr>
        <w:rPr>
          <w:noProof/>
        </w:rPr>
      </w:pPr>
    </w:p>
    <w:p w:rsidR="00F911B8" w:rsidRDefault="003201AA">
      <w:pPr>
        <w:rPr>
          <w:b/>
          <w:i/>
          <w:noProof/>
        </w:rPr>
      </w:pPr>
      <w:r>
        <w:rPr>
          <w:b/>
          <w:i/>
          <w:noProof/>
        </w:rPr>
        <w:t>Smjese:</w:t>
      </w:r>
    </w:p>
    <w:p w:rsidR="00F911B8" w:rsidRDefault="003201AA">
      <w:pPr>
        <w:rPr>
          <w:noProof/>
        </w:rPr>
      </w:pPr>
      <w:r>
        <w:rPr>
          <w:noProof/>
        </w:rPr>
        <w:t>Smjese žive s drugim tvarima, uključujući slitine u kojima je koncentracija žive najmanje 95 % masenog udjela.</w:t>
      </w:r>
    </w:p>
    <w:p w:rsidR="00F911B8" w:rsidRDefault="003201AA">
      <w:pPr>
        <w:pStyle w:val="Annexetitre"/>
        <w:rPr>
          <w:noProof/>
          <w:u w:val="none"/>
        </w:rPr>
      </w:pPr>
      <w:r>
        <w:rPr>
          <w:noProof/>
        </w:rPr>
        <w:br w:type="page"/>
      </w:r>
      <w:r>
        <w:rPr>
          <w:noProof/>
          <w:u w:val="none"/>
        </w:rPr>
        <w:lastRenderedPageBreak/>
        <w:t>PRILOG II.</w:t>
      </w:r>
    </w:p>
    <w:p w:rsidR="00F911B8" w:rsidRDefault="003201AA">
      <w:pPr>
        <w:pStyle w:val="NormalCentered"/>
        <w:rPr>
          <w:b/>
          <w:noProof/>
        </w:rPr>
      </w:pPr>
      <w:r>
        <w:rPr>
          <w:b/>
          <w:noProof/>
        </w:rPr>
        <w:t xml:space="preserve">Proizvodi kojima je dodana živa navedeni u članku 5. </w:t>
      </w:r>
    </w:p>
    <w:p w:rsidR="00F911B8" w:rsidRDefault="00F911B8">
      <w:pPr>
        <w:ind w:left="1440" w:firstLine="720"/>
        <w:rPr>
          <w:noProof/>
        </w:rPr>
      </w:pPr>
    </w:p>
    <w:p w:rsidR="00F911B8" w:rsidRDefault="003201AA">
      <w:pPr>
        <w:rPr>
          <w:b/>
          <w:noProof/>
        </w:rPr>
      </w:pPr>
      <w:r>
        <w:rPr>
          <w:b/>
          <w:noProof/>
        </w:rPr>
        <w:t>Dio A – Proizvodi kojima je dodana živa</w:t>
      </w:r>
    </w:p>
    <w:p w:rsidR="00F911B8" w:rsidRDefault="00F911B8">
      <w:pPr>
        <w:rPr>
          <w:noProof/>
        </w:rPr>
      </w:pPr>
    </w:p>
    <w:tbl>
      <w:tblPr>
        <w:tblW w:w="9786" w:type="dxa"/>
        <w:tblInd w:w="108" w:type="dxa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9786"/>
      </w:tblGrid>
      <w:tr w:rsidR="00F911B8">
        <w:tc>
          <w:tcPr>
            <w:tcW w:w="9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11B8" w:rsidRDefault="003201AA">
            <w:pPr>
              <w:snapToGrid w:val="0"/>
              <w:ind w:left="252" w:hanging="240"/>
              <w:rPr>
                <w:rFonts w:eastAsia="SimSun"/>
                <w:noProof/>
              </w:rPr>
            </w:pPr>
            <w:r>
              <w:rPr>
                <w:b/>
                <w:noProof/>
              </w:rPr>
              <w:t>1.</w:t>
            </w:r>
            <w:r>
              <w:rPr>
                <w:noProof/>
              </w:rPr>
              <w:t xml:space="preserve"> Baterije, osim okruglih plosnatih baterija s cinkom i srebrovim oksidom čiji je sadržaj žive &lt; 2 % i dugmastih cink-zrak baterija čiji je sadržaj žive &lt; 2 %.</w:t>
            </w:r>
            <w:r>
              <w:rPr>
                <w:noProof/>
              </w:rPr>
              <w:t xml:space="preserve"> </w:t>
            </w:r>
          </w:p>
        </w:tc>
      </w:tr>
      <w:tr w:rsidR="00F911B8">
        <w:trPr>
          <w:trHeight w:val="170"/>
        </w:trPr>
        <w:tc>
          <w:tcPr>
            <w:tcW w:w="9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11B8" w:rsidRDefault="003201AA">
            <w:pPr>
              <w:snapToGrid w:val="0"/>
              <w:ind w:left="252" w:hanging="252"/>
              <w:rPr>
                <w:rFonts w:eastAsia="SimSun"/>
                <w:noProof/>
              </w:rPr>
            </w:pPr>
            <w:r>
              <w:rPr>
                <w:b/>
                <w:noProof/>
              </w:rPr>
              <w:t>2.</w:t>
            </w:r>
            <w:r>
              <w:rPr>
                <w:noProof/>
              </w:rPr>
              <w:t xml:space="preserve"> Sklopke i releji, osim mostova za vrlo precizno mjerenje električnog kapaciteta i gubitaka te visokofrekventnih RF sklopki i releja u instrumentima za praćenje i kontrolu, čiji je sadržaj žive manji od 20 mg po mostu, sklopci ili releju.</w:t>
            </w:r>
          </w:p>
        </w:tc>
      </w:tr>
      <w:tr w:rsidR="00F911B8">
        <w:trPr>
          <w:trHeight w:val="170"/>
        </w:trPr>
        <w:tc>
          <w:tcPr>
            <w:tcW w:w="9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11B8" w:rsidRDefault="003201AA">
            <w:pPr>
              <w:snapToGrid w:val="0"/>
              <w:ind w:left="252" w:hanging="252"/>
              <w:rPr>
                <w:rFonts w:eastAsia="SimSun"/>
                <w:noProof/>
              </w:rPr>
            </w:pPr>
            <w:r>
              <w:rPr>
                <w:b/>
                <w:noProof/>
              </w:rPr>
              <w:t>3.</w:t>
            </w:r>
            <w:r>
              <w:rPr>
                <w:noProof/>
              </w:rPr>
              <w:t xml:space="preserve"> Kompaktne fluorescentne žarulje (CLF) za opće primjene osvjetljenja ≤ 30 W čiji je sadržaj žive veći od 5 mg po po plinom punjenoj cijevi.</w:t>
            </w:r>
          </w:p>
        </w:tc>
      </w:tr>
      <w:tr w:rsidR="00F911B8">
        <w:trPr>
          <w:trHeight w:val="170"/>
        </w:trPr>
        <w:tc>
          <w:tcPr>
            <w:tcW w:w="9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11B8" w:rsidRDefault="003201AA">
            <w:pPr>
              <w:snapToGrid w:val="0"/>
              <w:rPr>
                <w:rFonts w:eastAsia="SimSun"/>
                <w:noProof/>
              </w:rPr>
            </w:pPr>
            <w:r>
              <w:rPr>
                <w:b/>
                <w:noProof/>
              </w:rPr>
              <w:t>4.</w:t>
            </w:r>
            <w:r>
              <w:rPr>
                <w:noProof/>
              </w:rPr>
              <w:t xml:space="preserve"> Sljedeće linearne fluorescentne žarulje (LFL) za opće primjene osvjetljenja:</w:t>
            </w:r>
          </w:p>
          <w:p w:rsidR="00F911B8" w:rsidRDefault="003201AA">
            <w:pPr>
              <w:numPr>
                <w:ilvl w:val="0"/>
                <w:numId w:val="5"/>
              </w:numPr>
              <w:suppressAutoHyphens/>
              <w:jc w:val="left"/>
              <w:rPr>
                <w:rFonts w:eastAsia="SimSun"/>
                <w:noProof/>
              </w:rPr>
            </w:pPr>
            <w:r>
              <w:rPr>
                <w:noProof/>
              </w:rPr>
              <w:t xml:space="preserve">tropojasne fosforne &lt; 60 W čiji je </w:t>
            </w:r>
            <w:r>
              <w:rPr>
                <w:noProof/>
              </w:rPr>
              <w:t>sadržaj žive veći od 5 mg po žarulji,</w:t>
            </w:r>
          </w:p>
          <w:p w:rsidR="00F911B8" w:rsidRDefault="003201AA">
            <w:pPr>
              <w:numPr>
                <w:ilvl w:val="0"/>
                <w:numId w:val="5"/>
              </w:numPr>
              <w:suppressAutoHyphens/>
              <w:jc w:val="left"/>
              <w:rPr>
                <w:rFonts w:eastAsia="SimSun"/>
                <w:noProof/>
              </w:rPr>
            </w:pPr>
            <w:r>
              <w:rPr>
                <w:noProof/>
              </w:rPr>
              <w:t>halofosfatne ≤ 40 W čiji je sadržaj žive veći od 10 mg žive po žarulji.</w:t>
            </w:r>
          </w:p>
        </w:tc>
      </w:tr>
      <w:tr w:rsidR="00F911B8">
        <w:trPr>
          <w:trHeight w:val="170"/>
        </w:trPr>
        <w:tc>
          <w:tcPr>
            <w:tcW w:w="9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11B8" w:rsidRDefault="003201AA">
            <w:pPr>
              <w:snapToGrid w:val="0"/>
              <w:rPr>
                <w:rFonts w:eastAsia="SimSun"/>
                <w:noProof/>
              </w:rPr>
            </w:pPr>
            <w:r>
              <w:rPr>
                <w:b/>
                <w:noProof/>
              </w:rPr>
              <w:t>5.</w:t>
            </w:r>
            <w:r>
              <w:rPr>
                <w:noProof/>
              </w:rPr>
              <w:t xml:space="preserve"> Visokotlačne živine žarulje (HPMV) za opće primjene osvjetljenja.</w:t>
            </w:r>
          </w:p>
        </w:tc>
      </w:tr>
      <w:tr w:rsidR="00F911B8">
        <w:trPr>
          <w:trHeight w:val="170"/>
        </w:trPr>
        <w:tc>
          <w:tcPr>
            <w:tcW w:w="9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11B8" w:rsidRDefault="003201AA">
            <w:pPr>
              <w:snapToGrid w:val="0"/>
              <w:ind w:left="252" w:hanging="252"/>
              <w:rPr>
                <w:rFonts w:eastAsia="SimSun"/>
                <w:noProof/>
              </w:rPr>
            </w:pPr>
            <w:r>
              <w:rPr>
                <w:b/>
                <w:noProof/>
              </w:rPr>
              <w:t>6.</w:t>
            </w:r>
            <w:r>
              <w:rPr>
                <w:noProof/>
              </w:rPr>
              <w:t xml:space="preserve"> Sljedeće živine hladne katodne fluorescentne žarulje i živine fluorescen</w:t>
            </w:r>
            <w:r>
              <w:rPr>
                <w:noProof/>
              </w:rPr>
              <w:t xml:space="preserve">tne žarulje s vanjskom elektrodom (CCFL i EEFL) za elektroničke zaslone: </w:t>
            </w:r>
          </w:p>
          <w:p w:rsidR="00F911B8" w:rsidRDefault="003201AA">
            <w:pPr>
              <w:rPr>
                <w:rFonts w:eastAsia="SimSun"/>
                <w:noProof/>
              </w:rPr>
            </w:pPr>
            <w:r>
              <w:rPr>
                <w:noProof/>
              </w:rPr>
              <w:t>(a) kratke (≤ 500 mm) čiji je sadržaj žive veći od 3,5 mg po žarulji;</w:t>
            </w:r>
          </w:p>
          <w:p w:rsidR="00F911B8" w:rsidRDefault="003201AA">
            <w:pPr>
              <w:rPr>
                <w:rFonts w:eastAsia="SimSun"/>
                <w:noProof/>
              </w:rPr>
            </w:pPr>
            <w:r>
              <w:rPr>
                <w:noProof/>
              </w:rPr>
              <w:t>(b) srednje (&gt; 500 mm i ≤ 1500 mm) čiji je sadržaj žive veći od 5 mg po žarulji;</w:t>
            </w:r>
          </w:p>
          <w:p w:rsidR="00F911B8" w:rsidRDefault="003201AA">
            <w:pPr>
              <w:rPr>
                <w:rFonts w:eastAsia="SimSun"/>
                <w:noProof/>
              </w:rPr>
            </w:pPr>
            <w:r>
              <w:rPr>
                <w:noProof/>
              </w:rPr>
              <w:t>(c) duge (&gt; 1500 mm) čiji je sa</w:t>
            </w:r>
            <w:r>
              <w:rPr>
                <w:noProof/>
              </w:rPr>
              <w:t>držaj žive veći od 13 mg po žarulji</w:t>
            </w:r>
          </w:p>
        </w:tc>
      </w:tr>
      <w:tr w:rsidR="00F911B8">
        <w:trPr>
          <w:trHeight w:val="170"/>
        </w:trPr>
        <w:tc>
          <w:tcPr>
            <w:tcW w:w="9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11B8" w:rsidRDefault="003201AA">
            <w:pPr>
              <w:snapToGrid w:val="0"/>
              <w:ind w:left="252" w:hanging="252"/>
              <w:rPr>
                <w:rFonts w:eastAsia="SimSun"/>
                <w:noProof/>
              </w:rPr>
            </w:pPr>
            <w:r>
              <w:rPr>
                <w:b/>
                <w:noProof/>
              </w:rPr>
              <w:t>7.</w:t>
            </w:r>
            <w:r>
              <w:rPr>
                <w:noProof/>
              </w:rPr>
              <w:t xml:space="preserve"> Kozmetički proizvodi sa živom i živinim spojevima, osim u posebnim slučajevima navedenim pod unosom 17. u Prilogu V. Uredbi (EZ) br. 1223/2009 Europskog parlamenta i Vijeća</w:t>
            </w:r>
            <w:r>
              <w:rPr>
                <w:rStyle w:val="FootnoteReference"/>
                <w:noProof/>
              </w:rPr>
              <w:footnoteReference w:id="1"/>
            </w:r>
            <w:r>
              <w:rPr>
                <w:noProof/>
              </w:rPr>
              <w:t>.</w:t>
            </w:r>
          </w:p>
        </w:tc>
      </w:tr>
      <w:tr w:rsidR="00F911B8">
        <w:tc>
          <w:tcPr>
            <w:tcW w:w="9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11B8" w:rsidRDefault="003201AA">
            <w:pPr>
              <w:snapToGrid w:val="0"/>
              <w:rPr>
                <w:rFonts w:eastAsia="SimSun"/>
                <w:noProof/>
              </w:rPr>
            </w:pPr>
            <w:r>
              <w:rPr>
                <w:b/>
                <w:noProof/>
              </w:rPr>
              <w:t>8.</w:t>
            </w:r>
            <w:r>
              <w:rPr>
                <w:noProof/>
              </w:rPr>
              <w:t xml:space="preserve"> Pesticidi, biocidi i topički antisept</w:t>
            </w:r>
            <w:r>
              <w:rPr>
                <w:noProof/>
              </w:rPr>
              <w:t>ici.</w:t>
            </w:r>
          </w:p>
        </w:tc>
      </w:tr>
      <w:tr w:rsidR="00F911B8">
        <w:trPr>
          <w:trHeight w:val="170"/>
        </w:trPr>
        <w:tc>
          <w:tcPr>
            <w:tcW w:w="9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11B8" w:rsidRDefault="003201AA">
            <w:pPr>
              <w:snapToGrid w:val="0"/>
              <w:ind w:left="252" w:hanging="252"/>
              <w:rPr>
                <w:rFonts w:eastAsia="SimSun"/>
                <w:noProof/>
              </w:rPr>
            </w:pPr>
            <w:r>
              <w:rPr>
                <w:b/>
                <w:noProof/>
              </w:rPr>
              <w:t>9.</w:t>
            </w:r>
            <w:r>
              <w:rPr>
                <w:noProof/>
              </w:rPr>
              <w:t xml:space="preserve"> Sljedeći neelektronički mjerni uređaji za koje ne postoje odgovarajuće alternative bez žive:</w:t>
            </w:r>
          </w:p>
          <w:p w:rsidR="00F911B8" w:rsidRDefault="003201AA">
            <w:pPr>
              <w:rPr>
                <w:rFonts w:eastAsia="SimSun"/>
                <w:noProof/>
              </w:rPr>
            </w:pPr>
            <w:r>
              <w:rPr>
                <w:noProof/>
              </w:rPr>
              <w:t xml:space="preserve">(a) barometri; </w:t>
            </w:r>
          </w:p>
          <w:p w:rsidR="00F911B8" w:rsidRDefault="003201AA">
            <w:pPr>
              <w:rPr>
                <w:rFonts w:eastAsia="SimSun"/>
                <w:noProof/>
              </w:rPr>
            </w:pPr>
            <w:r>
              <w:rPr>
                <w:noProof/>
              </w:rPr>
              <w:t xml:space="preserve">(b) higrometri; </w:t>
            </w:r>
          </w:p>
          <w:p w:rsidR="00F911B8" w:rsidRDefault="003201AA">
            <w:pPr>
              <w:rPr>
                <w:rFonts w:eastAsia="SimSun"/>
                <w:noProof/>
              </w:rPr>
            </w:pPr>
            <w:r>
              <w:rPr>
                <w:noProof/>
              </w:rPr>
              <w:t xml:space="preserve">(c) manometri; </w:t>
            </w:r>
          </w:p>
          <w:p w:rsidR="00F911B8" w:rsidRDefault="003201AA">
            <w:pPr>
              <w:rPr>
                <w:rFonts w:eastAsia="SimSun"/>
                <w:noProof/>
              </w:rPr>
            </w:pPr>
            <w:r>
              <w:rPr>
                <w:noProof/>
              </w:rPr>
              <w:t>(d) termometri;</w:t>
            </w:r>
          </w:p>
          <w:p w:rsidR="00F911B8" w:rsidRDefault="003201AA">
            <w:pPr>
              <w:rPr>
                <w:rFonts w:eastAsia="SimSun"/>
                <w:noProof/>
              </w:rPr>
            </w:pPr>
            <w:r>
              <w:rPr>
                <w:noProof/>
              </w:rPr>
              <w:lastRenderedPageBreak/>
              <w:t>(e) tlakomjeri;</w:t>
            </w:r>
          </w:p>
          <w:p w:rsidR="00F911B8" w:rsidRDefault="003201AA">
            <w:pPr>
              <w:rPr>
                <w:rFonts w:eastAsia="SimSun"/>
                <w:noProof/>
              </w:rPr>
            </w:pPr>
            <w:r>
              <w:rPr>
                <w:noProof/>
              </w:rPr>
              <w:t>Ovim unosom nisu obuhvaćeni sljedeći mjerni uređaji:</w:t>
            </w:r>
          </w:p>
          <w:p w:rsidR="00F911B8" w:rsidRDefault="003201AA">
            <w:pPr>
              <w:pStyle w:val="ListParagraph"/>
              <w:numPr>
                <w:ilvl w:val="0"/>
                <w:numId w:val="12"/>
              </w:numPr>
              <w:spacing w:before="120" w:after="120"/>
              <w:ind w:left="372"/>
              <w:rPr>
                <w:rFonts w:eastAsia="SimSun"/>
                <w:noProof/>
                <w:sz w:val="24"/>
                <w:szCs w:val="24"/>
              </w:rPr>
            </w:pPr>
            <w:r>
              <w:rPr>
                <w:noProof/>
                <w:sz w:val="24"/>
              </w:rPr>
              <w:t xml:space="preserve">neelektronički </w:t>
            </w:r>
            <w:r>
              <w:rPr>
                <w:noProof/>
                <w:sz w:val="24"/>
              </w:rPr>
              <w:t>mjerni uređaji ugrađeni u veliku opremu ili uređaji za mjerenja visoke preciznosti;</w:t>
            </w:r>
          </w:p>
          <w:p w:rsidR="00F911B8" w:rsidRDefault="003201AA">
            <w:pPr>
              <w:pStyle w:val="ListParagraph"/>
              <w:numPr>
                <w:ilvl w:val="0"/>
                <w:numId w:val="12"/>
              </w:numPr>
              <w:spacing w:before="120" w:after="120"/>
              <w:ind w:left="372"/>
              <w:rPr>
                <w:rFonts w:eastAsia="SimSun"/>
                <w:noProof/>
                <w:sz w:val="24"/>
                <w:szCs w:val="24"/>
              </w:rPr>
            </w:pPr>
            <w:r>
              <w:rPr>
                <w:noProof/>
                <w:sz w:val="24"/>
              </w:rPr>
              <w:t>mjerni uređaji koji su 3. listopada 2007. bili stariji od 50 godina;</w:t>
            </w:r>
          </w:p>
          <w:p w:rsidR="00F911B8" w:rsidRDefault="003201AA">
            <w:pPr>
              <w:pStyle w:val="ListParagraph"/>
              <w:numPr>
                <w:ilvl w:val="0"/>
                <w:numId w:val="12"/>
              </w:numPr>
              <w:spacing w:before="120" w:after="120"/>
              <w:ind w:left="372"/>
              <w:rPr>
                <w:rFonts w:eastAsia="SimSun"/>
                <w:noProof/>
                <w:sz w:val="24"/>
                <w:szCs w:val="24"/>
              </w:rPr>
            </w:pPr>
            <w:r>
              <w:rPr>
                <w:noProof/>
                <w:sz w:val="24"/>
              </w:rPr>
              <w:t>mjerni uređaji koji se izlažu na javnim izložbama u kulturne i historiografske svrhe.</w:t>
            </w:r>
          </w:p>
        </w:tc>
      </w:tr>
    </w:tbl>
    <w:p w:rsidR="00F911B8" w:rsidRDefault="00F911B8">
      <w:pPr>
        <w:rPr>
          <w:noProof/>
        </w:rPr>
      </w:pPr>
    </w:p>
    <w:p w:rsidR="00F911B8" w:rsidRDefault="003201AA">
      <w:pPr>
        <w:rPr>
          <w:b/>
          <w:noProof/>
        </w:rPr>
      </w:pPr>
      <w:r>
        <w:rPr>
          <w:b/>
          <w:noProof/>
        </w:rPr>
        <w:t>Dio B – Dodatni</w:t>
      </w:r>
      <w:r>
        <w:rPr>
          <w:b/>
          <w:noProof/>
        </w:rPr>
        <w:t xml:space="preserve"> proizvodi izostavljeni s popisa u dijelu A ovog Priloga</w:t>
      </w:r>
    </w:p>
    <w:p w:rsidR="00F911B8" w:rsidRDefault="00F911B8">
      <w:pPr>
        <w:rPr>
          <w:noProof/>
        </w:rPr>
      </w:pPr>
    </w:p>
    <w:p w:rsidR="00F911B8" w:rsidRDefault="003201AA">
      <w:pPr>
        <w:rPr>
          <w:noProof/>
        </w:rPr>
      </w:pPr>
      <w:r>
        <w:rPr>
          <w:noProof/>
        </w:rPr>
        <w:t>Sklopke i releji, hladne katodne fluorescentne žarulje i fluorescentne žarulje s vanjskom elektrodom (CCFL i EEFL) za elektroničke zaslone i mjerni uređaji, ako se upotrebljavaju kao zamjena za komp</w:t>
      </w:r>
      <w:r>
        <w:rPr>
          <w:noProof/>
        </w:rPr>
        <w:t>onentu veće opreme i pod uvjetom da za tu komponentu nisu raspoložive izvedive alternative u kojima se ne primjenjuje živa, u skladu s Direktivom 2000/53/EZ Europskog parlamenta i Vijeća</w:t>
      </w:r>
      <w:r>
        <w:rPr>
          <w:rStyle w:val="FootnoteReference"/>
          <w:noProof/>
        </w:rPr>
        <w:footnoteReference w:id="2"/>
      </w:r>
      <w:r>
        <w:rPr>
          <w:noProof/>
        </w:rPr>
        <w:t xml:space="preserve"> i Direktivom 2011/65/EU Europskog parlamenta i Vijeća</w:t>
      </w:r>
      <w:r>
        <w:rPr>
          <w:rStyle w:val="FootnoteReference"/>
          <w:noProof/>
        </w:rPr>
        <w:footnoteReference w:id="3"/>
      </w:r>
      <w:r>
        <w:rPr>
          <w:noProof/>
        </w:rPr>
        <w:t>.</w:t>
      </w:r>
    </w:p>
    <w:p w:rsidR="00F911B8" w:rsidRDefault="003201AA">
      <w:pPr>
        <w:pStyle w:val="Annexetitre"/>
        <w:rPr>
          <w:noProof/>
          <w:u w:val="none"/>
        </w:rPr>
      </w:pPr>
      <w:r>
        <w:rPr>
          <w:noProof/>
        </w:rPr>
        <w:br w:type="page"/>
      </w:r>
      <w:r>
        <w:rPr>
          <w:noProof/>
          <w:u w:val="none"/>
        </w:rPr>
        <w:t>PRILOG III.</w:t>
      </w:r>
    </w:p>
    <w:p w:rsidR="00F911B8" w:rsidRDefault="003201AA">
      <w:pPr>
        <w:pStyle w:val="NormalCentered"/>
        <w:rPr>
          <w:b/>
          <w:noProof/>
        </w:rPr>
      </w:pPr>
      <w:r>
        <w:rPr>
          <w:b/>
          <w:noProof/>
        </w:rPr>
        <w:t xml:space="preserve">Zahtjevi povezani sa živom primjenjivi na proizvodne procese </w:t>
      </w:r>
    </w:p>
    <w:p w:rsidR="00F911B8" w:rsidRDefault="00F911B8">
      <w:pPr>
        <w:rPr>
          <w:b/>
          <w:noProof/>
          <w:szCs w:val="24"/>
        </w:rPr>
      </w:pPr>
    </w:p>
    <w:p w:rsidR="00F911B8" w:rsidRDefault="003201AA">
      <w:pPr>
        <w:tabs>
          <w:tab w:val="left" w:pos="1080"/>
        </w:tabs>
        <w:ind w:left="960" w:hanging="960"/>
        <w:rPr>
          <w:b/>
          <w:noProof/>
          <w:szCs w:val="24"/>
        </w:rPr>
      </w:pPr>
      <w:r>
        <w:rPr>
          <w:b/>
          <w:noProof/>
        </w:rPr>
        <w:t xml:space="preserve">Dio I.: Zabrana uporabe žive i živinih spojeva u proizvodnim procesima </w:t>
      </w:r>
    </w:p>
    <w:p w:rsidR="00F911B8" w:rsidRDefault="00F911B8">
      <w:pPr>
        <w:tabs>
          <w:tab w:val="left" w:pos="1080"/>
        </w:tabs>
        <w:ind w:left="960" w:hanging="960"/>
        <w:rPr>
          <w:b/>
          <w:noProof/>
          <w:szCs w:val="24"/>
        </w:rPr>
      </w:pPr>
    </w:p>
    <w:p w:rsidR="00F911B8" w:rsidRDefault="003201AA">
      <w:pPr>
        <w:pStyle w:val="Point0letter"/>
        <w:numPr>
          <w:ilvl w:val="1"/>
          <w:numId w:val="10"/>
        </w:numPr>
        <w:rPr>
          <w:noProof/>
        </w:rPr>
      </w:pPr>
      <w:r>
        <w:rPr>
          <w:noProof/>
        </w:rPr>
        <w:t>od 1. siječnja 2019.: proizvodnja acetaldehida;</w:t>
      </w:r>
    </w:p>
    <w:p w:rsidR="00F911B8" w:rsidRDefault="003201AA">
      <w:pPr>
        <w:pStyle w:val="Point0letter"/>
        <w:rPr>
          <w:noProof/>
        </w:rPr>
      </w:pPr>
      <w:r>
        <w:rPr>
          <w:noProof/>
        </w:rPr>
        <w:t>od 1. siječnja 2019.: proizvodnja vinil klorid monomera</w:t>
      </w:r>
    </w:p>
    <w:p w:rsidR="00F911B8" w:rsidRDefault="00F911B8">
      <w:pPr>
        <w:rPr>
          <w:noProof/>
          <w:szCs w:val="24"/>
        </w:rPr>
      </w:pPr>
    </w:p>
    <w:p w:rsidR="00F911B8" w:rsidRDefault="003201AA">
      <w:pPr>
        <w:tabs>
          <w:tab w:val="left" w:pos="1080"/>
        </w:tabs>
        <w:ind w:left="960" w:hanging="960"/>
        <w:rPr>
          <w:b/>
          <w:noProof/>
          <w:szCs w:val="24"/>
        </w:rPr>
      </w:pPr>
      <w:r>
        <w:rPr>
          <w:b/>
          <w:noProof/>
        </w:rPr>
        <w:t>Dio II.: Proiz</w:t>
      </w:r>
      <w:r>
        <w:rPr>
          <w:b/>
          <w:noProof/>
        </w:rPr>
        <w:t xml:space="preserve">vodni procesi koji podliježu ograničenjima uporabe i ispuštanja žive i živinih spojeva </w:t>
      </w:r>
    </w:p>
    <w:p w:rsidR="00F911B8" w:rsidRDefault="00F911B8">
      <w:pPr>
        <w:tabs>
          <w:tab w:val="left" w:pos="1080"/>
        </w:tabs>
        <w:ind w:left="960" w:hanging="960"/>
        <w:rPr>
          <w:b/>
          <w:noProof/>
          <w:szCs w:val="24"/>
        </w:rPr>
      </w:pPr>
    </w:p>
    <w:p w:rsidR="00F911B8" w:rsidRDefault="003201AA">
      <w:pPr>
        <w:rPr>
          <w:b/>
          <w:i/>
          <w:noProof/>
          <w:szCs w:val="24"/>
        </w:rPr>
      </w:pPr>
      <w:r>
        <w:rPr>
          <w:b/>
          <w:i/>
          <w:noProof/>
        </w:rPr>
        <w:t xml:space="preserve">Proizvodnja natrijevih ili kalijevih etilata ili metilata  </w:t>
      </w:r>
    </w:p>
    <w:p w:rsidR="00F911B8" w:rsidRDefault="003201AA">
      <w:pPr>
        <w:rPr>
          <w:noProof/>
          <w:szCs w:val="24"/>
        </w:rPr>
      </w:pPr>
      <w:r>
        <w:rPr>
          <w:noProof/>
        </w:rPr>
        <w:t>Proizvodnja natrijevih ili kalijevih etilata ili metilata mora se provoditi u skladu sa sljedećim zahtjevim</w:t>
      </w:r>
      <w:r>
        <w:rPr>
          <w:noProof/>
        </w:rPr>
        <w:t xml:space="preserve">a: </w:t>
      </w:r>
    </w:p>
    <w:p w:rsidR="00F911B8" w:rsidRDefault="003201AA">
      <w:pPr>
        <w:pStyle w:val="Tiret0"/>
        <w:numPr>
          <w:ilvl w:val="0"/>
          <w:numId w:val="13"/>
        </w:numPr>
        <w:rPr>
          <w:noProof/>
        </w:rPr>
      </w:pPr>
      <w:r>
        <w:rPr>
          <w:noProof/>
        </w:rPr>
        <w:t xml:space="preserve">zabranjuje se uporaba žive iz primarnog rudarenja, </w:t>
      </w:r>
    </w:p>
    <w:p w:rsidR="00F911B8" w:rsidRDefault="003201AA">
      <w:pPr>
        <w:pStyle w:val="Tiret0"/>
        <w:rPr>
          <w:noProof/>
        </w:rPr>
      </w:pPr>
      <w:r>
        <w:rPr>
          <w:noProof/>
        </w:rPr>
        <w:t>smanjuje se izravno i neizravno ispuštanje žive i živinih spojeva u zrak, vodu i tlo izraženo u tonama po pojedinačnoj tvari nužno je do 2020. smanjiti za 50 % u odnosu na razine iz 2010. i</w:t>
      </w:r>
    </w:p>
    <w:p w:rsidR="00F911B8" w:rsidRDefault="003201AA">
      <w:pPr>
        <w:pStyle w:val="Tiret0"/>
        <w:rPr>
          <w:noProof/>
        </w:rPr>
      </w:pPr>
      <w:r>
        <w:rPr>
          <w:noProof/>
        </w:rPr>
        <w:t>na datum s</w:t>
      </w:r>
      <w:r>
        <w:rPr>
          <w:noProof/>
        </w:rPr>
        <w:t>tupanja na snagu ove Uredbe, zabranjuje se povećavanje kapaciteta ili otvaranje novih postrojenja koja su prije tog datuma puštena u rad i koja primjenjuju živu i živine spojeve za proizvodnju natrijevih ili kalijevih etilata ili metilata.</w:t>
      </w:r>
    </w:p>
    <w:p w:rsidR="00F911B8" w:rsidRDefault="003201AA">
      <w:pPr>
        <w:pStyle w:val="Annexetitre"/>
        <w:rPr>
          <w:noProof/>
          <w:u w:val="none"/>
        </w:rPr>
      </w:pPr>
      <w:r>
        <w:rPr>
          <w:noProof/>
        </w:rPr>
        <w:br w:type="page"/>
      </w:r>
      <w:r>
        <w:rPr>
          <w:noProof/>
          <w:u w:val="none"/>
        </w:rPr>
        <w:t>PRILOG IV.</w:t>
      </w:r>
    </w:p>
    <w:p w:rsidR="00F911B8" w:rsidRDefault="003201AA">
      <w:pPr>
        <w:pStyle w:val="NormalCentered"/>
        <w:rPr>
          <w:b/>
          <w:noProof/>
        </w:rPr>
      </w:pPr>
      <w:r>
        <w:rPr>
          <w:b/>
          <w:noProof/>
        </w:rPr>
        <w:t>Sadr</w:t>
      </w:r>
      <w:r>
        <w:rPr>
          <w:b/>
          <w:noProof/>
        </w:rPr>
        <w:t>žaj nacionalnog plana za tradicionalno rudarenje zlata u malom opsegu navedeno u članku 9.</w:t>
      </w:r>
    </w:p>
    <w:p w:rsidR="00F911B8" w:rsidRDefault="00F911B8">
      <w:pPr>
        <w:autoSpaceDE w:val="0"/>
        <w:autoSpaceDN w:val="0"/>
        <w:adjustRightInd w:val="0"/>
        <w:spacing w:before="0" w:after="0"/>
        <w:rPr>
          <w:rFonts w:eastAsia="Calibri"/>
          <w:noProof/>
          <w:sz w:val="20"/>
          <w:szCs w:val="24"/>
        </w:rPr>
      </w:pPr>
    </w:p>
    <w:p w:rsidR="00F911B8" w:rsidRDefault="003201AA">
      <w:pPr>
        <w:rPr>
          <w:noProof/>
        </w:rPr>
      </w:pPr>
      <w:r>
        <w:rPr>
          <w:noProof/>
        </w:rPr>
        <w:t>Nacionalni plan sadržava sljedeće informacije:</w:t>
      </w:r>
    </w:p>
    <w:p w:rsidR="00F911B8" w:rsidRDefault="003201AA">
      <w:pPr>
        <w:pStyle w:val="Point0letter"/>
        <w:numPr>
          <w:ilvl w:val="1"/>
          <w:numId w:val="11"/>
        </w:numPr>
        <w:rPr>
          <w:noProof/>
        </w:rPr>
      </w:pPr>
      <w:r>
        <w:rPr>
          <w:noProof/>
        </w:rPr>
        <w:t>opće nacionalne ciljeve i pojedinačne ciljeve smanjenja;</w:t>
      </w:r>
    </w:p>
    <w:p w:rsidR="00F911B8" w:rsidRDefault="003201AA">
      <w:pPr>
        <w:pStyle w:val="Point0letter"/>
        <w:numPr>
          <w:ilvl w:val="1"/>
          <w:numId w:val="10"/>
        </w:numPr>
        <w:rPr>
          <w:noProof/>
        </w:rPr>
      </w:pPr>
      <w:r>
        <w:rPr>
          <w:noProof/>
        </w:rPr>
        <w:t>mjere za ukidanje:</w:t>
      </w:r>
    </w:p>
    <w:p w:rsidR="00F911B8" w:rsidRDefault="003201AA">
      <w:pPr>
        <w:pStyle w:val="Point1"/>
        <w:rPr>
          <w:noProof/>
        </w:rPr>
      </w:pPr>
      <w:r>
        <w:rPr>
          <w:noProof/>
        </w:rPr>
        <w:t>i.</w:t>
      </w:r>
      <w:r>
        <w:rPr>
          <w:noProof/>
        </w:rPr>
        <w:tab/>
        <w:t>amalgamacije rude;</w:t>
      </w:r>
    </w:p>
    <w:p w:rsidR="00F911B8" w:rsidRDefault="003201AA">
      <w:pPr>
        <w:pStyle w:val="Point1"/>
        <w:rPr>
          <w:noProof/>
        </w:rPr>
      </w:pPr>
      <w:r>
        <w:rPr>
          <w:noProof/>
        </w:rPr>
        <w:t>ii.</w:t>
      </w:r>
      <w:r>
        <w:rPr>
          <w:noProof/>
        </w:rPr>
        <w:tab/>
        <w:t xml:space="preserve">otvorenog </w:t>
      </w:r>
      <w:r>
        <w:rPr>
          <w:noProof/>
        </w:rPr>
        <w:t>spaljivanja amalgama ili prerađenog amalgama;</w:t>
      </w:r>
    </w:p>
    <w:p w:rsidR="00F911B8" w:rsidRDefault="003201AA">
      <w:pPr>
        <w:pStyle w:val="Point1"/>
        <w:rPr>
          <w:noProof/>
        </w:rPr>
      </w:pPr>
      <w:r>
        <w:rPr>
          <w:noProof/>
        </w:rPr>
        <w:t>iii.</w:t>
      </w:r>
      <w:r>
        <w:rPr>
          <w:noProof/>
        </w:rPr>
        <w:tab/>
        <w:t xml:space="preserve">spaljivanja amalgama u stambenim područjima i </w:t>
      </w:r>
    </w:p>
    <w:p w:rsidR="00F911B8" w:rsidRDefault="003201AA">
      <w:pPr>
        <w:pStyle w:val="Point1"/>
        <w:rPr>
          <w:noProof/>
        </w:rPr>
      </w:pPr>
      <w:r>
        <w:rPr>
          <w:noProof/>
        </w:rPr>
        <w:t>iv.</w:t>
      </w:r>
      <w:r>
        <w:rPr>
          <w:noProof/>
        </w:rPr>
        <w:tab/>
        <w:t>cijanizacije sedimenta, rude ili mulja u koji je dodana živa bez prethodnog uklanjanja žive;</w:t>
      </w:r>
    </w:p>
    <w:p w:rsidR="00F911B8" w:rsidRDefault="003201AA">
      <w:pPr>
        <w:pStyle w:val="Point0letter"/>
        <w:numPr>
          <w:ilvl w:val="1"/>
          <w:numId w:val="10"/>
        </w:numPr>
        <w:rPr>
          <w:noProof/>
        </w:rPr>
      </w:pPr>
      <w:r>
        <w:rPr>
          <w:noProof/>
        </w:rPr>
        <w:t>korake za pojednostavnjivanje formalizacije ili regulacije se</w:t>
      </w:r>
      <w:r>
        <w:rPr>
          <w:noProof/>
        </w:rPr>
        <w:t>ktora tradicionalnog rudarenja zlata u malom opsegu;</w:t>
      </w:r>
    </w:p>
    <w:p w:rsidR="00F911B8" w:rsidRDefault="003201AA">
      <w:pPr>
        <w:pStyle w:val="Point0letter"/>
        <w:numPr>
          <w:ilvl w:val="1"/>
          <w:numId w:val="10"/>
        </w:numPr>
        <w:rPr>
          <w:noProof/>
        </w:rPr>
      </w:pPr>
      <w:r>
        <w:rPr>
          <w:noProof/>
        </w:rPr>
        <w:t>početne procjene količina žive koja se upotrebljava i praksi koje se na njezinu državnom području primjenjuju u tradicionalnom rudarenju zlata u malom opsegu;</w:t>
      </w:r>
    </w:p>
    <w:p w:rsidR="00F911B8" w:rsidRDefault="003201AA">
      <w:pPr>
        <w:pStyle w:val="Point0letter"/>
        <w:numPr>
          <w:ilvl w:val="1"/>
          <w:numId w:val="10"/>
        </w:numPr>
        <w:rPr>
          <w:noProof/>
        </w:rPr>
      </w:pPr>
      <w:r>
        <w:rPr>
          <w:noProof/>
        </w:rPr>
        <w:t xml:space="preserve">strategije za poticanje smanjenja emisija i </w:t>
      </w:r>
      <w:r>
        <w:rPr>
          <w:noProof/>
        </w:rPr>
        <w:t>ispuštanja žive te izloženosti živi u tradicionalnom rudarenju i obradi zlata u malom opsegu, uključujući i metode u kojima se ne primjenjuje živa;</w:t>
      </w:r>
    </w:p>
    <w:p w:rsidR="00F911B8" w:rsidRDefault="003201AA">
      <w:pPr>
        <w:pStyle w:val="Point0letter"/>
        <w:numPr>
          <w:ilvl w:val="1"/>
          <w:numId w:val="10"/>
        </w:numPr>
        <w:rPr>
          <w:noProof/>
        </w:rPr>
      </w:pPr>
      <w:r>
        <w:rPr>
          <w:noProof/>
        </w:rPr>
        <w:t>strategije za upravljanje trgovinom i sprječavanje preusmjeravanja žive i živinih spojeva iz stranih i domać</w:t>
      </w:r>
      <w:r>
        <w:rPr>
          <w:noProof/>
        </w:rPr>
        <w:t>ih izvora za uporabu u tradicionalnom rudarenju zlata u malom opsegu;</w:t>
      </w:r>
    </w:p>
    <w:p w:rsidR="00F911B8" w:rsidRDefault="003201AA">
      <w:pPr>
        <w:pStyle w:val="Point0letter"/>
        <w:numPr>
          <w:ilvl w:val="1"/>
          <w:numId w:val="10"/>
        </w:numPr>
        <w:rPr>
          <w:noProof/>
        </w:rPr>
      </w:pPr>
      <w:r>
        <w:rPr>
          <w:noProof/>
        </w:rPr>
        <w:t>strategije za uključivanje dionika u provedbu i nastavak razvoja nacionalnog akcijskog plana;</w:t>
      </w:r>
    </w:p>
    <w:p w:rsidR="00F911B8" w:rsidRDefault="003201AA">
      <w:pPr>
        <w:pStyle w:val="Point0letter"/>
        <w:numPr>
          <w:ilvl w:val="1"/>
          <w:numId w:val="10"/>
        </w:numPr>
        <w:rPr>
          <w:noProof/>
        </w:rPr>
      </w:pPr>
      <w:r>
        <w:rPr>
          <w:noProof/>
        </w:rPr>
        <w:t>strategiju javnog zdravstva o izloženosti djelatnika u tradicionalnom rudarenju zlata u malo</w:t>
      </w:r>
      <w:r>
        <w:rPr>
          <w:noProof/>
        </w:rPr>
        <w:t>m opsegu i njihove zajednice živi, koja između ostalog mora obuhvaćati prikupljanje zdravstvenih podataka, osposobljavanje zdravstvenih djelatnika i aktivnosti u zdravstvenim ustanovama u cilju podizanja razine svijesti.</w:t>
      </w:r>
    </w:p>
    <w:p w:rsidR="00F911B8" w:rsidRDefault="003201AA">
      <w:pPr>
        <w:pStyle w:val="Point0letter"/>
        <w:numPr>
          <w:ilvl w:val="1"/>
          <w:numId w:val="10"/>
        </w:numPr>
        <w:rPr>
          <w:noProof/>
        </w:rPr>
      </w:pPr>
      <w:r>
        <w:rPr>
          <w:noProof/>
        </w:rPr>
        <w:t>strategije za sprječavanje izloženo</w:t>
      </w:r>
      <w:r>
        <w:rPr>
          <w:noProof/>
        </w:rPr>
        <w:t>sti ranjivih skupina živi koja se upotrebljava u tradicionalnom rudarenju zlata u malom opsegu, osobito djece i žena u reprodukcijskoj dobi, a posebice trudnica;</w:t>
      </w:r>
    </w:p>
    <w:p w:rsidR="00F911B8" w:rsidRDefault="003201AA">
      <w:pPr>
        <w:pStyle w:val="Point0letter"/>
        <w:numPr>
          <w:ilvl w:val="1"/>
          <w:numId w:val="10"/>
        </w:numPr>
        <w:rPr>
          <w:noProof/>
        </w:rPr>
      </w:pPr>
      <w:r>
        <w:rPr>
          <w:noProof/>
        </w:rPr>
        <w:t>strategije za pružanje informacija djelatnicima u tradicionalnom rudarenju zlata u malom opseg</w:t>
      </w:r>
      <w:r>
        <w:rPr>
          <w:noProof/>
        </w:rPr>
        <w:t>u te pogođenim zajednicama i</w:t>
      </w:r>
    </w:p>
    <w:p w:rsidR="00F911B8" w:rsidRDefault="003201AA">
      <w:pPr>
        <w:pStyle w:val="Point0letter"/>
        <w:numPr>
          <w:ilvl w:val="1"/>
          <w:numId w:val="10"/>
        </w:numPr>
        <w:rPr>
          <w:noProof/>
        </w:rPr>
      </w:pPr>
      <w:r>
        <w:rPr>
          <w:noProof/>
        </w:rPr>
        <w:t>raspored provedbe nacionalnog akcijskog plana.</w:t>
      </w:r>
    </w:p>
    <w:p w:rsidR="00F911B8" w:rsidRDefault="003201AA">
      <w:pPr>
        <w:pStyle w:val="Annexetitre"/>
        <w:rPr>
          <w:noProof/>
          <w:u w:val="none"/>
        </w:rPr>
      </w:pPr>
      <w:r>
        <w:rPr>
          <w:noProof/>
        </w:rPr>
        <w:br w:type="page"/>
      </w:r>
      <w:r>
        <w:rPr>
          <w:noProof/>
          <w:u w:val="none"/>
        </w:rPr>
        <w:t>PRILOG V.</w:t>
      </w:r>
    </w:p>
    <w:p w:rsidR="00F911B8" w:rsidRDefault="003201AA">
      <w:pPr>
        <w:pStyle w:val="NormalCentered"/>
        <w:rPr>
          <w:b/>
          <w:noProof/>
        </w:rPr>
      </w:pPr>
      <w:r>
        <w:rPr>
          <w:b/>
          <w:noProof/>
        </w:rPr>
        <w:t>Korelacijska tablica</w:t>
      </w:r>
    </w:p>
    <w:p w:rsidR="00F911B8" w:rsidRDefault="00F911B8">
      <w:pPr>
        <w:rPr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5"/>
      </w:tblGrid>
      <w:tr w:rsidR="00F911B8">
        <w:trPr>
          <w:trHeight w:val="968"/>
        </w:trPr>
        <w:tc>
          <w:tcPr>
            <w:tcW w:w="4644" w:type="dxa"/>
          </w:tcPr>
          <w:p w:rsidR="00F911B8" w:rsidRDefault="00F911B8">
            <w:pPr>
              <w:jc w:val="center"/>
              <w:rPr>
                <w:noProof/>
              </w:rPr>
            </w:pPr>
          </w:p>
          <w:p w:rsidR="00F911B8" w:rsidRDefault="003201AA">
            <w:pPr>
              <w:jc w:val="center"/>
              <w:rPr>
                <w:noProof/>
              </w:rPr>
            </w:pPr>
            <w:r>
              <w:rPr>
                <w:b/>
                <w:noProof/>
              </w:rPr>
              <w:t>Uredba (EZ) br. 1102/2008</w:t>
            </w:r>
          </w:p>
          <w:p w:rsidR="00F911B8" w:rsidRDefault="00F911B8">
            <w:pPr>
              <w:jc w:val="center"/>
              <w:rPr>
                <w:noProof/>
              </w:rPr>
            </w:pPr>
          </w:p>
          <w:p w:rsidR="00F911B8" w:rsidRDefault="00F911B8">
            <w:pPr>
              <w:jc w:val="center"/>
              <w:rPr>
                <w:noProof/>
              </w:rPr>
            </w:pPr>
          </w:p>
        </w:tc>
        <w:tc>
          <w:tcPr>
            <w:tcW w:w="4645" w:type="dxa"/>
          </w:tcPr>
          <w:p w:rsidR="00F911B8" w:rsidRDefault="00F911B8">
            <w:pPr>
              <w:jc w:val="center"/>
              <w:rPr>
                <w:b/>
                <w:noProof/>
                <w:szCs w:val="22"/>
              </w:rPr>
            </w:pPr>
          </w:p>
          <w:p w:rsidR="00F911B8" w:rsidRDefault="003201AA">
            <w:pPr>
              <w:jc w:val="center"/>
              <w:rPr>
                <w:noProof/>
              </w:rPr>
            </w:pPr>
            <w:r>
              <w:rPr>
                <w:b/>
                <w:noProof/>
              </w:rPr>
              <w:t>Ova Uredba</w:t>
            </w:r>
          </w:p>
        </w:tc>
      </w:tr>
      <w:tr w:rsidR="00F911B8">
        <w:tc>
          <w:tcPr>
            <w:tcW w:w="4644" w:type="dxa"/>
          </w:tcPr>
          <w:p w:rsidR="00F911B8" w:rsidRDefault="003201AA">
            <w:pPr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Članak 1. stavak 1.</w:t>
            </w:r>
          </w:p>
          <w:p w:rsidR="00F911B8" w:rsidRDefault="00F911B8">
            <w:pPr>
              <w:jc w:val="center"/>
              <w:rPr>
                <w:noProof/>
                <w:szCs w:val="24"/>
              </w:rPr>
            </w:pPr>
          </w:p>
        </w:tc>
        <w:tc>
          <w:tcPr>
            <w:tcW w:w="4645" w:type="dxa"/>
          </w:tcPr>
          <w:p w:rsidR="00F911B8" w:rsidRDefault="003201AA">
            <w:pPr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Članak 3. stavak 1. prvi podstavak</w:t>
            </w:r>
          </w:p>
          <w:p w:rsidR="00F911B8" w:rsidRDefault="00F911B8">
            <w:pPr>
              <w:jc w:val="center"/>
              <w:rPr>
                <w:noProof/>
                <w:szCs w:val="24"/>
              </w:rPr>
            </w:pPr>
          </w:p>
        </w:tc>
      </w:tr>
      <w:tr w:rsidR="00F911B8">
        <w:tc>
          <w:tcPr>
            <w:tcW w:w="4644" w:type="dxa"/>
          </w:tcPr>
          <w:p w:rsidR="00F911B8" w:rsidRDefault="003201AA">
            <w:pPr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Članak 1. stavak 2.</w:t>
            </w:r>
          </w:p>
          <w:p w:rsidR="00F911B8" w:rsidRDefault="00F911B8">
            <w:pPr>
              <w:jc w:val="center"/>
              <w:rPr>
                <w:noProof/>
                <w:szCs w:val="24"/>
              </w:rPr>
            </w:pPr>
          </w:p>
        </w:tc>
        <w:tc>
          <w:tcPr>
            <w:tcW w:w="4645" w:type="dxa"/>
          </w:tcPr>
          <w:p w:rsidR="00F911B8" w:rsidRDefault="003201AA">
            <w:pPr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 xml:space="preserve">Članak 3. stavak 1. drugi </w:t>
            </w:r>
            <w:r>
              <w:rPr>
                <w:noProof/>
              </w:rPr>
              <w:t>podstavak</w:t>
            </w:r>
          </w:p>
          <w:p w:rsidR="00F911B8" w:rsidRDefault="00F911B8">
            <w:pPr>
              <w:jc w:val="center"/>
              <w:rPr>
                <w:noProof/>
                <w:szCs w:val="24"/>
              </w:rPr>
            </w:pPr>
          </w:p>
        </w:tc>
      </w:tr>
      <w:tr w:rsidR="00F911B8">
        <w:tc>
          <w:tcPr>
            <w:tcW w:w="4644" w:type="dxa"/>
          </w:tcPr>
          <w:p w:rsidR="00F911B8" w:rsidRDefault="003201AA">
            <w:pPr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Članak 1. stavak 3.</w:t>
            </w:r>
          </w:p>
          <w:p w:rsidR="00F911B8" w:rsidRDefault="00F911B8">
            <w:pPr>
              <w:jc w:val="center"/>
              <w:rPr>
                <w:noProof/>
                <w:szCs w:val="24"/>
              </w:rPr>
            </w:pPr>
          </w:p>
        </w:tc>
        <w:tc>
          <w:tcPr>
            <w:tcW w:w="4645" w:type="dxa"/>
          </w:tcPr>
          <w:p w:rsidR="00F911B8" w:rsidRDefault="003201AA">
            <w:pPr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Članak 3. stavak 2.</w:t>
            </w:r>
          </w:p>
          <w:p w:rsidR="00F911B8" w:rsidRDefault="00F911B8">
            <w:pPr>
              <w:jc w:val="center"/>
              <w:rPr>
                <w:noProof/>
                <w:szCs w:val="24"/>
              </w:rPr>
            </w:pPr>
          </w:p>
        </w:tc>
      </w:tr>
      <w:tr w:rsidR="00F911B8">
        <w:tc>
          <w:tcPr>
            <w:tcW w:w="4644" w:type="dxa"/>
          </w:tcPr>
          <w:p w:rsidR="00F911B8" w:rsidRDefault="003201AA">
            <w:pPr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Članak 2.</w:t>
            </w:r>
          </w:p>
          <w:p w:rsidR="00F911B8" w:rsidRDefault="00F911B8">
            <w:pPr>
              <w:jc w:val="center"/>
              <w:rPr>
                <w:noProof/>
                <w:szCs w:val="24"/>
              </w:rPr>
            </w:pPr>
          </w:p>
        </w:tc>
        <w:tc>
          <w:tcPr>
            <w:tcW w:w="4645" w:type="dxa"/>
          </w:tcPr>
          <w:p w:rsidR="00F911B8" w:rsidRDefault="003201AA">
            <w:pPr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Članak 11.</w:t>
            </w:r>
          </w:p>
          <w:p w:rsidR="00F911B8" w:rsidRDefault="00F911B8">
            <w:pPr>
              <w:jc w:val="center"/>
              <w:rPr>
                <w:noProof/>
                <w:szCs w:val="24"/>
              </w:rPr>
            </w:pPr>
          </w:p>
        </w:tc>
      </w:tr>
      <w:tr w:rsidR="00F911B8">
        <w:tc>
          <w:tcPr>
            <w:tcW w:w="4644" w:type="dxa"/>
          </w:tcPr>
          <w:p w:rsidR="00F911B8" w:rsidRDefault="003201AA">
            <w:pPr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Članak 3. stavak 1. prvi podstavak</w:t>
            </w:r>
          </w:p>
          <w:p w:rsidR="00F911B8" w:rsidRDefault="00F911B8">
            <w:pPr>
              <w:jc w:val="center"/>
              <w:rPr>
                <w:noProof/>
                <w:szCs w:val="24"/>
              </w:rPr>
            </w:pPr>
          </w:p>
        </w:tc>
        <w:tc>
          <w:tcPr>
            <w:tcW w:w="4645" w:type="dxa"/>
          </w:tcPr>
          <w:p w:rsidR="00F911B8" w:rsidRDefault="003201AA">
            <w:pPr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Članak 13. stavak 1.</w:t>
            </w:r>
          </w:p>
          <w:p w:rsidR="00F911B8" w:rsidRDefault="00F911B8">
            <w:pPr>
              <w:jc w:val="center"/>
              <w:rPr>
                <w:noProof/>
                <w:szCs w:val="24"/>
              </w:rPr>
            </w:pPr>
          </w:p>
        </w:tc>
      </w:tr>
      <w:tr w:rsidR="00F911B8">
        <w:tc>
          <w:tcPr>
            <w:tcW w:w="4644" w:type="dxa"/>
          </w:tcPr>
          <w:p w:rsidR="00F911B8" w:rsidRDefault="003201AA">
            <w:pPr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Članak 3. stavak 1. drugi podstavak</w:t>
            </w:r>
          </w:p>
          <w:p w:rsidR="00F911B8" w:rsidRDefault="00F911B8">
            <w:pPr>
              <w:jc w:val="center"/>
              <w:rPr>
                <w:noProof/>
                <w:szCs w:val="24"/>
              </w:rPr>
            </w:pPr>
          </w:p>
        </w:tc>
        <w:tc>
          <w:tcPr>
            <w:tcW w:w="4645" w:type="dxa"/>
          </w:tcPr>
          <w:p w:rsidR="00F911B8" w:rsidRDefault="003201AA">
            <w:pPr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_</w:t>
            </w:r>
          </w:p>
        </w:tc>
      </w:tr>
      <w:tr w:rsidR="00F911B8">
        <w:tc>
          <w:tcPr>
            <w:tcW w:w="4644" w:type="dxa"/>
          </w:tcPr>
          <w:p w:rsidR="00F911B8" w:rsidRDefault="003201AA">
            <w:pPr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Članak 3. stavak 2.</w:t>
            </w:r>
          </w:p>
          <w:p w:rsidR="00F911B8" w:rsidRDefault="00F911B8">
            <w:pPr>
              <w:jc w:val="center"/>
              <w:rPr>
                <w:noProof/>
                <w:szCs w:val="24"/>
              </w:rPr>
            </w:pPr>
          </w:p>
        </w:tc>
        <w:tc>
          <w:tcPr>
            <w:tcW w:w="4645" w:type="dxa"/>
          </w:tcPr>
          <w:p w:rsidR="00F911B8" w:rsidRDefault="003201AA">
            <w:pPr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 xml:space="preserve">_ </w:t>
            </w:r>
          </w:p>
        </w:tc>
      </w:tr>
      <w:tr w:rsidR="00F911B8">
        <w:tc>
          <w:tcPr>
            <w:tcW w:w="4644" w:type="dxa"/>
          </w:tcPr>
          <w:p w:rsidR="00F911B8" w:rsidRDefault="003201AA">
            <w:pPr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Članak 4. stavak 1.</w:t>
            </w:r>
          </w:p>
          <w:p w:rsidR="00F911B8" w:rsidRDefault="00F911B8">
            <w:pPr>
              <w:jc w:val="center"/>
              <w:rPr>
                <w:noProof/>
                <w:szCs w:val="24"/>
              </w:rPr>
            </w:pPr>
          </w:p>
        </w:tc>
        <w:tc>
          <w:tcPr>
            <w:tcW w:w="4645" w:type="dxa"/>
          </w:tcPr>
          <w:p w:rsidR="00F911B8" w:rsidRDefault="003201AA">
            <w:pPr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 xml:space="preserve">_ </w:t>
            </w:r>
          </w:p>
        </w:tc>
      </w:tr>
      <w:tr w:rsidR="00F911B8">
        <w:tc>
          <w:tcPr>
            <w:tcW w:w="4644" w:type="dxa"/>
          </w:tcPr>
          <w:p w:rsidR="00F911B8" w:rsidRDefault="003201AA">
            <w:pPr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Članak 4. stavak 2.</w:t>
            </w:r>
          </w:p>
          <w:p w:rsidR="00F911B8" w:rsidRDefault="00F911B8">
            <w:pPr>
              <w:jc w:val="center"/>
              <w:rPr>
                <w:noProof/>
                <w:szCs w:val="24"/>
              </w:rPr>
            </w:pPr>
          </w:p>
        </w:tc>
        <w:tc>
          <w:tcPr>
            <w:tcW w:w="4645" w:type="dxa"/>
          </w:tcPr>
          <w:p w:rsidR="00F911B8" w:rsidRDefault="003201AA">
            <w:pPr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 xml:space="preserve">_ </w:t>
            </w:r>
          </w:p>
        </w:tc>
      </w:tr>
      <w:tr w:rsidR="00F911B8">
        <w:tc>
          <w:tcPr>
            <w:tcW w:w="4644" w:type="dxa"/>
          </w:tcPr>
          <w:p w:rsidR="00F911B8" w:rsidRDefault="003201AA">
            <w:pPr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Članak 4. stavak 3.</w:t>
            </w:r>
          </w:p>
          <w:p w:rsidR="00F911B8" w:rsidRDefault="00F911B8">
            <w:pPr>
              <w:jc w:val="center"/>
              <w:rPr>
                <w:noProof/>
                <w:szCs w:val="24"/>
              </w:rPr>
            </w:pPr>
          </w:p>
        </w:tc>
        <w:tc>
          <w:tcPr>
            <w:tcW w:w="4645" w:type="dxa"/>
          </w:tcPr>
          <w:p w:rsidR="00F911B8" w:rsidRDefault="003201AA">
            <w:pPr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 xml:space="preserve">_ </w:t>
            </w:r>
          </w:p>
        </w:tc>
      </w:tr>
      <w:tr w:rsidR="00F911B8">
        <w:tc>
          <w:tcPr>
            <w:tcW w:w="4644" w:type="dxa"/>
          </w:tcPr>
          <w:p w:rsidR="00F911B8" w:rsidRDefault="003201AA">
            <w:pPr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Članak 5. stavak 1.</w:t>
            </w:r>
          </w:p>
          <w:p w:rsidR="00F911B8" w:rsidRDefault="00F911B8">
            <w:pPr>
              <w:jc w:val="center"/>
              <w:rPr>
                <w:noProof/>
                <w:szCs w:val="24"/>
              </w:rPr>
            </w:pPr>
          </w:p>
        </w:tc>
        <w:tc>
          <w:tcPr>
            <w:tcW w:w="4645" w:type="dxa"/>
          </w:tcPr>
          <w:p w:rsidR="00F911B8" w:rsidRDefault="003201AA">
            <w:pPr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 xml:space="preserve">_ </w:t>
            </w:r>
          </w:p>
        </w:tc>
      </w:tr>
      <w:tr w:rsidR="00F911B8">
        <w:tc>
          <w:tcPr>
            <w:tcW w:w="4644" w:type="dxa"/>
          </w:tcPr>
          <w:p w:rsidR="00F911B8" w:rsidRDefault="003201AA">
            <w:pPr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Članak 5. stavak 2.</w:t>
            </w:r>
          </w:p>
          <w:p w:rsidR="00F911B8" w:rsidRDefault="00F911B8">
            <w:pPr>
              <w:jc w:val="center"/>
              <w:rPr>
                <w:noProof/>
                <w:szCs w:val="24"/>
              </w:rPr>
            </w:pPr>
          </w:p>
        </w:tc>
        <w:tc>
          <w:tcPr>
            <w:tcW w:w="4645" w:type="dxa"/>
          </w:tcPr>
          <w:p w:rsidR="00F911B8" w:rsidRDefault="003201AA">
            <w:pPr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 xml:space="preserve">_ </w:t>
            </w:r>
          </w:p>
        </w:tc>
      </w:tr>
      <w:tr w:rsidR="00F911B8">
        <w:tc>
          <w:tcPr>
            <w:tcW w:w="4644" w:type="dxa"/>
          </w:tcPr>
          <w:p w:rsidR="00F911B8" w:rsidRDefault="003201AA">
            <w:pPr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Članak 5. stavak 3.</w:t>
            </w:r>
          </w:p>
          <w:p w:rsidR="00F911B8" w:rsidRDefault="00F911B8">
            <w:pPr>
              <w:jc w:val="center"/>
              <w:rPr>
                <w:noProof/>
                <w:szCs w:val="24"/>
              </w:rPr>
            </w:pPr>
          </w:p>
        </w:tc>
        <w:tc>
          <w:tcPr>
            <w:tcW w:w="4645" w:type="dxa"/>
          </w:tcPr>
          <w:p w:rsidR="00F911B8" w:rsidRDefault="003201AA">
            <w:pPr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 xml:space="preserve">_ </w:t>
            </w:r>
          </w:p>
        </w:tc>
      </w:tr>
      <w:tr w:rsidR="00F911B8">
        <w:tc>
          <w:tcPr>
            <w:tcW w:w="4644" w:type="dxa"/>
          </w:tcPr>
          <w:p w:rsidR="00F911B8" w:rsidRDefault="003201AA">
            <w:pPr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Članak 6. stavak 1.</w:t>
            </w:r>
          </w:p>
          <w:p w:rsidR="00F911B8" w:rsidRDefault="00F911B8">
            <w:pPr>
              <w:jc w:val="center"/>
              <w:rPr>
                <w:noProof/>
                <w:szCs w:val="24"/>
              </w:rPr>
            </w:pPr>
          </w:p>
        </w:tc>
        <w:tc>
          <w:tcPr>
            <w:tcW w:w="4645" w:type="dxa"/>
          </w:tcPr>
          <w:p w:rsidR="00F911B8" w:rsidRDefault="003201AA">
            <w:pPr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Članak 12. stavak 1.</w:t>
            </w:r>
          </w:p>
          <w:p w:rsidR="00F911B8" w:rsidRDefault="00F911B8">
            <w:pPr>
              <w:jc w:val="center"/>
              <w:rPr>
                <w:noProof/>
                <w:szCs w:val="24"/>
              </w:rPr>
            </w:pPr>
          </w:p>
        </w:tc>
      </w:tr>
      <w:tr w:rsidR="00F911B8">
        <w:tc>
          <w:tcPr>
            <w:tcW w:w="4644" w:type="dxa"/>
          </w:tcPr>
          <w:p w:rsidR="00F911B8" w:rsidRDefault="003201AA">
            <w:pPr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Članak 6. stavak 2.</w:t>
            </w:r>
          </w:p>
          <w:p w:rsidR="00F911B8" w:rsidRDefault="00F911B8">
            <w:pPr>
              <w:jc w:val="center"/>
              <w:rPr>
                <w:noProof/>
                <w:szCs w:val="24"/>
              </w:rPr>
            </w:pPr>
          </w:p>
        </w:tc>
        <w:tc>
          <w:tcPr>
            <w:tcW w:w="4645" w:type="dxa"/>
          </w:tcPr>
          <w:p w:rsidR="00F911B8" w:rsidRDefault="003201AA">
            <w:pPr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Članak 12. stavak 1.</w:t>
            </w:r>
          </w:p>
          <w:p w:rsidR="00F911B8" w:rsidRDefault="00F911B8">
            <w:pPr>
              <w:jc w:val="center"/>
              <w:rPr>
                <w:noProof/>
                <w:szCs w:val="24"/>
              </w:rPr>
            </w:pPr>
          </w:p>
        </w:tc>
      </w:tr>
      <w:tr w:rsidR="00F911B8">
        <w:tc>
          <w:tcPr>
            <w:tcW w:w="4644" w:type="dxa"/>
          </w:tcPr>
          <w:p w:rsidR="00F911B8" w:rsidRDefault="003201AA">
            <w:pPr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Članak 6. stavak 3.</w:t>
            </w:r>
          </w:p>
          <w:p w:rsidR="00F911B8" w:rsidRDefault="00F911B8">
            <w:pPr>
              <w:jc w:val="center"/>
              <w:rPr>
                <w:noProof/>
                <w:szCs w:val="24"/>
              </w:rPr>
            </w:pPr>
          </w:p>
        </w:tc>
        <w:tc>
          <w:tcPr>
            <w:tcW w:w="4645" w:type="dxa"/>
          </w:tcPr>
          <w:p w:rsidR="00F911B8" w:rsidRDefault="003201AA">
            <w:pPr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Članak 12. stavak 1.</w:t>
            </w:r>
          </w:p>
        </w:tc>
      </w:tr>
      <w:tr w:rsidR="00F911B8">
        <w:tc>
          <w:tcPr>
            <w:tcW w:w="4644" w:type="dxa"/>
          </w:tcPr>
          <w:p w:rsidR="00F911B8" w:rsidRDefault="003201AA">
            <w:pPr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Članak 6. stavak 4.</w:t>
            </w:r>
          </w:p>
          <w:p w:rsidR="00F911B8" w:rsidRDefault="00F911B8">
            <w:pPr>
              <w:jc w:val="center"/>
              <w:rPr>
                <w:noProof/>
                <w:szCs w:val="24"/>
              </w:rPr>
            </w:pPr>
          </w:p>
        </w:tc>
        <w:tc>
          <w:tcPr>
            <w:tcW w:w="4645" w:type="dxa"/>
          </w:tcPr>
          <w:p w:rsidR="00F911B8" w:rsidRDefault="003201AA">
            <w:pPr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 xml:space="preserve">_ </w:t>
            </w:r>
          </w:p>
        </w:tc>
      </w:tr>
      <w:tr w:rsidR="00F911B8">
        <w:tc>
          <w:tcPr>
            <w:tcW w:w="4644" w:type="dxa"/>
          </w:tcPr>
          <w:p w:rsidR="00F911B8" w:rsidRDefault="003201AA">
            <w:pPr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Članak 7.</w:t>
            </w:r>
          </w:p>
          <w:p w:rsidR="00F911B8" w:rsidRDefault="00F911B8">
            <w:pPr>
              <w:jc w:val="center"/>
              <w:rPr>
                <w:noProof/>
                <w:szCs w:val="24"/>
              </w:rPr>
            </w:pPr>
          </w:p>
        </w:tc>
        <w:tc>
          <w:tcPr>
            <w:tcW w:w="4645" w:type="dxa"/>
          </w:tcPr>
          <w:p w:rsidR="00F911B8" w:rsidRDefault="003201AA">
            <w:pPr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Članak 14.</w:t>
            </w:r>
          </w:p>
        </w:tc>
      </w:tr>
      <w:tr w:rsidR="00F911B8">
        <w:tc>
          <w:tcPr>
            <w:tcW w:w="4644" w:type="dxa"/>
          </w:tcPr>
          <w:p w:rsidR="00F911B8" w:rsidRDefault="003201AA">
            <w:pPr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Članak 8. stavak 1.</w:t>
            </w:r>
          </w:p>
          <w:p w:rsidR="00F911B8" w:rsidRDefault="00F911B8">
            <w:pPr>
              <w:jc w:val="center"/>
              <w:rPr>
                <w:noProof/>
                <w:szCs w:val="24"/>
              </w:rPr>
            </w:pPr>
          </w:p>
        </w:tc>
        <w:tc>
          <w:tcPr>
            <w:tcW w:w="4645" w:type="dxa"/>
          </w:tcPr>
          <w:p w:rsidR="00F911B8" w:rsidRDefault="003201AA">
            <w:pPr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 xml:space="preserve">_ </w:t>
            </w:r>
          </w:p>
        </w:tc>
      </w:tr>
      <w:tr w:rsidR="00F911B8">
        <w:tc>
          <w:tcPr>
            <w:tcW w:w="4644" w:type="dxa"/>
          </w:tcPr>
          <w:p w:rsidR="00F911B8" w:rsidRDefault="003201AA">
            <w:pPr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Članak 8. stavak 2.</w:t>
            </w:r>
          </w:p>
          <w:p w:rsidR="00F911B8" w:rsidRDefault="00F911B8">
            <w:pPr>
              <w:jc w:val="center"/>
              <w:rPr>
                <w:noProof/>
                <w:szCs w:val="24"/>
              </w:rPr>
            </w:pPr>
          </w:p>
        </w:tc>
        <w:tc>
          <w:tcPr>
            <w:tcW w:w="4645" w:type="dxa"/>
          </w:tcPr>
          <w:p w:rsidR="00F911B8" w:rsidRDefault="003201AA">
            <w:pPr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 xml:space="preserve">_ </w:t>
            </w:r>
          </w:p>
        </w:tc>
      </w:tr>
      <w:tr w:rsidR="00F911B8">
        <w:tc>
          <w:tcPr>
            <w:tcW w:w="4644" w:type="dxa"/>
          </w:tcPr>
          <w:p w:rsidR="00F911B8" w:rsidRDefault="003201AA">
            <w:pPr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Članak 8. stavak 3.</w:t>
            </w:r>
          </w:p>
          <w:p w:rsidR="00F911B8" w:rsidRDefault="00F911B8">
            <w:pPr>
              <w:jc w:val="center"/>
              <w:rPr>
                <w:noProof/>
                <w:szCs w:val="24"/>
              </w:rPr>
            </w:pPr>
          </w:p>
        </w:tc>
        <w:tc>
          <w:tcPr>
            <w:tcW w:w="4645" w:type="dxa"/>
          </w:tcPr>
          <w:p w:rsidR="00F911B8" w:rsidRDefault="003201AA">
            <w:pPr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 xml:space="preserve">_ </w:t>
            </w:r>
          </w:p>
        </w:tc>
      </w:tr>
      <w:tr w:rsidR="00F911B8">
        <w:tc>
          <w:tcPr>
            <w:tcW w:w="4644" w:type="dxa"/>
          </w:tcPr>
          <w:p w:rsidR="00F911B8" w:rsidRDefault="003201AA">
            <w:pPr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Članak 8. stavak 4.</w:t>
            </w:r>
          </w:p>
          <w:p w:rsidR="00F911B8" w:rsidRDefault="00F911B8">
            <w:pPr>
              <w:jc w:val="center"/>
              <w:rPr>
                <w:noProof/>
                <w:szCs w:val="24"/>
              </w:rPr>
            </w:pPr>
          </w:p>
        </w:tc>
        <w:tc>
          <w:tcPr>
            <w:tcW w:w="4645" w:type="dxa"/>
          </w:tcPr>
          <w:p w:rsidR="00F911B8" w:rsidRDefault="003201AA">
            <w:pPr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 xml:space="preserve">_ </w:t>
            </w:r>
          </w:p>
        </w:tc>
      </w:tr>
      <w:tr w:rsidR="00F911B8">
        <w:tc>
          <w:tcPr>
            <w:tcW w:w="4644" w:type="dxa"/>
          </w:tcPr>
          <w:p w:rsidR="00F911B8" w:rsidRDefault="003201AA">
            <w:pPr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Članak 8. stavak 5.</w:t>
            </w:r>
          </w:p>
          <w:p w:rsidR="00F911B8" w:rsidRDefault="00F911B8">
            <w:pPr>
              <w:jc w:val="center"/>
              <w:rPr>
                <w:noProof/>
                <w:szCs w:val="24"/>
              </w:rPr>
            </w:pPr>
          </w:p>
        </w:tc>
        <w:tc>
          <w:tcPr>
            <w:tcW w:w="4645" w:type="dxa"/>
          </w:tcPr>
          <w:p w:rsidR="00F911B8" w:rsidRDefault="003201AA">
            <w:pPr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 xml:space="preserve">_ </w:t>
            </w:r>
          </w:p>
        </w:tc>
      </w:tr>
      <w:tr w:rsidR="00F911B8">
        <w:tc>
          <w:tcPr>
            <w:tcW w:w="4644" w:type="dxa"/>
          </w:tcPr>
          <w:p w:rsidR="00F911B8" w:rsidRDefault="003201AA">
            <w:pPr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Članak 9.</w:t>
            </w:r>
          </w:p>
          <w:p w:rsidR="00F911B8" w:rsidRDefault="00F911B8">
            <w:pPr>
              <w:jc w:val="center"/>
              <w:rPr>
                <w:noProof/>
                <w:szCs w:val="24"/>
              </w:rPr>
            </w:pPr>
          </w:p>
        </w:tc>
        <w:tc>
          <w:tcPr>
            <w:tcW w:w="4645" w:type="dxa"/>
          </w:tcPr>
          <w:p w:rsidR="00F911B8" w:rsidRDefault="003201AA">
            <w:pPr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 xml:space="preserve">_ </w:t>
            </w:r>
          </w:p>
        </w:tc>
      </w:tr>
    </w:tbl>
    <w:p w:rsidR="00F911B8" w:rsidRDefault="00F911B8">
      <w:pPr>
        <w:rPr>
          <w:noProof/>
        </w:rPr>
      </w:pPr>
    </w:p>
    <w:sectPr w:rsidR="00F911B8" w:rsidSect="003201AA">
      <w:footerReference w:type="default" r:id="rId16"/>
      <w:footerReference w:type="first" r:id="rId17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1B8" w:rsidRDefault="003201AA">
      <w:pPr>
        <w:spacing w:before="0" w:after="0"/>
      </w:pPr>
      <w:r>
        <w:separator/>
      </w:r>
    </w:p>
  </w:endnote>
  <w:endnote w:type="continuationSeparator" w:id="0">
    <w:p w:rsidR="00F911B8" w:rsidRDefault="003201A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1AA" w:rsidRPr="003201AA" w:rsidRDefault="003201AA" w:rsidP="003201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1B8" w:rsidRPr="003201AA" w:rsidRDefault="003201AA" w:rsidP="003201AA">
    <w:pPr>
      <w:pStyle w:val="Footer"/>
      <w:rPr>
        <w:rFonts w:ascii="Arial" w:hAnsi="Arial" w:cs="Arial"/>
        <w:b/>
        <w:sz w:val="48"/>
      </w:rPr>
    </w:pPr>
    <w:r w:rsidRPr="003201AA">
      <w:rPr>
        <w:rFonts w:ascii="Arial" w:hAnsi="Arial" w:cs="Arial"/>
        <w:b/>
        <w:sz w:val="48"/>
      </w:rPr>
      <w:t>HR</w:t>
    </w:r>
    <w:r w:rsidRPr="003201AA">
      <w:rPr>
        <w:rFonts w:ascii="Arial" w:hAnsi="Arial" w:cs="Arial"/>
        <w:b/>
        <w:sz w:val="48"/>
      </w:rPr>
      <w:tab/>
    </w:r>
    <w:r w:rsidRPr="003201AA">
      <w:rPr>
        <w:rFonts w:ascii="Arial" w:hAnsi="Arial" w:cs="Arial"/>
        <w:b/>
        <w:sz w:val="48"/>
      </w:rPr>
      <w:tab/>
    </w:r>
    <w:fldSimple w:instr=" DOCVARIABLE &quot;LW_Confidence&quot; \* MERGEFORMAT ">
      <w:r>
        <w:t xml:space="preserve"> </w:t>
      </w:r>
    </w:fldSimple>
    <w:r w:rsidRPr="003201AA">
      <w:tab/>
    </w:r>
    <w:proofErr w:type="spellStart"/>
    <w:r w:rsidRPr="003201AA">
      <w:rPr>
        <w:rFonts w:ascii="Arial" w:hAnsi="Arial" w:cs="Arial"/>
        <w:b/>
        <w:sz w:val="48"/>
      </w:rPr>
      <w:t>HR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1AA" w:rsidRPr="003201AA" w:rsidRDefault="003201AA" w:rsidP="003201AA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1AA" w:rsidRPr="003201AA" w:rsidRDefault="003201AA" w:rsidP="003201AA">
    <w:pPr>
      <w:pStyle w:val="Footer"/>
      <w:rPr>
        <w:rFonts w:ascii="Arial" w:hAnsi="Arial" w:cs="Arial"/>
        <w:b/>
        <w:sz w:val="48"/>
      </w:rPr>
    </w:pPr>
    <w:r w:rsidRPr="003201AA">
      <w:rPr>
        <w:rFonts w:ascii="Arial" w:hAnsi="Arial" w:cs="Arial"/>
        <w:b/>
        <w:sz w:val="48"/>
      </w:rPr>
      <w:t>HR</w:t>
    </w:r>
    <w:r w:rsidRPr="003201AA"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8</w:t>
    </w:r>
    <w:r>
      <w:fldChar w:fldCharType="end"/>
    </w:r>
    <w:r>
      <w:tab/>
    </w:r>
    <w:fldSimple w:instr=" DOCVARIABLE &quot;LW_Confidence&quot; \* MERGEFORMAT ">
      <w:r>
        <w:t xml:space="preserve"> </w:t>
      </w:r>
    </w:fldSimple>
    <w:r w:rsidRPr="003201AA">
      <w:tab/>
    </w:r>
    <w:r w:rsidRPr="003201AA">
      <w:rPr>
        <w:rFonts w:ascii="Arial" w:hAnsi="Arial" w:cs="Arial"/>
        <w:b/>
        <w:sz w:val="48"/>
      </w:rPr>
      <w:t>HR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1AA" w:rsidRPr="003201AA" w:rsidRDefault="003201AA" w:rsidP="003201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1B8" w:rsidRDefault="003201AA">
      <w:pPr>
        <w:spacing w:before="0" w:after="0"/>
      </w:pPr>
      <w:r>
        <w:separator/>
      </w:r>
    </w:p>
  </w:footnote>
  <w:footnote w:type="continuationSeparator" w:id="0">
    <w:p w:rsidR="00F911B8" w:rsidRDefault="003201AA">
      <w:pPr>
        <w:spacing w:before="0" w:after="0"/>
      </w:pPr>
      <w:r>
        <w:continuationSeparator/>
      </w:r>
    </w:p>
  </w:footnote>
  <w:footnote w:id="1">
    <w:p w:rsidR="00F911B8" w:rsidRDefault="003201AA">
      <w:pPr>
        <w:pStyle w:val="FootnoteText"/>
        <w:ind w:left="360" w:hanging="360"/>
      </w:pPr>
      <w:r>
        <w:rPr>
          <w:rStyle w:val="FootnoteReference"/>
        </w:rPr>
        <w:footnoteRef/>
      </w:r>
      <w:r>
        <w:tab/>
      </w:r>
      <w:r>
        <w:rPr>
          <w:rStyle w:val="Strong"/>
          <w:b w:val="0"/>
        </w:rPr>
        <w:t xml:space="preserve">Uredba (EZ) br. 1223/2009 Europskog parlamenta i Vijeća od 30. studenoga 2009. o kozmetičkim proizvodima </w:t>
      </w:r>
      <w:r>
        <w:rPr>
          <w:rStyle w:val="Strong"/>
          <w:b w:val="0"/>
          <w:color w:val="444444"/>
        </w:rPr>
        <w:t>(</w:t>
      </w:r>
      <w:r>
        <w:t xml:space="preserve">SL L 342, 22.12.2009., str. 59.). </w:t>
      </w:r>
    </w:p>
  </w:footnote>
  <w:footnote w:id="2">
    <w:p w:rsidR="00F911B8" w:rsidRDefault="003201AA">
      <w:pPr>
        <w:pStyle w:val="FootnoteText"/>
        <w:ind w:left="360" w:hanging="360"/>
      </w:pPr>
      <w:r>
        <w:rPr>
          <w:rStyle w:val="FootnoteReference"/>
        </w:rPr>
        <w:footnoteRef/>
      </w:r>
      <w:r>
        <w:tab/>
      </w:r>
      <w:r>
        <w:t>Direktiva 2000/53/EZ Europskog parlamenta i Vijeća od 18. rujna 2000. o otpadnim vozilima (SL L 269, 21.10.2000.,</w:t>
      </w:r>
      <w:r>
        <w:t xml:space="preserve"> str. 34.).</w:t>
      </w:r>
    </w:p>
  </w:footnote>
  <w:footnote w:id="3">
    <w:p w:rsidR="00F911B8" w:rsidRDefault="003201AA">
      <w:pPr>
        <w:pStyle w:val="FootnoteText"/>
        <w:ind w:left="360" w:hanging="360"/>
      </w:pPr>
      <w:r>
        <w:rPr>
          <w:rStyle w:val="FootnoteReference"/>
        </w:rPr>
        <w:footnoteRef/>
      </w:r>
      <w:r>
        <w:tab/>
      </w:r>
      <w:r>
        <w:rPr>
          <w:rStyle w:val="Strong"/>
          <w:b w:val="0"/>
        </w:rPr>
        <w:t>Direktiva 2011/65/EU Europskog parlamenta i Vijeća od 8. lipnja 2011. o ograničenju uporabe određenih opasnih tvari u električnoj i elektroničkoj opremi</w:t>
      </w:r>
      <w:r>
        <w:rPr>
          <w:rStyle w:val="Strong"/>
        </w:rPr>
        <w:t xml:space="preserve"> </w:t>
      </w:r>
      <w:r>
        <w:rPr>
          <w:rStyle w:val="Strong"/>
          <w:b w:val="0"/>
        </w:rPr>
        <w:t>(</w:t>
      </w:r>
      <w:r>
        <w:t>SL L 174, 1.7.2011., str. 88.)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1AA" w:rsidRPr="003201AA" w:rsidRDefault="003201AA" w:rsidP="003201A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1AA" w:rsidRPr="003201AA" w:rsidRDefault="003201AA" w:rsidP="003201A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1AA" w:rsidRPr="003201AA" w:rsidRDefault="003201AA" w:rsidP="003201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B0AEA182"/>
    <w:lvl w:ilvl="0">
      <w:start w:val="1"/>
      <w:numFmt w:val="decimal"/>
      <w:pStyle w:val="ListNumber4"/>
      <w:lvlText w:val="%1."/>
      <w:lvlJc w:val="left"/>
      <w:pPr>
        <w:tabs>
          <w:tab w:val="num" w:pos="3405"/>
        </w:tabs>
        <w:ind w:left="3405" w:hanging="360"/>
      </w:pPr>
    </w:lvl>
  </w:abstractNum>
  <w:abstractNum w:abstractNumId="1">
    <w:nsid w:val="FFFFFF7E"/>
    <w:multiLevelType w:val="singleLevel"/>
    <w:tmpl w:val="1B06220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4FFCEF6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A31016C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AD2AD4F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A5F2AA7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F7CCD3F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D60C46B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0000006"/>
    <w:multiLevelType w:val="singleLevel"/>
    <w:tmpl w:val="00000006"/>
    <w:name w:val="WW8Num13"/>
    <w:lvl w:ilvl="0">
      <w:start w:val="1"/>
      <w:numFmt w:val="lowerLetter"/>
      <w:lvlText w:val="(%1)"/>
      <w:lvlJc w:val="left"/>
      <w:pPr>
        <w:tabs>
          <w:tab w:val="num" w:pos="0"/>
        </w:tabs>
        <w:ind w:left="405" w:hanging="360"/>
      </w:pPr>
      <w:rPr>
        <w:rFonts w:cs="Times New Roman"/>
      </w:rPr>
    </w:lvl>
  </w:abstractNum>
  <w:abstractNum w:abstractNumId="9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1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2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3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4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5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6">
    <w:nsid w:val="4B1D4F8D"/>
    <w:multiLevelType w:val="hybridMultilevel"/>
    <w:tmpl w:val="1124EC30"/>
    <w:lvl w:ilvl="0" w:tplc="00000006">
      <w:start w:val="1"/>
      <w:numFmt w:val="lowerLetter"/>
      <w:lvlText w:val="(%1)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8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9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2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1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3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8"/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20"/>
    <w:lvlOverride w:ilvl="0">
      <w:startOverride w:val="1"/>
    </w:lvlOverride>
  </w:num>
  <w:num w:numId="14">
    <w:abstractNumId w:val="20"/>
  </w:num>
  <w:num w:numId="15">
    <w:abstractNumId w:val="13"/>
  </w:num>
  <w:num w:numId="16">
    <w:abstractNumId w:val="22"/>
  </w:num>
  <w:num w:numId="17">
    <w:abstractNumId w:val="12"/>
  </w:num>
  <w:num w:numId="18">
    <w:abstractNumId w:val="14"/>
  </w:num>
  <w:num w:numId="19">
    <w:abstractNumId w:val="10"/>
  </w:num>
  <w:num w:numId="20">
    <w:abstractNumId w:val="21"/>
  </w:num>
  <w:num w:numId="21">
    <w:abstractNumId w:val="9"/>
  </w:num>
  <w:num w:numId="22">
    <w:abstractNumId w:val="15"/>
  </w:num>
  <w:num w:numId="23">
    <w:abstractNumId w:val="18"/>
  </w:num>
  <w:num w:numId="24">
    <w:abstractNumId w:val="19"/>
  </w:num>
  <w:num w:numId="25">
    <w:abstractNumId w:val="11"/>
  </w:num>
  <w:num w:numId="26">
    <w:abstractNumId w:val="17"/>
  </w:num>
  <w:num w:numId="27">
    <w:abstractNumId w:val="2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0"/>
  <w:hideSpellingErrors/>
  <w:hideGrammaticalErrors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QCDateTime" w:val="2016-02-01 09:40:45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8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12"/>
    <w:docVar w:name="DQCResult_UnknownFonts" w:val="0;0"/>
    <w:docVar w:name="DQCResult_UnknownStyles" w:val="0;0"/>
    <w:docVar w:name="DQCStatus" w:val="Yellow"/>
    <w:docVar w:name="DQCVersion" w:val="3"/>
    <w:docVar w:name="DQCWithWarnings" w:val="0"/>
    <w:docVar w:name="LW_ACCOMPAGNANT" w:val="Prijedlogu"/>
    <w:docVar w:name="LW_ACCOMPAGNANT.CP" w:val="Prijedlogu"/>
    <w:docVar w:name="LW_ANNEX_NBR_FIRST" w:val="1"/>
    <w:docVar w:name="LW_ANNEX_NBR_LAST" w:val="5"/>
    <w:docVar w:name="LW_CONFIDENCE" w:val=" "/>
    <w:docVar w:name="LW_CONST_RESTREINT_UE" w:val="RESTREINT UE/EU RESTRICTED"/>
    <w:docVar w:name="LW_CORRIGENDUM" w:val="&lt;UNUSED&gt;"/>
    <w:docVar w:name="LW_COVERPAGE_GUID" w:val="F4318749CB48406ABF80B596284F9F99"/>
    <w:docVar w:name="LW_CROSSREFERENCE" w:val="&lt;UNUSED&gt;"/>
    <w:docVar w:name="LW_DocType" w:val="ANNEX"/>
    <w:docVar w:name="LW_EMISSION" w:val="2.2.2016."/>
    <w:docVar w:name="LW_EMISSION_ISODATE" w:val="2016-02-02"/>
    <w:docVar w:name="LW_EMISSION_LOCATION" w:val="BRX"/>
    <w:docVar w:name="LW_EMISSION_PREFIX" w:val="Bruxelles, "/>
    <w:docVar w:name="LW_EMISSION_SUFFIX" w:val=" "/>
    <w:docVar w:name="LW_ID_DOCSTRUCTURE" w:val="COM/ANNEX"/>
    <w:docVar w:name="LW_ID_DOCTYPE" w:val="SG-017"/>
    <w:docVar w:name="LW_LANGUE" w:val="HR"/>
    <w:docVar w:name="LW_MARKING" w:val="&lt;UNUSED&gt;"/>
    <w:docVar w:name="LW_NOM.INST" w:val="EUROPSKA KOMISIJA"/>
    <w:docVar w:name="LW_NOM.INST_JOINTDOC" w:val="&lt;EMPTY&gt;"/>
    <w:docVar w:name="LW_OBJETACTEPRINCIPAL" w:val="Europskog parlamenta i Vije\u263?a o \u382?ivi i stavljanju izvan snage Uredbe (EZ) br.&lt;LWCR:NBS&gt;1102/2008"/>
    <w:docVar w:name="LW_OBJETACTEPRINCIPAL.CP" w:val="Europskog parlamenta i Vije\u263?a o \u382?ivi i stavljanju izvan snage Uredbe (EZ) br. 1102/2008"/>
    <w:docVar w:name="LW_PART_NBR" w:val="&lt;UNUSED&gt;"/>
    <w:docVar w:name="LW_PART_NBR_TOTAL" w:val="&lt;UNUSED&gt;"/>
    <w:docVar w:name="LW_REF.INST.NEW" w:val="COM"/>
    <w:docVar w:name="LW_REF.INST.NEW_ADOPTED" w:val="final"/>
    <w:docVar w:name="LW_REF.INST.NEW_TEXT" w:val="(2016) 39"/>
    <w:docVar w:name="LW_REF.INTERNE" w:val="&lt;UNUSED&gt;"/>
    <w:docVar w:name="LW_SUPERTITRE" w:val="&lt;UNUSED&gt;"/>
    <w:docVar w:name="LW_TITRE.OBJ.CP" w:val="&lt;UNUSED&gt;"/>
    <w:docVar w:name="LW_TYPE.DOC" w:val="PRILOZI"/>
    <w:docVar w:name="LW_TYPE.DOC.CP" w:val="PRILOZI"/>
    <w:docVar w:name="LW_TYPEACTEPRINCIPAL" w:val="Uredbe"/>
    <w:docVar w:name="LW_TYPEACTEPRINCIPAL.CP" w:val="Uredbe"/>
  </w:docVars>
  <w:rsids>
    <w:rsidRoot w:val="00F911B8"/>
    <w:rsid w:val="003201AA"/>
    <w:rsid w:val="00F9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hr-H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0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0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0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0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Paragraph">
    <w:name w:val="List Paragraph"/>
    <w:basedOn w:val="Normal"/>
    <w:uiPriority w:val="34"/>
    <w:qFormat/>
    <w:pPr>
      <w:spacing w:before="0" w:after="0"/>
      <w:ind w:left="720"/>
      <w:contextualSpacing/>
    </w:pPr>
    <w:rPr>
      <w:rFonts w:eastAsia="Calibri"/>
      <w:sz w:val="20"/>
      <w:szCs w:val="20"/>
    </w:rPr>
  </w:style>
  <w:style w:type="table" w:styleId="TableGrid">
    <w:name w:val="Table Grid"/>
    <w:basedOn w:val="TableNormal"/>
    <w:uiPriority w:val="59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hr-HR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hr-HR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Style1">
    <w:name w:val="Style1"/>
    <w:basedOn w:val="FootnoteText"/>
    <w:qFormat/>
    <w:rPr>
      <w:color w:val="444444"/>
    </w:rPr>
  </w:style>
  <w:style w:type="paragraph" w:styleId="Header">
    <w:name w:val="header"/>
    <w:basedOn w:val="Normal"/>
    <w:link w:val="HeaderChar"/>
    <w:uiPriority w:val="99"/>
    <w:unhideWhenUsed/>
    <w:rsid w:val="003201AA"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3201AA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rsid w:val="003201AA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4"/>
      </w:numPr>
    </w:pPr>
  </w:style>
  <w:style w:type="paragraph" w:customStyle="1" w:styleId="Tiret1">
    <w:name w:val="Tiret 1"/>
    <w:basedOn w:val="Point1"/>
    <w:pPr>
      <w:numPr>
        <w:numId w:val="15"/>
      </w:numPr>
    </w:pPr>
  </w:style>
  <w:style w:type="paragraph" w:customStyle="1" w:styleId="Tiret2">
    <w:name w:val="Tiret 2"/>
    <w:basedOn w:val="Point2"/>
    <w:pPr>
      <w:numPr>
        <w:numId w:val="16"/>
      </w:numPr>
    </w:pPr>
  </w:style>
  <w:style w:type="paragraph" w:customStyle="1" w:styleId="Tiret3">
    <w:name w:val="Tiret 3"/>
    <w:basedOn w:val="Point3"/>
    <w:pPr>
      <w:numPr>
        <w:numId w:val="17"/>
      </w:numPr>
    </w:pPr>
  </w:style>
  <w:style w:type="paragraph" w:customStyle="1" w:styleId="Tiret4">
    <w:name w:val="Tiret 4"/>
    <w:basedOn w:val="Point4"/>
    <w:pPr>
      <w:numPr>
        <w:numId w:val="18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9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9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9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9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21"/>
      </w:numPr>
    </w:pPr>
  </w:style>
  <w:style w:type="paragraph" w:customStyle="1" w:styleId="Point1number">
    <w:name w:val="Point 1 (number)"/>
    <w:basedOn w:val="Normal"/>
    <w:pPr>
      <w:numPr>
        <w:ilvl w:val="2"/>
        <w:numId w:val="21"/>
      </w:numPr>
    </w:pPr>
  </w:style>
  <w:style w:type="paragraph" w:customStyle="1" w:styleId="Point2number">
    <w:name w:val="Point 2 (number)"/>
    <w:basedOn w:val="Normal"/>
    <w:pPr>
      <w:numPr>
        <w:ilvl w:val="4"/>
        <w:numId w:val="21"/>
      </w:numPr>
    </w:pPr>
  </w:style>
  <w:style w:type="paragraph" w:customStyle="1" w:styleId="Point3number">
    <w:name w:val="Point 3 (number)"/>
    <w:basedOn w:val="Normal"/>
    <w:pPr>
      <w:numPr>
        <w:ilvl w:val="6"/>
        <w:numId w:val="21"/>
      </w:numPr>
    </w:pPr>
  </w:style>
  <w:style w:type="paragraph" w:customStyle="1" w:styleId="Point0letter">
    <w:name w:val="Point 0 (letter)"/>
    <w:basedOn w:val="Normal"/>
    <w:pPr>
      <w:numPr>
        <w:ilvl w:val="1"/>
        <w:numId w:val="21"/>
      </w:numPr>
    </w:pPr>
  </w:style>
  <w:style w:type="paragraph" w:customStyle="1" w:styleId="Point1letter">
    <w:name w:val="Point 1 (letter)"/>
    <w:basedOn w:val="Normal"/>
    <w:pPr>
      <w:numPr>
        <w:ilvl w:val="3"/>
        <w:numId w:val="21"/>
      </w:numPr>
    </w:pPr>
  </w:style>
  <w:style w:type="paragraph" w:customStyle="1" w:styleId="Point2letter">
    <w:name w:val="Point 2 (letter)"/>
    <w:basedOn w:val="Normal"/>
    <w:pPr>
      <w:numPr>
        <w:ilvl w:val="5"/>
        <w:numId w:val="21"/>
      </w:numPr>
    </w:pPr>
  </w:style>
  <w:style w:type="paragraph" w:customStyle="1" w:styleId="Point3letter">
    <w:name w:val="Point 3 (letter)"/>
    <w:basedOn w:val="Normal"/>
    <w:pPr>
      <w:numPr>
        <w:ilvl w:val="7"/>
        <w:numId w:val="21"/>
      </w:numPr>
    </w:pPr>
  </w:style>
  <w:style w:type="paragraph" w:customStyle="1" w:styleId="Point4letter">
    <w:name w:val="Point 4 (letter)"/>
    <w:basedOn w:val="Normal"/>
    <w:pPr>
      <w:numPr>
        <w:ilvl w:val="8"/>
        <w:numId w:val="21"/>
      </w:numPr>
    </w:pPr>
  </w:style>
  <w:style w:type="paragraph" w:customStyle="1" w:styleId="Bullet0">
    <w:name w:val="Bullet 0"/>
    <w:basedOn w:val="Normal"/>
    <w:pPr>
      <w:numPr>
        <w:numId w:val="22"/>
      </w:numPr>
    </w:pPr>
  </w:style>
  <w:style w:type="paragraph" w:customStyle="1" w:styleId="Bullet1">
    <w:name w:val="Bullet 1"/>
    <w:basedOn w:val="Normal"/>
    <w:pPr>
      <w:numPr>
        <w:numId w:val="23"/>
      </w:numPr>
    </w:pPr>
  </w:style>
  <w:style w:type="paragraph" w:customStyle="1" w:styleId="Bullet2">
    <w:name w:val="Bullet 2"/>
    <w:basedOn w:val="Normal"/>
    <w:pPr>
      <w:numPr>
        <w:numId w:val="24"/>
      </w:numPr>
    </w:pPr>
  </w:style>
  <w:style w:type="paragraph" w:customStyle="1" w:styleId="Bullet3">
    <w:name w:val="Bullet 3"/>
    <w:basedOn w:val="Normal"/>
    <w:pPr>
      <w:numPr>
        <w:numId w:val="25"/>
      </w:numPr>
    </w:pPr>
  </w:style>
  <w:style w:type="paragraph" w:customStyle="1" w:styleId="Bullet4">
    <w:name w:val="Bullet 4"/>
    <w:basedOn w:val="Normal"/>
    <w:pPr>
      <w:numPr>
        <w:numId w:val="26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7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hr-H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0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0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0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0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Paragraph">
    <w:name w:val="List Paragraph"/>
    <w:basedOn w:val="Normal"/>
    <w:uiPriority w:val="34"/>
    <w:qFormat/>
    <w:pPr>
      <w:spacing w:before="0" w:after="0"/>
      <w:ind w:left="720"/>
      <w:contextualSpacing/>
    </w:pPr>
    <w:rPr>
      <w:rFonts w:eastAsia="Calibri"/>
      <w:sz w:val="20"/>
      <w:szCs w:val="20"/>
    </w:rPr>
  </w:style>
  <w:style w:type="table" w:styleId="TableGrid">
    <w:name w:val="Table Grid"/>
    <w:basedOn w:val="TableNormal"/>
    <w:uiPriority w:val="59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hr-HR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hr-HR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Style1">
    <w:name w:val="Style1"/>
    <w:basedOn w:val="FootnoteText"/>
    <w:qFormat/>
    <w:rPr>
      <w:color w:val="444444"/>
    </w:rPr>
  </w:style>
  <w:style w:type="paragraph" w:styleId="Header">
    <w:name w:val="header"/>
    <w:basedOn w:val="Normal"/>
    <w:link w:val="HeaderChar"/>
    <w:uiPriority w:val="99"/>
    <w:unhideWhenUsed/>
    <w:rsid w:val="003201AA"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3201AA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rsid w:val="003201AA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4"/>
      </w:numPr>
    </w:pPr>
  </w:style>
  <w:style w:type="paragraph" w:customStyle="1" w:styleId="Tiret1">
    <w:name w:val="Tiret 1"/>
    <w:basedOn w:val="Point1"/>
    <w:pPr>
      <w:numPr>
        <w:numId w:val="15"/>
      </w:numPr>
    </w:pPr>
  </w:style>
  <w:style w:type="paragraph" w:customStyle="1" w:styleId="Tiret2">
    <w:name w:val="Tiret 2"/>
    <w:basedOn w:val="Point2"/>
    <w:pPr>
      <w:numPr>
        <w:numId w:val="16"/>
      </w:numPr>
    </w:pPr>
  </w:style>
  <w:style w:type="paragraph" w:customStyle="1" w:styleId="Tiret3">
    <w:name w:val="Tiret 3"/>
    <w:basedOn w:val="Point3"/>
    <w:pPr>
      <w:numPr>
        <w:numId w:val="17"/>
      </w:numPr>
    </w:pPr>
  </w:style>
  <w:style w:type="paragraph" w:customStyle="1" w:styleId="Tiret4">
    <w:name w:val="Tiret 4"/>
    <w:basedOn w:val="Point4"/>
    <w:pPr>
      <w:numPr>
        <w:numId w:val="18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9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9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9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9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21"/>
      </w:numPr>
    </w:pPr>
  </w:style>
  <w:style w:type="paragraph" w:customStyle="1" w:styleId="Point1number">
    <w:name w:val="Point 1 (number)"/>
    <w:basedOn w:val="Normal"/>
    <w:pPr>
      <w:numPr>
        <w:ilvl w:val="2"/>
        <w:numId w:val="21"/>
      </w:numPr>
    </w:pPr>
  </w:style>
  <w:style w:type="paragraph" w:customStyle="1" w:styleId="Point2number">
    <w:name w:val="Point 2 (number)"/>
    <w:basedOn w:val="Normal"/>
    <w:pPr>
      <w:numPr>
        <w:ilvl w:val="4"/>
        <w:numId w:val="21"/>
      </w:numPr>
    </w:pPr>
  </w:style>
  <w:style w:type="paragraph" w:customStyle="1" w:styleId="Point3number">
    <w:name w:val="Point 3 (number)"/>
    <w:basedOn w:val="Normal"/>
    <w:pPr>
      <w:numPr>
        <w:ilvl w:val="6"/>
        <w:numId w:val="21"/>
      </w:numPr>
    </w:pPr>
  </w:style>
  <w:style w:type="paragraph" w:customStyle="1" w:styleId="Point0letter">
    <w:name w:val="Point 0 (letter)"/>
    <w:basedOn w:val="Normal"/>
    <w:pPr>
      <w:numPr>
        <w:ilvl w:val="1"/>
        <w:numId w:val="21"/>
      </w:numPr>
    </w:pPr>
  </w:style>
  <w:style w:type="paragraph" w:customStyle="1" w:styleId="Point1letter">
    <w:name w:val="Point 1 (letter)"/>
    <w:basedOn w:val="Normal"/>
    <w:pPr>
      <w:numPr>
        <w:ilvl w:val="3"/>
        <w:numId w:val="21"/>
      </w:numPr>
    </w:pPr>
  </w:style>
  <w:style w:type="paragraph" w:customStyle="1" w:styleId="Point2letter">
    <w:name w:val="Point 2 (letter)"/>
    <w:basedOn w:val="Normal"/>
    <w:pPr>
      <w:numPr>
        <w:ilvl w:val="5"/>
        <w:numId w:val="21"/>
      </w:numPr>
    </w:pPr>
  </w:style>
  <w:style w:type="paragraph" w:customStyle="1" w:styleId="Point3letter">
    <w:name w:val="Point 3 (letter)"/>
    <w:basedOn w:val="Normal"/>
    <w:pPr>
      <w:numPr>
        <w:ilvl w:val="7"/>
        <w:numId w:val="21"/>
      </w:numPr>
    </w:pPr>
  </w:style>
  <w:style w:type="paragraph" w:customStyle="1" w:styleId="Point4letter">
    <w:name w:val="Point 4 (letter)"/>
    <w:basedOn w:val="Normal"/>
    <w:pPr>
      <w:numPr>
        <w:ilvl w:val="8"/>
        <w:numId w:val="21"/>
      </w:numPr>
    </w:pPr>
  </w:style>
  <w:style w:type="paragraph" w:customStyle="1" w:styleId="Bullet0">
    <w:name w:val="Bullet 0"/>
    <w:basedOn w:val="Normal"/>
    <w:pPr>
      <w:numPr>
        <w:numId w:val="22"/>
      </w:numPr>
    </w:pPr>
  </w:style>
  <w:style w:type="paragraph" w:customStyle="1" w:styleId="Bullet1">
    <w:name w:val="Bullet 1"/>
    <w:basedOn w:val="Normal"/>
    <w:pPr>
      <w:numPr>
        <w:numId w:val="23"/>
      </w:numPr>
    </w:pPr>
  </w:style>
  <w:style w:type="paragraph" w:customStyle="1" w:styleId="Bullet2">
    <w:name w:val="Bullet 2"/>
    <w:basedOn w:val="Normal"/>
    <w:pPr>
      <w:numPr>
        <w:numId w:val="24"/>
      </w:numPr>
    </w:pPr>
  </w:style>
  <w:style w:type="paragraph" w:customStyle="1" w:styleId="Bullet3">
    <w:name w:val="Bullet 3"/>
    <w:basedOn w:val="Normal"/>
    <w:pPr>
      <w:numPr>
        <w:numId w:val="25"/>
      </w:numPr>
    </w:pPr>
  </w:style>
  <w:style w:type="paragraph" w:customStyle="1" w:styleId="Bullet4">
    <w:name w:val="Bullet 4"/>
    <w:basedOn w:val="Normal"/>
    <w:pPr>
      <w:numPr>
        <w:numId w:val="26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7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BEBE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FD811-F933-454C-84ED-F82EE5457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1</TotalTime>
  <Pages>8</Pages>
  <Words>1029</Words>
  <Characters>5541</Characters>
  <Application>Microsoft Office Word</Application>
  <DocSecurity>0</DocSecurity>
  <Lines>204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6484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FORNASERO Stefania (ENV)</dc:creator>
  <cp:lastModifiedBy>LAGES CARVALHO Patrick (SG)</cp:lastModifiedBy>
  <cp:revision>9</cp:revision>
  <cp:lastPrinted>2016-01-29T13:13:00Z</cp:lastPrinted>
  <dcterms:created xsi:type="dcterms:W3CDTF">2016-01-29T13:39:00Z</dcterms:created>
  <dcterms:modified xsi:type="dcterms:W3CDTF">2016-02-01T10:38:00Z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Classification">
    <vt:lpwstr> </vt:lpwstr>
  </property>
  <property fmtid="{D5CDD505-2E9C-101B-9397-08002B2CF9AE}" pid="4" name="Version">
    <vt:lpwstr>5.84.2.0</vt:lpwstr>
  </property>
  <property fmtid="{D5CDD505-2E9C-101B-9397-08002B2CF9AE}" pid="5" name="Last edited using">
    <vt:lpwstr>LW 5.8.4, Build 20150407</vt:lpwstr>
  </property>
  <property fmtid="{D5CDD505-2E9C-101B-9397-08002B2CF9AE}" pid="6" name="Created using">
    <vt:lpwstr>LW 5.8.4, Build 20150407</vt:lpwstr>
  </property>
  <property fmtid="{D5CDD505-2E9C-101B-9397-08002B2CF9AE}" pid="7" name="First annex">
    <vt:lpwstr>1</vt:lpwstr>
  </property>
  <property fmtid="{D5CDD505-2E9C-101B-9397-08002B2CF9AE}" pid="8" name="Last annex">
    <vt:lpwstr>5</vt:lpwstr>
  </property>
  <property fmtid="{D5CDD505-2E9C-101B-9397-08002B2CF9AE}" pid="9" name="Part">
    <vt:lpwstr>&lt;UNUSED&gt;</vt:lpwstr>
  </property>
  <property fmtid="{D5CDD505-2E9C-101B-9397-08002B2CF9AE}" pid="10" name="Total parts">
    <vt:lpwstr>&lt;UNUSED&gt;</vt:lpwstr>
  </property>
  <property fmtid="{D5CDD505-2E9C-101B-9397-08002B2CF9AE}" pid="11" name="LWTemplateID">
    <vt:lpwstr>SG-017</vt:lpwstr>
  </property>
  <property fmtid="{D5CDD505-2E9C-101B-9397-08002B2CF9AE}" pid="12" name="DQCStatus">
    <vt:lpwstr>Yellow (DQC version 03)</vt:lpwstr>
  </property>
</Properties>
</file>