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58" w:rsidRDefault="00EA4679" w:rsidP="00EA467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CB91FBAAE12412696964E2A16813CA3" style="width:450.75pt;height:369.75pt">
            <v:imagedata r:id="rId9" o:title=""/>
          </v:shape>
        </w:pict>
      </w:r>
    </w:p>
    <w:p w:rsidR="005A6D58" w:rsidRDefault="005A6D58">
      <w:pPr>
        <w:pStyle w:val="Pagedecouverture"/>
        <w:rPr>
          <w:noProof/>
        </w:rPr>
        <w:sectPr w:rsidR="005A6D58" w:rsidSect="00EA46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A6D58" w:rsidRDefault="00CB0570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I PRIEDAS</w:t>
      </w:r>
    </w:p>
    <w:p w:rsidR="005A6D58" w:rsidRDefault="00CB0570">
      <w:pPr>
        <w:pStyle w:val="NormalCentered"/>
        <w:rPr>
          <w:b/>
          <w:noProof/>
        </w:rPr>
      </w:pPr>
      <w:r>
        <w:rPr>
          <w:b/>
          <w:noProof/>
        </w:rPr>
        <w:t>Gyvsidabrio junginiai ir mišiniai, kuriems taikomi 3 ir 4 straipsniai</w:t>
      </w:r>
    </w:p>
    <w:p w:rsidR="005A6D58" w:rsidRDefault="005A6D58">
      <w:pPr>
        <w:rPr>
          <w:noProof/>
        </w:rPr>
      </w:pPr>
    </w:p>
    <w:p w:rsidR="005A6D58" w:rsidRDefault="00CB0570">
      <w:pPr>
        <w:rPr>
          <w:noProof/>
        </w:rPr>
      </w:pPr>
      <w:r>
        <w:rPr>
          <w:b/>
          <w:i/>
          <w:noProof/>
        </w:rPr>
        <w:t xml:space="preserve">Gyvsidabrio </w:t>
      </w:r>
      <w:r>
        <w:rPr>
          <w:b/>
          <w:i/>
          <w:noProof/>
        </w:rPr>
        <w:t>junginiai</w:t>
      </w:r>
      <w:r>
        <w:rPr>
          <w:noProof/>
        </w:rPr>
        <w:t xml:space="preserve">: </w:t>
      </w:r>
    </w:p>
    <w:p w:rsidR="005A6D58" w:rsidRDefault="00CB0570">
      <w:pPr>
        <w:rPr>
          <w:noProof/>
        </w:rPr>
      </w:pPr>
      <w:r>
        <w:rPr>
          <w:noProof/>
        </w:rPr>
        <w:t>Gyvsidabrio (I) chloridas (Hg</w:t>
      </w:r>
      <w:r>
        <w:rPr>
          <w:noProof/>
          <w:vertAlign w:val="subscript"/>
        </w:rPr>
        <w:t>2</w:t>
      </w:r>
      <w:r>
        <w:rPr>
          <w:noProof/>
        </w:rPr>
        <w:t>Cl</w:t>
      </w:r>
      <w:r>
        <w:rPr>
          <w:noProof/>
          <w:vertAlign w:val="subscript"/>
        </w:rPr>
        <w:t>2</w:t>
      </w:r>
      <w:r>
        <w:rPr>
          <w:noProof/>
        </w:rPr>
        <w:t>, CAS RN 10112-91-1)</w:t>
      </w:r>
    </w:p>
    <w:p w:rsidR="005A6D58" w:rsidRDefault="00CB0570">
      <w:pPr>
        <w:rPr>
          <w:noProof/>
        </w:rPr>
      </w:pPr>
      <w:r>
        <w:rPr>
          <w:noProof/>
        </w:rPr>
        <w:t>Gyvsidabrio (II) oksidas (HgO, CAS RN 21908-53-2)</w:t>
      </w:r>
    </w:p>
    <w:p w:rsidR="005A6D58" w:rsidRDefault="00CB0570">
      <w:pPr>
        <w:rPr>
          <w:noProof/>
        </w:rPr>
      </w:pPr>
      <w:r>
        <w:rPr>
          <w:noProof/>
        </w:rPr>
        <w:t>Cinoberio rūda</w:t>
      </w:r>
    </w:p>
    <w:p w:rsidR="005A6D58" w:rsidRDefault="005A6D58">
      <w:pPr>
        <w:rPr>
          <w:noProof/>
        </w:rPr>
      </w:pPr>
    </w:p>
    <w:p w:rsidR="005A6D58" w:rsidRDefault="00CB0570">
      <w:pPr>
        <w:rPr>
          <w:b/>
          <w:i/>
          <w:noProof/>
        </w:rPr>
      </w:pPr>
      <w:r>
        <w:rPr>
          <w:b/>
          <w:i/>
          <w:noProof/>
        </w:rPr>
        <w:t>Mišiniai:</w:t>
      </w:r>
    </w:p>
    <w:p w:rsidR="005A6D58" w:rsidRDefault="00CB0570">
      <w:pPr>
        <w:rPr>
          <w:noProof/>
        </w:rPr>
      </w:pPr>
      <w:r>
        <w:rPr>
          <w:noProof/>
        </w:rPr>
        <w:t>Gyvsidabrio ir kitų cheminių medžiagų mišiniai, įskaitant gyvsidabrio lydinius, kuriuose gyvsidabrio koncentracija</w:t>
      </w:r>
      <w:r>
        <w:rPr>
          <w:noProof/>
        </w:rPr>
        <w:t xml:space="preserve"> yra ne mažesnė kaip 95 % masinės dalies.</w:t>
      </w:r>
    </w:p>
    <w:p w:rsidR="005A6D58" w:rsidRDefault="00CB0570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lastRenderedPageBreak/>
        <w:t>II PRIEDAS</w:t>
      </w:r>
    </w:p>
    <w:p w:rsidR="005A6D58" w:rsidRDefault="00CB0570">
      <w:pPr>
        <w:pStyle w:val="NormalCentered"/>
        <w:rPr>
          <w:b/>
          <w:noProof/>
        </w:rPr>
      </w:pPr>
      <w:r>
        <w:rPr>
          <w:b/>
          <w:noProof/>
        </w:rPr>
        <w:t xml:space="preserve">Produktai, kurių sudėtyje yra gyvsidabrio, minimi 5 straipsnyje </w:t>
      </w:r>
    </w:p>
    <w:p w:rsidR="005A6D58" w:rsidRDefault="005A6D58">
      <w:pPr>
        <w:ind w:left="1440" w:firstLine="720"/>
        <w:rPr>
          <w:noProof/>
        </w:rPr>
      </w:pPr>
    </w:p>
    <w:p w:rsidR="005A6D58" w:rsidRDefault="00CB0570">
      <w:pPr>
        <w:rPr>
          <w:b/>
          <w:noProof/>
        </w:rPr>
      </w:pPr>
      <w:r>
        <w:rPr>
          <w:b/>
          <w:noProof/>
        </w:rPr>
        <w:t>A dalis. Produktai, kurių sudėtyje yra gyvsidabrio</w:t>
      </w:r>
    </w:p>
    <w:p w:rsidR="005A6D58" w:rsidRDefault="005A6D58">
      <w:pPr>
        <w:rPr>
          <w:noProof/>
        </w:rPr>
      </w:pPr>
    </w:p>
    <w:tbl>
      <w:tblPr>
        <w:tblW w:w="9786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786"/>
      </w:tblGrid>
      <w:tr w:rsidR="005A6D58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4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noProof/>
              </w:rPr>
              <w:t xml:space="preserve"> Baterijos, išskyrus sagos formos cinko-sidabro oksido baterijas, kurių sudėtyje yra mažiau kaip 2 % gyvsidabrio, sagos formos cinko-oro baterijas, kurių sudėtyje yra mažiau kaip 2 % gyvsidabrio.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2.</w:t>
            </w:r>
            <w:r>
              <w:rPr>
                <w:noProof/>
              </w:rPr>
              <w:t xml:space="preserve"> Jungikliai ir relės, išskyrus labai tikslius talpos ir n</w:t>
            </w:r>
            <w:r>
              <w:rPr>
                <w:noProof/>
              </w:rPr>
              <w:t>uostolių matavimo tiltelius, aukšto dažnio radijo dažnių jungiklius ir stebėjimo bei kontrolės prietaisų reles, jei gyvsidabrio kiekis kiekviename tiltelyje, jungiklyje ar relėje yra ne didesnis kaip 20 mg.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3.</w:t>
            </w:r>
            <w:r>
              <w:rPr>
                <w:noProof/>
              </w:rPr>
              <w:t xml:space="preserve"> Kompaktinės fluorescencinės bendrojo apšvietimo lempos (angl. – CFL), kurių galingumas yra ≤ 30 vatų, o gyvsidabrio kiekis kiekviename lempos degiklyje viršija 5 mg.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4.</w:t>
            </w:r>
            <w:r>
              <w:rPr>
                <w:noProof/>
              </w:rPr>
              <w:t xml:space="preserve"> Šios tiesiosios fluorescencinės bendrojo apšvietimo lempos (angl. – LFL):</w:t>
            </w:r>
          </w:p>
          <w:p w:rsidR="005A6D58" w:rsidRDefault="00CB0570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 xml:space="preserve">trijuostės </w:t>
            </w:r>
            <w:r>
              <w:rPr>
                <w:noProof/>
              </w:rPr>
              <w:t>spinduliuotės liuminoforo lempos, kurių galingumas yra &lt; 60 vatų, o gyvsidabrio kiekis vienoje lempoje viršija 5 mg;</w:t>
            </w:r>
          </w:p>
          <w:p w:rsidR="005A6D58" w:rsidRDefault="00CB0570">
            <w:pPr>
              <w:numPr>
                <w:ilvl w:val="0"/>
                <w:numId w:val="5"/>
              </w:numPr>
              <w:suppressAutoHyphens/>
              <w:jc w:val="left"/>
              <w:rPr>
                <w:rFonts w:eastAsia="SimSun"/>
                <w:noProof/>
              </w:rPr>
            </w:pPr>
            <w:r>
              <w:rPr>
                <w:noProof/>
              </w:rPr>
              <w:t>halogenfosfato liuminoforo lempos, kurių galingumas yra ≤ 40 vatų, o gyvsidabrio kiekis vienoje lempoje viršija 10 mg.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5.</w:t>
            </w:r>
            <w:r>
              <w:rPr>
                <w:noProof/>
              </w:rPr>
              <w:t xml:space="preserve"> Didžiaslėgės ben</w:t>
            </w:r>
            <w:r>
              <w:rPr>
                <w:noProof/>
              </w:rPr>
              <w:t>drojo apšvietimo gyvsidabrio garų lempos (angl. – HPMV).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6.</w:t>
            </w:r>
            <w:r>
              <w:rPr>
                <w:noProof/>
              </w:rPr>
              <w:t xml:space="preserve"> Šios elektroniniams ekranams skirtos šaltojo katodo fluorescencinės lempos ir fluorescencinės lempos su išoriniais elektrodais (angl. – CCFL ir EEFL), kuriose yra gyvsidabrio: 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a) trumpos (≤ 500 </w:t>
            </w:r>
            <w:r>
              <w:rPr>
                <w:noProof/>
              </w:rPr>
              <w:t>mm), jei gyvsidabrio kiekis vienoje lempoje viršija 3,5 mg;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b) vidutinio ilgio (&gt; 500 mm ir ≤ 1 500 mm), jei gyvsidabrio kiekis vienoje lempoje viršija 5 mg;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c) ilgos (&gt; 1 500 mm), jei gyvsidabrio kiekis vienoje lempoje viršija 13 mg.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7.</w:t>
            </w:r>
            <w:r>
              <w:rPr>
                <w:noProof/>
              </w:rPr>
              <w:t xml:space="preserve"> Kosmetikos gamini</w:t>
            </w:r>
            <w:r>
              <w:rPr>
                <w:noProof/>
              </w:rPr>
              <w:t>ai, kuriuose yra gyvsidabrio, išskyrus ypatingus atvejus, įrašytus į Europos Parlamento ir Tarybos reglamento (EB) Nr. 1223/2009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 xml:space="preserve"> V priedo 17 punktą.</w:t>
            </w:r>
          </w:p>
        </w:tc>
      </w:tr>
      <w:tr w:rsidR="005A6D58"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8.</w:t>
            </w:r>
            <w:r>
              <w:rPr>
                <w:noProof/>
              </w:rPr>
              <w:t xml:space="preserve"> Pesticidai, biocidai ir vietiškai vartojami antiseptikai.</w:t>
            </w:r>
          </w:p>
        </w:tc>
      </w:tr>
      <w:tr w:rsidR="005A6D58">
        <w:trPr>
          <w:trHeight w:val="17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D58" w:rsidRDefault="00CB0570">
            <w:pPr>
              <w:snapToGrid w:val="0"/>
              <w:ind w:left="252" w:hanging="252"/>
              <w:rPr>
                <w:rFonts w:eastAsia="SimSun"/>
                <w:noProof/>
              </w:rPr>
            </w:pPr>
            <w:r>
              <w:rPr>
                <w:b/>
                <w:noProof/>
              </w:rPr>
              <w:t>9.</w:t>
            </w:r>
            <w:r>
              <w:rPr>
                <w:noProof/>
              </w:rPr>
              <w:t xml:space="preserve"> Toliau išvardyti neelektroniniai matavimo prietaisai, jeigu nėra tinkamų jų alternatyvų be gyvsidabrio: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a) barometrai; 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 xml:space="preserve">b) higrometrai; 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lastRenderedPageBreak/>
              <w:t xml:space="preserve">c) manometrai; 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d) termometrai;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e) sfigmomanometrai.</w:t>
            </w:r>
          </w:p>
          <w:p w:rsidR="005A6D58" w:rsidRDefault="00CB0570">
            <w:pPr>
              <w:rPr>
                <w:rFonts w:eastAsia="SimSun"/>
                <w:noProof/>
              </w:rPr>
            </w:pPr>
            <w:r>
              <w:rPr>
                <w:noProof/>
              </w:rPr>
              <w:t>Šis įrašas neapima šių matavimo prietaisų:</w:t>
            </w:r>
          </w:p>
          <w:p w:rsidR="005A6D58" w:rsidRDefault="00CB0570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stambioje įrangoje įre</w:t>
            </w:r>
            <w:r>
              <w:rPr>
                <w:noProof/>
                <w:sz w:val="24"/>
              </w:rPr>
              <w:t>ngtų ar labai tiksliam matavimui naudojamų neelektroninių matavimo prietaisų;</w:t>
            </w:r>
          </w:p>
          <w:p w:rsidR="005A6D58" w:rsidRDefault="00CB0570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matavimo prietaisų, kurie 2007 m. spalio 3 d. buvo senesni nei 50 metų;</w:t>
            </w:r>
          </w:p>
          <w:p w:rsidR="005A6D58" w:rsidRDefault="00CB0570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72"/>
              <w:rPr>
                <w:rFonts w:eastAsia="SimSun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matavimo prietaisų, kurie skirti eksponuoti viešose parodose kultūros ir istorijos tikslais.</w:t>
            </w:r>
          </w:p>
        </w:tc>
      </w:tr>
    </w:tbl>
    <w:p w:rsidR="005A6D58" w:rsidRDefault="005A6D58">
      <w:pPr>
        <w:rPr>
          <w:noProof/>
        </w:rPr>
      </w:pPr>
    </w:p>
    <w:p w:rsidR="005A6D58" w:rsidRDefault="00CB0570">
      <w:pPr>
        <w:rPr>
          <w:b/>
          <w:noProof/>
        </w:rPr>
      </w:pPr>
      <w:r>
        <w:rPr>
          <w:b/>
          <w:noProof/>
        </w:rPr>
        <w:t xml:space="preserve">B dalis. </w:t>
      </w:r>
      <w:r>
        <w:rPr>
          <w:b/>
          <w:noProof/>
        </w:rPr>
        <w:t>Papildomi produktai, neįtraukti į šio priedo A dalies sąrašą</w:t>
      </w:r>
    </w:p>
    <w:p w:rsidR="005A6D58" w:rsidRDefault="005A6D58">
      <w:pPr>
        <w:rPr>
          <w:noProof/>
        </w:rPr>
      </w:pPr>
    </w:p>
    <w:p w:rsidR="005A6D58" w:rsidRDefault="00CB0570">
      <w:pPr>
        <w:rPr>
          <w:noProof/>
        </w:rPr>
      </w:pPr>
      <w:r>
        <w:rPr>
          <w:noProof/>
        </w:rPr>
        <w:t>Jungikliai ir relės, elektroniniams ekranams skirtos šaltojo katodo fluorescencinės lempos bei fluorescencinės lempos su išoriniais elektrodais (angl. – CCFL ir EEFL) ir matavimo prietaisai, jei</w:t>
      </w:r>
      <w:r>
        <w:rPr>
          <w:noProof/>
        </w:rPr>
        <w:t xml:space="preserve"> jie naudojami didesnės įrangos sudedamajai daliai pakeisti ir nėra tinkamos alternatyvos be gyvsidabrio pagal Europos Parlamento ir Tarybos direktyvą 2000/53/EB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ir Europos Parlamento ir Tarybos direktyvą 2011/65/ES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5A6D58" w:rsidRDefault="00CB0570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III PRIEDAS</w:t>
      </w:r>
    </w:p>
    <w:p w:rsidR="005A6D58" w:rsidRDefault="00CB0570">
      <w:pPr>
        <w:pStyle w:val="NormalCentered"/>
        <w:rPr>
          <w:b/>
          <w:noProof/>
        </w:rPr>
      </w:pPr>
      <w:r>
        <w:rPr>
          <w:b/>
          <w:noProof/>
        </w:rPr>
        <w:t xml:space="preserve">Gamybos procesams taikomi su gyvsidabriu susiję reikalavimai </w:t>
      </w:r>
    </w:p>
    <w:p w:rsidR="005A6D58" w:rsidRDefault="005A6D58">
      <w:pPr>
        <w:rPr>
          <w:b/>
          <w:noProof/>
          <w:szCs w:val="24"/>
        </w:rPr>
      </w:pPr>
    </w:p>
    <w:p w:rsidR="005A6D58" w:rsidRDefault="00CB0570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 xml:space="preserve">I dalis. Draudimas naudoti gyvsidabrį ir gyvsidabrio junginius gamybos procesuose </w:t>
      </w:r>
    </w:p>
    <w:p w:rsidR="005A6D58" w:rsidRDefault="005A6D58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nuo 2019 m. sausio 1 d. – gaminant acetaldehidą</w:t>
      </w:r>
    </w:p>
    <w:p w:rsidR="005A6D58" w:rsidRDefault="00CB0570">
      <w:pPr>
        <w:pStyle w:val="Point0letter"/>
        <w:rPr>
          <w:noProof/>
        </w:rPr>
      </w:pPr>
      <w:r>
        <w:rPr>
          <w:noProof/>
        </w:rPr>
        <w:t>nuo 2019 m. sausio 1 d. – gaminant vinilchlorido monomerą</w:t>
      </w:r>
    </w:p>
    <w:p w:rsidR="005A6D58" w:rsidRDefault="005A6D58">
      <w:pPr>
        <w:rPr>
          <w:noProof/>
          <w:szCs w:val="24"/>
        </w:rPr>
      </w:pPr>
    </w:p>
    <w:p w:rsidR="005A6D58" w:rsidRDefault="00CB0570">
      <w:pPr>
        <w:tabs>
          <w:tab w:val="left" w:pos="1080"/>
        </w:tabs>
        <w:ind w:left="960" w:hanging="960"/>
        <w:rPr>
          <w:b/>
          <w:noProof/>
          <w:szCs w:val="24"/>
        </w:rPr>
      </w:pPr>
      <w:r>
        <w:rPr>
          <w:b/>
          <w:noProof/>
        </w:rPr>
        <w:t>II</w:t>
      </w:r>
      <w:r>
        <w:rPr>
          <w:b/>
          <w:noProof/>
        </w:rPr>
        <w:t xml:space="preserve"> dalis. Gamybos procesai, kuriuose ribojamas gyvsidabrio ir gyvsidabrio junginių naudojimas ir išleidimas </w:t>
      </w:r>
    </w:p>
    <w:p w:rsidR="005A6D58" w:rsidRDefault="005A6D58">
      <w:pPr>
        <w:tabs>
          <w:tab w:val="left" w:pos="1080"/>
        </w:tabs>
        <w:ind w:left="960" w:hanging="960"/>
        <w:rPr>
          <w:b/>
          <w:noProof/>
          <w:szCs w:val="24"/>
        </w:rPr>
      </w:pPr>
    </w:p>
    <w:p w:rsidR="005A6D58" w:rsidRDefault="00CB0570">
      <w:pPr>
        <w:rPr>
          <w:b/>
          <w:i/>
          <w:noProof/>
          <w:szCs w:val="24"/>
        </w:rPr>
      </w:pPr>
      <w:r>
        <w:rPr>
          <w:b/>
          <w:i/>
          <w:noProof/>
        </w:rPr>
        <w:t xml:space="preserve">Natrio ar kalio metanoliato ar etanoliato gamyba </w:t>
      </w:r>
    </w:p>
    <w:p w:rsidR="005A6D58" w:rsidRDefault="00CB0570">
      <w:pPr>
        <w:rPr>
          <w:noProof/>
          <w:szCs w:val="24"/>
        </w:rPr>
      </w:pPr>
      <w:r>
        <w:rPr>
          <w:noProof/>
        </w:rPr>
        <w:t xml:space="preserve">Gaminant natrio ar kalio metanoliatą ar etanoliatą turi būti laikomasi šių reikalavimų: </w:t>
      </w:r>
    </w:p>
    <w:p w:rsidR="005A6D58" w:rsidRDefault="00CB0570"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nenaudoja</w:t>
      </w:r>
      <w:r>
        <w:rPr>
          <w:noProof/>
        </w:rPr>
        <w:t xml:space="preserve">mas gyvsidabris iš pirminės gavybos; </w:t>
      </w:r>
    </w:p>
    <w:p w:rsidR="005A6D58" w:rsidRDefault="00CB0570">
      <w:pPr>
        <w:pStyle w:val="Tiret0"/>
        <w:rPr>
          <w:noProof/>
        </w:rPr>
      </w:pPr>
      <w:r>
        <w:rPr>
          <w:noProof/>
        </w:rPr>
        <w:t>iki 2020 m. 50 %, palyginti su 2010 m. kiekiu, sumažinamas tiesiogiai ir netiesiogiai į orą, vandenį ir žemę išleidžiamas gyvsidabrio ir gyvsidabrio junginių kiekis, skaičiuojant pagal pagamintos medžiagos kiekį (tonom</w:t>
      </w:r>
      <w:r>
        <w:rPr>
          <w:noProof/>
        </w:rPr>
        <w:t>is), taip pat</w:t>
      </w:r>
    </w:p>
    <w:p w:rsidR="005A6D58" w:rsidRDefault="00CB0570">
      <w:pPr>
        <w:pStyle w:val="Tiret0"/>
        <w:rPr>
          <w:noProof/>
        </w:rPr>
      </w:pPr>
      <w:r>
        <w:rPr>
          <w:noProof/>
        </w:rPr>
        <w:t>nuo šio reglamento įsigaliojimo dienos nedidinamas iki tos dienos jau eksploatuotų įrenginių, kuriuose natrio ar kalio metanoliato ar etanoliato gamybai naudojamas gyvsidabris ir gyvsidabrio junginiai, pajėgumas ir neleidžiama statyti naujų t</w:t>
      </w:r>
      <w:r>
        <w:rPr>
          <w:noProof/>
        </w:rPr>
        <w:t>okių įrenginių.</w:t>
      </w:r>
    </w:p>
    <w:p w:rsidR="005A6D58" w:rsidRDefault="00CB0570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IV PRIEDAS</w:t>
      </w:r>
    </w:p>
    <w:p w:rsidR="005A6D58" w:rsidRDefault="00CB0570">
      <w:pPr>
        <w:pStyle w:val="NormalCentered"/>
        <w:rPr>
          <w:b/>
          <w:noProof/>
        </w:rPr>
      </w:pPr>
      <w:r>
        <w:rPr>
          <w:b/>
          <w:noProof/>
        </w:rPr>
        <w:t>9 straipsnyje nurodyto nacionalinio veiksmų plano dėl amatininkiškos ir mažos apimties aukso gavybos turinys</w:t>
      </w:r>
    </w:p>
    <w:p w:rsidR="005A6D58" w:rsidRDefault="005A6D58">
      <w:pPr>
        <w:autoSpaceDE w:val="0"/>
        <w:autoSpaceDN w:val="0"/>
        <w:adjustRightInd w:val="0"/>
        <w:spacing w:before="0" w:after="0"/>
        <w:rPr>
          <w:rFonts w:eastAsia="Calibri"/>
          <w:noProof/>
          <w:sz w:val="20"/>
          <w:szCs w:val="24"/>
        </w:rPr>
      </w:pPr>
    </w:p>
    <w:p w:rsidR="005A6D58" w:rsidRDefault="00CB0570">
      <w:pPr>
        <w:rPr>
          <w:noProof/>
        </w:rPr>
      </w:pPr>
      <w:r>
        <w:rPr>
          <w:noProof/>
        </w:rPr>
        <w:t>Nacionaliniame veiksmų plane pateikiama ši informacija:</w:t>
      </w:r>
    </w:p>
    <w:p w:rsidR="005A6D58" w:rsidRDefault="00CB0570">
      <w:pPr>
        <w:pStyle w:val="Point0letter"/>
        <w:numPr>
          <w:ilvl w:val="1"/>
          <w:numId w:val="11"/>
        </w:numPr>
        <w:rPr>
          <w:noProof/>
        </w:rPr>
      </w:pPr>
      <w:r>
        <w:rPr>
          <w:noProof/>
        </w:rPr>
        <w:t>nacionaliniai tikslai ir sumažinimo uždaviniai;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veiksmai, </w:t>
      </w:r>
      <w:r>
        <w:rPr>
          <w:noProof/>
        </w:rPr>
        <w:t>kurių imamasi siekiant užkirsti kelią:</w:t>
      </w:r>
    </w:p>
    <w:p w:rsidR="005A6D58" w:rsidRDefault="00CB0570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nesmulkintos rūdos amalgamavimui;</w:t>
      </w:r>
    </w:p>
    <w:p w:rsidR="005A6D58" w:rsidRDefault="00CB0570"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amalgamos ar apdorotos amalgamos atviram deginimui;</w:t>
      </w:r>
    </w:p>
    <w:p w:rsidR="005A6D58" w:rsidRDefault="00CB0570">
      <w:pPr>
        <w:pStyle w:val="Point1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amalgamos deginimui gyvenamosiose vietovėse; taip pat </w:t>
      </w:r>
    </w:p>
    <w:p w:rsidR="005A6D58" w:rsidRDefault="00CB0570">
      <w:pPr>
        <w:pStyle w:val="Point1"/>
        <w:rPr>
          <w:noProof/>
        </w:rPr>
      </w:pPr>
      <w:r>
        <w:rPr>
          <w:noProof/>
        </w:rPr>
        <w:t>iv)</w:t>
      </w:r>
      <w:r>
        <w:rPr>
          <w:noProof/>
        </w:rPr>
        <w:tab/>
        <w:t>cianido nutekėjimui į nuosėdas, rūdą ar atsijas, į kurias bu</w:t>
      </w:r>
      <w:r>
        <w:rPr>
          <w:noProof/>
        </w:rPr>
        <w:t>vo pridėta gyvsidabrio, prieš tai nepašalinus to gyvsidabrio;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priemonės, kurių bus imamasi siekiant palengvinti amatininkiškos ir mažos apimties aukso gavybos sektoriaus formalizavimą ar reglamentavimą;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pirminiai skaičiavimai, kiek gyvsidabrio sunaudojama </w:t>
      </w:r>
      <w:r>
        <w:rPr>
          <w:noProof/>
        </w:rPr>
        <w:t>šalies teritorijoje vykdant amatininkišką ir mažos apimties aukso gavybą bei perdirbimą ir kokie metodai yra taikomi;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strategijos, kaip skatinti mažinti vykdant amatininkišką ir mažos apimties aukso gavybą bei perdirbimą išmetamą ir išleidžiamą gyvsidabrio</w:t>
      </w:r>
      <w:r>
        <w:rPr>
          <w:noProof/>
        </w:rPr>
        <w:t xml:space="preserve"> kiekį bei gyvsidabrio poveikį, įskaitant metodų be gyvsidabrio skatinimą;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strategijos, kaip valdyti prekybą ir užkirsti kelią tam, kad gyvsidabris ir gyvsidabrio junginiai iš užsienio ir vidaus šaltinių nebūtų nukreipiami į amatininkišką ir mažos apimties</w:t>
      </w:r>
      <w:r>
        <w:rPr>
          <w:noProof/>
        </w:rPr>
        <w:t xml:space="preserve"> aukso gavybą bei perdirbimą;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strategijos, kaip įtraukti suinteresuotuosius subjektus į nacionalinio veiksmų plano įgyvendinimą ir nuolatinį tobulinimą;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visuomenės sveikatos strategija dėl gyvsidabrio poveikio, kurį patiria asmenys, užsiimantys amatininkiš</w:t>
      </w:r>
      <w:r>
        <w:rPr>
          <w:noProof/>
        </w:rPr>
        <w:t>ka ir mažos apimties aukso gavyba, ir jų bendruomenės, kuri, be kita ko, turi apimti sveikatos duomenų rinkimą, sveikatos priežiūros darbuotojų mokymą ir informuotumo didinimą per sveikatos priežiūros įstaigas;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strategijos, kaip nuo amatininkiškoje ir mažo</w:t>
      </w:r>
      <w:r>
        <w:rPr>
          <w:noProof/>
        </w:rPr>
        <w:t>s apimties aukso gavyboje naudojamo gyvsidabrio poveikio apsaugoti jautrias gyventojų grupes, visų pirma vaikus ir vaisingo amžiaus moteris, ypač nėščias moteris;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 xml:space="preserve">strategijos, kaip teikti informaciją asmenims, užsiimantiems amatininkiška ir mažos apimties </w:t>
      </w:r>
      <w:r>
        <w:rPr>
          <w:noProof/>
        </w:rPr>
        <w:t>aukso gavyba, ir susijusioms bendruomenėms;</w:t>
      </w:r>
    </w:p>
    <w:p w:rsidR="005A6D58" w:rsidRDefault="00CB0570">
      <w:pPr>
        <w:pStyle w:val="Point0letter"/>
        <w:numPr>
          <w:ilvl w:val="1"/>
          <w:numId w:val="10"/>
        </w:numPr>
        <w:rPr>
          <w:noProof/>
        </w:rPr>
      </w:pPr>
      <w:r>
        <w:rPr>
          <w:noProof/>
        </w:rPr>
        <w:t>nacionalinio veiksmų plano įgyvendinimo tvarkaraštis.</w:t>
      </w:r>
    </w:p>
    <w:p w:rsidR="005A6D58" w:rsidRDefault="00CB0570">
      <w:pPr>
        <w:pStyle w:val="Annexetitre"/>
        <w:rPr>
          <w:noProof/>
          <w:u w:val="none"/>
        </w:rPr>
      </w:pPr>
      <w:r>
        <w:rPr>
          <w:noProof/>
        </w:rPr>
        <w:br w:type="page"/>
      </w:r>
      <w:r>
        <w:rPr>
          <w:noProof/>
          <w:u w:val="none"/>
        </w:rPr>
        <w:t>V PRIEDAS</w:t>
      </w:r>
    </w:p>
    <w:p w:rsidR="005A6D58" w:rsidRDefault="00CB0570">
      <w:pPr>
        <w:pStyle w:val="NormalCentered"/>
        <w:rPr>
          <w:b/>
          <w:noProof/>
        </w:rPr>
      </w:pPr>
      <w:r>
        <w:rPr>
          <w:b/>
          <w:noProof/>
        </w:rPr>
        <w:t>Atitikties lentelė</w:t>
      </w:r>
    </w:p>
    <w:p w:rsidR="005A6D58" w:rsidRDefault="005A6D5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5A6D58">
        <w:trPr>
          <w:trHeight w:val="968"/>
        </w:trPr>
        <w:tc>
          <w:tcPr>
            <w:tcW w:w="4644" w:type="dxa"/>
          </w:tcPr>
          <w:p w:rsidR="005A6D58" w:rsidRDefault="005A6D58">
            <w:pPr>
              <w:jc w:val="center"/>
              <w:rPr>
                <w:noProof/>
              </w:rPr>
            </w:pPr>
          </w:p>
          <w:p w:rsidR="005A6D58" w:rsidRDefault="00CB057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Reglamentas (EB) Nr. 1102/2008</w:t>
            </w:r>
          </w:p>
          <w:p w:rsidR="005A6D58" w:rsidRDefault="005A6D58">
            <w:pPr>
              <w:jc w:val="center"/>
              <w:rPr>
                <w:noProof/>
              </w:rPr>
            </w:pPr>
          </w:p>
          <w:p w:rsidR="005A6D58" w:rsidRDefault="005A6D58">
            <w:pPr>
              <w:jc w:val="center"/>
              <w:rPr>
                <w:noProof/>
              </w:rPr>
            </w:pPr>
          </w:p>
        </w:tc>
        <w:tc>
          <w:tcPr>
            <w:tcW w:w="4645" w:type="dxa"/>
          </w:tcPr>
          <w:p w:rsidR="005A6D58" w:rsidRDefault="005A6D58">
            <w:pPr>
              <w:jc w:val="center"/>
              <w:rPr>
                <w:b/>
                <w:noProof/>
                <w:szCs w:val="22"/>
              </w:rPr>
            </w:pPr>
          </w:p>
          <w:p w:rsidR="005A6D58" w:rsidRDefault="00CB057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Šis reglamentas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1 dalies pirma pastraipa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1 straipsnio </w:t>
            </w:r>
            <w:r>
              <w:rPr>
                <w:noProof/>
              </w:rPr>
              <w:t>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1 dalies antra pastraipa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 straipsnio 3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2 straipsnis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11 straipsnis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1 dalies pirma pastraipa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13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1 dalies antra pastraipa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3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 xml:space="preserve">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4 straipsnio 3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5 straipsnio 3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6 </w:t>
            </w:r>
            <w:r>
              <w:rPr>
                <w:noProof/>
              </w:rPr>
              <w:t>straipsnio 3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 straipsnio 1 dalis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6 straipsnio 4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7 straipsnis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14 straipsnis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straipsnio 1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straipsnio 2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straipsnio 3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straipsnio 4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8 straipsnio 5 dalis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  <w:tr w:rsidR="005A6D58">
        <w:tc>
          <w:tcPr>
            <w:tcW w:w="4644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9 straipsnis</w:t>
            </w:r>
          </w:p>
          <w:p w:rsidR="005A6D58" w:rsidRDefault="005A6D58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4645" w:type="dxa"/>
          </w:tcPr>
          <w:p w:rsidR="005A6D58" w:rsidRDefault="00CB0570">
            <w:pPr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_ </w:t>
            </w:r>
          </w:p>
        </w:tc>
      </w:tr>
    </w:tbl>
    <w:p w:rsidR="005A6D58" w:rsidRDefault="005A6D58">
      <w:pPr>
        <w:rPr>
          <w:noProof/>
        </w:rPr>
      </w:pPr>
    </w:p>
    <w:sectPr w:rsidR="005A6D58" w:rsidSect="00EA4679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8" w:rsidRDefault="00CB0570">
      <w:pPr>
        <w:spacing w:before="0" w:after="0"/>
      </w:pPr>
      <w:r>
        <w:separator/>
      </w:r>
    </w:p>
  </w:endnote>
  <w:endnote w:type="continuationSeparator" w:id="0">
    <w:p w:rsidR="005A6D58" w:rsidRDefault="00CB05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79" w:rsidRPr="00EA4679" w:rsidRDefault="00EA4679" w:rsidP="00EA4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58" w:rsidRPr="00CB0570" w:rsidRDefault="00CB0570" w:rsidP="00CB0570">
    <w:pPr>
      <w:pStyle w:val="Footer"/>
      <w:rPr>
        <w:rFonts w:ascii="Arial" w:hAnsi="Arial" w:cs="Arial"/>
        <w:b/>
        <w:sz w:val="48"/>
      </w:rPr>
    </w:pPr>
    <w:r w:rsidRPr="00CB0570">
      <w:rPr>
        <w:rFonts w:ascii="Arial" w:hAnsi="Arial" w:cs="Arial"/>
        <w:b/>
        <w:sz w:val="48"/>
      </w:rPr>
      <w:t>LT</w:t>
    </w:r>
    <w:r w:rsidRPr="00CB0570">
      <w:rPr>
        <w:rFonts w:ascii="Arial" w:hAnsi="Arial" w:cs="Arial"/>
        <w:b/>
        <w:sz w:val="48"/>
      </w:rPr>
      <w:tab/>
    </w:r>
    <w:r w:rsidRPr="00CB0570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CB0570">
      <w:tab/>
    </w:r>
    <w:r w:rsidRPr="00CB0570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79" w:rsidRPr="00EA4679" w:rsidRDefault="00EA4679" w:rsidP="00CB05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70" w:rsidRPr="00CB0570" w:rsidRDefault="00CB0570" w:rsidP="00CB0570">
    <w:pPr>
      <w:pStyle w:val="Footer"/>
      <w:rPr>
        <w:rFonts w:ascii="Arial" w:hAnsi="Arial" w:cs="Arial"/>
        <w:b/>
        <w:sz w:val="48"/>
      </w:rPr>
    </w:pPr>
    <w:r w:rsidRPr="00CB0570">
      <w:rPr>
        <w:rFonts w:ascii="Arial" w:hAnsi="Arial" w:cs="Arial"/>
        <w:b/>
        <w:sz w:val="48"/>
      </w:rPr>
      <w:t>LT</w:t>
    </w:r>
    <w:r w:rsidRPr="00CB057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CB0570">
      <w:tab/>
    </w:r>
    <w:r w:rsidRPr="00CB0570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70" w:rsidRPr="00EA4679" w:rsidRDefault="00CB0570" w:rsidP="00CB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8" w:rsidRDefault="00CB0570">
      <w:pPr>
        <w:spacing w:before="0" w:after="0"/>
      </w:pPr>
      <w:r>
        <w:separator/>
      </w:r>
    </w:p>
  </w:footnote>
  <w:footnote w:type="continuationSeparator" w:id="0">
    <w:p w:rsidR="005A6D58" w:rsidRDefault="00CB0570">
      <w:pPr>
        <w:spacing w:before="0" w:after="0"/>
      </w:pPr>
      <w:r>
        <w:continuationSeparator/>
      </w:r>
    </w:p>
  </w:footnote>
  <w:footnote w:id="1">
    <w:p w:rsidR="005A6D58" w:rsidRDefault="00CB0570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 xml:space="preserve">2009 m. lapkričio 30 d. Europos Parlamento ir Tarybos reglamentas (EB) Nr. 1223/2009 dėl kosmetikos gaminių </w:t>
      </w:r>
      <w:r>
        <w:rPr>
          <w:rStyle w:val="Strong"/>
          <w:b w:val="0"/>
          <w:color w:val="444444"/>
        </w:rPr>
        <w:t>(</w:t>
      </w:r>
      <w:r>
        <w:t xml:space="preserve">OL L 342, 2009 12 22, p. 59). </w:t>
      </w:r>
    </w:p>
  </w:footnote>
  <w:footnote w:id="2">
    <w:p w:rsidR="005A6D58" w:rsidRDefault="00CB0570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t xml:space="preserve">2000 m. rugsėjo 18 d. </w:t>
      </w:r>
      <w:r>
        <w:t>Europos Parlamento ir Tarybos direktyva 2000/53/EB dėl eksploatuoti netinkamų transporto priemonių (OL L 269, 2000 10 21, p. 34).</w:t>
      </w:r>
    </w:p>
  </w:footnote>
  <w:footnote w:id="3">
    <w:p w:rsidR="005A6D58" w:rsidRDefault="00CB0570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</w:rPr>
        <w:t>2011 m. birželio 8 d. Europos Parlamento ir Tarybos direktyva 2011/65/ES dėl tam tikrų pavojingų medžiagų naudojimo elektros</w:t>
      </w:r>
      <w:r>
        <w:rPr>
          <w:rStyle w:val="Strong"/>
          <w:b w:val="0"/>
        </w:rPr>
        <w:t xml:space="preserve"> ir elektroninėje įrangoje apribojimo</w:t>
      </w:r>
      <w:r>
        <w:rPr>
          <w:rStyle w:val="Strong"/>
        </w:rPr>
        <w:t xml:space="preserve"> </w:t>
      </w:r>
      <w:r>
        <w:rPr>
          <w:rStyle w:val="Strong"/>
          <w:b w:val="0"/>
        </w:rPr>
        <w:t>(</w:t>
      </w:r>
      <w:r>
        <w:t>OL L 174, 2011 7 1, p. 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79" w:rsidRPr="00EA4679" w:rsidRDefault="00EA4679" w:rsidP="00EA4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79" w:rsidRPr="00EA4679" w:rsidRDefault="00EA4679" w:rsidP="00CB0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79" w:rsidRPr="00EA4679" w:rsidRDefault="00EA4679" w:rsidP="00CB0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EA182"/>
    <w:lvl w:ilvl="0">
      <w:start w:val="1"/>
      <w:numFmt w:val="decimal"/>
      <w:pStyle w:val="ListNumber4"/>
      <w:lvlText w:val="%1."/>
      <w:lvlJc w:val="left"/>
      <w:pPr>
        <w:tabs>
          <w:tab w:val="num" w:pos="3405"/>
        </w:tabs>
        <w:ind w:left="3405" w:hanging="360"/>
      </w:pPr>
    </w:lvl>
  </w:abstractNum>
  <w:abstractNum w:abstractNumId="1">
    <w:nsid w:val="FFFFFF7E"/>
    <w:multiLevelType w:val="singleLevel"/>
    <w:tmpl w:val="1B0622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FCEF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31016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2AD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F2A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7CCD3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0C4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6"/>
    <w:multiLevelType w:val="singleLevel"/>
    <w:tmpl w:val="00000006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B1D4F8D"/>
    <w:multiLevelType w:val="hybridMultilevel"/>
    <w:tmpl w:val="1124EC30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0"/>
  </w:num>
  <w:num w:numId="20">
    <w:abstractNumId w:val="21"/>
  </w:num>
  <w:num w:numId="21">
    <w:abstractNumId w:val="9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7"/>
  </w:num>
  <w:num w:numId="27">
    <w:abstractNumId w:val="23"/>
  </w:num>
  <w:num w:numId="28">
    <w:abstractNumId w:val="20"/>
  </w:num>
  <w:num w:numId="29">
    <w:abstractNumId w:val="13"/>
  </w:num>
  <w:num w:numId="30">
    <w:abstractNumId w:val="22"/>
  </w:num>
  <w:num w:numId="31">
    <w:abstractNumId w:val="12"/>
  </w:num>
  <w:num w:numId="32">
    <w:abstractNumId w:val="14"/>
  </w:num>
  <w:num w:numId="33">
    <w:abstractNumId w:val="10"/>
  </w:num>
  <w:num w:numId="34">
    <w:abstractNumId w:val="21"/>
  </w:num>
  <w:num w:numId="35">
    <w:abstractNumId w:val="9"/>
  </w:num>
  <w:num w:numId="36">
    <w:abstractNumId w:val="15"/>
  </w:num>
  <w:num w:numId="37">
    <w:abstractNumId w:val="18"/>
  </w:num>
  <w:num w:numId="38">
    <w:abstractNumId w:val="19"/>
  </w:num>
  <w:num w:numId="39">
    <w:abstractNumId w:val="11"/>
  </w:num>
  <w:num w:numId="40">
    <w:abstractNumId w:val="17"/>
  </w:num>
  <w:num w:numId="4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2-01 09:40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 pasi\u363?lymo d\u279?l"/>
    <w:docVar w:name="LW_ACCOMPAGNANT.CP" w:val="prie pasi\u363?lymo d\u279?l"/>
    <w:docVar w:name="LW_ANNEX_NBR_FIRST" w:val="1"/>
    <w:docVar w:name="LW_ANNEX_NBR_LAST" w:val="5"/>
    <w:docVar w:name="LW_CONFIDENCE" w:val=" "/>
    <w:docVar w:name="LW_CONST_RESTREINT_UE" w:val="RESTREINT UE/EU RESTRICTED"/>
    <w:docVar w:name="LW_CORRIGENDUM" w:val="&lt;UNUSED&gt;"/>
    <w:docVar w:name="LW_COVERPAGE_GUID" w:val="ACB91FBAAE12412696964E2A16813CA3"/>
    <w:docVar w:name="LW_CROSSREFERENCE" w:val="&lt;UNUSED&gt;"/>
    <w:docVar w:name="LW_DocType" w:val="ANNEX"/>
    <w:docVar w:name="LW_EMISSION" w:val="2016 02 02"/>
    <w:docVar w:name="LW_EMISSION_ISODATE" w:val="2016-02-02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" w:val="d\u279?l gyvsidabrio, kuriuo panaikinamas Reglamentas (EB) Nr.&lt;LWCR:NBS&gt;1102/2008"/>
    <w:docVar w:name="LW_OBJETACTEPRINCIPAL.CP" w:val="d\u279?l gyvsidabrio, kuriuo panaikinamas Reglamentas (EB) Nr. 1102/2008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39"/>
    <w:docVar w:name="LW_REF.INTERNE" w:val="&lt;UNUSED&gt;"/>
    <w:docVar w:name="LW_SUPERTITRE" w:val="&lt;UNUSED&gt;"/>
    <w:docVar w:name="LW_TITRE.OBJ.CP" w:val="&lt;UNUSED&gt;"/>
    <w:docVar w:name="LW_TYPE.DOC" w:val="PRIEDAI"/>
    <w:docVar w:name="LW_TYPE.DOC.CP" w:val="PRIEDAI"/>
    <w:docVar w:name="LW_TYPEACTEPRINCIPAL" w:val="Europos Parlamento ir Tarybos reglamento"/>
    <w:docVar w:name="LW_TYPEACTEPRINCIPAL.CP" w:val="Europos Parlamento ir Tarybos reglamento"/>
  </w:docVars>
  <w:rsids>
    <w:rsidRoot w:val="005A6D58"/>
    <w:rsid w:val="005A6D58"/>
    <w:rsid w:val="00CB0570"/>
    <w:rsid w:val="00E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EA467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467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B057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1">
    <w:name w:val="Style1"/>
    <w:basedOn w:val="FootnoteText"/>
    <w:qFormat/>
    <w:rPr>
      <w:color w:val="444444"/>
    </w:rPr>
  </w:style>
  <w:style w:type="paragraph" w:styleId="Header">
    <w:name w:val="header"/>
    <w:basedOn w:val="Normal"/>
    <w:link w:val="HeaderChar"/>
    <w:uiPriority w:val="99"/>
    <w:unhideWhenUsed/>
    <w:rsid w:val="00EA4679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467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B057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8A4E-3D70-4435-AAD5-05AE709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1004</Words>
  <Characters>6254</Characters>
  <Application>Microsoft Office Word</Application>
  <DocSecurity>0</DocSecurity>
  <Lines>208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FORNASERO Stefania (ENV)</dc:creator>
  <cp:lastModifiedBy>LAGES CARVALHO Patrick (SG)</cp:lastModifiedBy>
  <cp:revision>10</cp:revision>
  <cp:lastPrinted>2016-01-12T15:15:00Z</cp:lastPrinted>
  <dcterms:created xsi:type="dcterms:W3CDTF">2016-01-29T15:01:00Z</dcterms:created>
  <dcterms:modified xsi:type="dcterms:W3CDTF">2016-02-01T12:08:00Z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5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