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0" w:rsidRDefault="00463777" w:rsidP="00463777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3257C419D5D4C07816105F50297CC7D" style="width:450.75pt;height:396.75pt">
            <v:imagedata r:id="rId9" o:title=""/>
          </v:shape>
        </w:pict>
      </w:r>
    </w:p>
    <w:p w:rsidR="00012DA0" w:rsidRDefault="00012DA0">
      <w:pPr>
        <w:pStyle w:val="Pagedecouverture"/>
        <w:rPr>
          <w:noProof/>
        </w:rPr>
        <w:sectPr w:rsidR="00012DA0" w:rsidSect="004637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12DA0" w:rsidRDefault="00463777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ANNESS I</w:t>
      </w:r>
    </w:p>
    <w:p w:rsidR="00012DA0" w:rsidRDefault="00463777">
      <w:pPr>
        <w:pStyle w:val="NormalCentered"/>
        <w:rPr>
          <w:b/>
          <w:noProof/>
        </w:rPr>
      </w:pPr>
      <w:r>
        <w:rPr>
          <w:b/>
          <w:noProof/>
        </w:rPr>
        <w:t>Komposti tal-merkurju u taħlitiet soġġetti għall-Artikoli 3 u 4</w:t>
      </w:r>
    </w:p>
    <w:p w:rsidR="00012DA0" w:rsidRDefault="00012DA0">
      <w:pPr>
        <w:rPr>
          <w:noProof/>
        </w:rPr>
      </w:pPr>
    </w:p>
    <w:p w:rsidR="00012DA0" w:rsidRDefault="00463777">
      <w:pPr>
        <w:rPr>
          <w:noProof/>
        </w:rPr>
      </w:pPr>
      <w:r>
        <w:rPr>
          <w:b/>
          <w:i/>
          <w:noProof/>
        </w:rPr>
        <w:t>Komposti tal-merkurju</w:t>
      </w:r>
      <w:r>
        <w:rPr>
          <w:noProof/>
        </w:rPr>
        <w:t xml:space="preserve">: </w:t>
      </w:r>
    </w:p>
    <w:p w:rsidR="00012DA0" w:rsidRDefault="00463777">
      <w:pPr>
        <w:rPr>
          <w:noProof/>
        </w:rPr>
      </w:pPr>
      <w:r>
        <w:rPr>
          <w:noProof/>
        </w:rPr>
        <w:t>Klorur tal-merkurju (I) (Hg</w:t>
      </w:r>
      <w:r>
        <w:rPr>
          <w:noProof/>
          <w:vertAlign w:val="subscript"/>
        </w:rPr>
        <w:t>2</w:t>
      </w:r>
      <w:r>
        <w:rPr>
          <w:noProof/>
        </w:rPr>
        <w:t>Cl</w:t>
      </w:r>
      <w:r>
        <w:rPr>
          <w:noProof/>
          <w:vertAlign w:val="subscript"/>
        </w:rPr>
        <w:t>2</w:t>
      </w:r>
      <w:r>
        <w:rPr>
          <w:noProof/>
        </w:rPr>
        <w:t>, CAS RN 10112-91-1)</w:t>
      </w:r>
    </w:p>
    <w:p w:rsidR="00012DA0" w:rsidRDefault="00463777">
      <w:pPr>
        <w:rPr>
          <w:noProof/>
        </w:rPr>
      </w:pPr>
      <w:r>
        <w:rPr>
          <w:noProof/>
        </w:rPr>
        <w:t>Ossidu tal-merkurju (II) (HgO, CAS RN 21908-53-2)</w:t>
      </w:r>
    </w:p>
    <w:p w:rsidR="00012DA0" w:rsidRDefault="00463777">
      <w:pPr>
        <w:rPr>
          <w:noProof/>
        </w:rPr>
      </w:pPr>
      <w:r>
        <w:rPr>
          <w:noProof/>
        </w:rPr>
        <w:t>Mineral taċ-ċinabru</w:t>
      </w:r>
    </w:p>
    <w:p w:rsidR="00012DA0" w:rsidRDefault="00012DA0">
      <w:pPr>
        <w:rPr>
          <w:noProof/>
        </w:rPr>
      </w:pPr>
    </w:p>
    <w:p w:rsidR="00012DA0" w:rsidRDefault="00463777">
      <w:pPr>
        <w:rPr>
          <w:b/>
          <w:i/>
          <w:noProof/>
        </w:rPr>
      </w:pPr>
      <w:r>
        <w:rPr>
          <w:b/>
          <w:i/>
          <w:noProof/>
        </w:rPr>
        <w:t>Taħlitiet:</w:t>
      </w:r>
    </w:p>
    <w:p w:rsidR="00012DA0" w:rsidRDefault="00463777">
      <w:pPr>
        <w:rPr>
          <w:noProof/>
        </w:rPr>
      </w:pPr>
      <w:r>
        <w:rPr>
          <w:noProof/>
        </w:rPr>
        <w:t>Taħlitiet tal-merkurju ma' sustanzi oħra, inklużi ligi tal-merkurju, b’konċentrazzjoni ta’ merkurju li tkun tal-anqas 95 %</w:t>
      </w:r>
      <w:r>
        <w:rPr>
          <w:noProof/>
        </w:rPr>
        <w:t xml:space="preserve"> (piż skont il-piż).</w:t>
      </w:r>
    </w:p>
    <w:p w:rsidR="00012DA0" w:rsidRDefault="00463777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lastRenderedPageBreak/>
        <w:t>ANNESS II</w:t>
      </w:r>
    </w:p>
    <w:p w:rsidR="00012DA0" w:rsidRDefault="00463777">
      <w:pPr>
        <w:pStyle w:val="NormalCentered"/>
        <w:rPr>
          <w:b/>
          <w:noProof/>
        </w:rPr>
      </w:pPr>
      <w:r>
        <w:rPr>
          <w:b/>
          <w:noProof/>
        </w:rPr>
        <w:t xml:space="preserve">Prodotti miżjuda bil-merkurju msemmija fl-Artikolu 5 </w:t>
      </w:r>
    </w:p>
    <w:p w:rsidR="00012DA0" w:rsidRDefault="00012DA0">
      <w:pPr>
        <w:ind w:left="1440" w:firstLine="720"/>
        <w:rPr>
          <w:noProof/>
        </w:rPr>
      </w:pPr>
    </w:p>
    <w:p w:rsidR="00012DA0" w:rsidRDefault="00463777">
      <w:pPr>
        <w:rPr>
          <w:b/>
          <w:noProof/>
        </w:rPr>
      </w:pPr>
      <w:r>
        <w:rPr>
          <w:b/>
          <w:noProof/>
        </w:rPr>
        <w:t>Parti A - Prodotti miżjuda bil-merkurju</w:t>
      </w:r>
    </w:p>
    <w:p w:rsidR="00012DA0" w:rsidRDefault="00012DA0">
      <w:pPr>
        <w:rPr>
          <w:noProof/>
        </w:rPr>
      </w:pPr>
    </w:p>
    <w:tbl>
      <w:tblPr>
        <w:tblW w:w="9786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6"/>
      </w:tblGrid>
      <w:tr w:rsidR="00012DA0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ind w:left="252" w:hanging="24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noProof/>
              </w:rPr>
              <w:t xml:space="preserve"> Batteriji, ħlief batteriji buttuna tal-ossidu taż-żingu tal-fidda b’kontenut ta’ merkurju &lt;</w:t>
            </w:r>
            <w:r>
              <w:rPr>
                <w:noProof/>
              </w:rPr>
              <w:t xml:space="preserve"> 2 % u batteriji buttuna taż-żingu-arja b’kontenut ta’ merkurju &lt; 2 %.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2.</w:t>
            </w:r>
            <w:r>
              <w:rPr>
                <w:noProof/>
              </w:rPr>
              <w:t xml:space="preserve"> Swiċċijiet u rilejs, ħlief il-pontijiet għall-kejl b’akkuratezza għolja ħafna tal-kapaċitanza u t-telf u swiċċijiet u rilejs tal-frekwenza tar-radju bi frekwenza għolja għal strumen</w:t>
            </w:r>
            <w:r>
              <w:rPr>
                <w:noProof/>
              </w:rPr>
              <w:t>ti ta' monitoraġġ u kontroll b'kontenut massimu ta' merkurju ta’ 20 mg għal kull pont, swiċċ jew rilej.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3.</w:t>
            </w:r>
            <w:r>
              <w:rPr>
                <w:noProof/>
              </w:rPr>
              <w:t xml:space="preserve"> Bozoz fluworexxenti kompatti (CFLs) għal skopijiet ta’ tidwil ġenerali li huma ≤ 30 watts b’kontenut ta’ merkurju li jaqbeż il-5 mg għal kull berner tal-bozza.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4.</w:t>
            </w:r>
            <w:r>
              <w:rPr>
                <w:noProof/>
              </w:rPr>
              <w:t xml:space="preserve"> Il-bozoz fluworexxenti lineari li ġejjin (LFLs) għal skopijiet ta’ tidwil ġenerali:</w:t>
            </w:r>
          </w:p>
          <w:p w:rsidR="00012DA0" w:rsidRDefault="00463777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>Fosforu</w:t>
            </w:r>
            <w:r>
              <w:rPr>
                <w:noProof/>
              </w:rPr>
              <w:t xml:space="preserve"> bi tliet strixxi &lt; 60 watts b’kontenut ta’ merkurju li jaqbeż il-5 mg għal kull bozza;</w:t>
            </w:r>
          </w:p>
          <w:p w:rsidR="00012DA0" w:rsidRDefault="00463777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>Fosforu tal-alofosfat &lt; 40 watts b’kontenut ta’ merkurju li jaqbeż l-10 mg għal kull bozza.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5.</w:t>
            </w:r>
            <w:r>
              <w:rPr>
                <w:noProof/>
              </w:rPr>
              <w:t xml:space="preserve"> Bozoz tal-merkurju (gass) taħt pressjoni għolja (HPMV) għal skopijiet ta</w:t>
            </w:r>
            <w:r>
              <w:rPr>
                <w:noProof/>
              </w:rPr>
              <w:t>’ tidwil ġenerali.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6.</w:t>
            </w:r>
            <w:r>
              <w:rPr>
                <w:noProof/>
              </w:rPr>
              <w:t xml:space="preserve"> Dawn il-bozoz fluworexxenti b'katodu kiesaħ u l-bozoz fluworexxenti b'elettrodi esterni (CCFL u EEFL) li fihom il-merkurju miżjud, għal skrins elettroniċi: 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(a) ta' tul qasir (≤ 500 mm) b’kontenut ta’ merkurju ogħla minn 3,5 mg għal </w:t>
            </w:r>
            <w:r>
              <w:rPr>
                <w:noProof/>
              </w:rPr>
              <w:t>kull bozza;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>(b) ta' tul medju (&gt; 500 mm u ≤ 1 500 mm) b’kontenut ta’ merkurju ogħla minn 5 mg għal kull bozza;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>(c) ta' tul twil (&gt; 1 500 mm) b’kontenut ta’ merkurju ogħla minn 13 mg għal kull bozza.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7.</w:t>
            </w:r>
            <w:r>
              <w:rPr>
                <w:noProof/>
              </w:rPr>
              <w:t xml:space="preserve"> Kożmetiċi bil-merkurju u bil-komposti tal-merkurju, ħ</w:t>
            </w:r>
            <w:r>
              <w:rPr>
                <w:noProof/>
              </w:rPr>
              <w:t>lief dawk il-każijiet speċjali inklużi fl-annotazzjoni 17 tal-Anness V tar-Regolament (KE) Nru 1223/2009 tal-Parlament Ewropew u tal-Kunsill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.</w:t>
            </w:r>
          </w:p>
        </w:tc>
      </w:tr>
      <w:tr w:rsidR="00012DA0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8.</w:t>
            </w:r>
            <w:r>
              <w:rPr>
                <w:noProof/>
              </w:rPr>
              <w:t xml:space="preserve"> Pestiċidi, bijoċidi u antisettiċi topiċi.</w:t>
            </w:r>
          </w:p>
        </w:tc>
      </w:tr>
      <w:tr w:rsidR="00012DA0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DA0" w:rsidRDefault="00463777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9.</w:t>
            </w:r>
            <w:r>
              <w:rPr>
                <w:noProof/>
              </w:rPr>
              <w:t xml:space="preserve"> L-istrumenti tal-kejl mhux elettroniċi li ġejjin, fejn mhi disponibbli l-ebda alternattiva xierqa mingħajr merkurju: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(a) barometri; 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(b) igrometri; 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(c) manometri; 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>(d) termometri;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>(e) sfigmomanometri;</w:t>
            </w:r>
          </w:p>
          <w:p w:rsidR="00012DA0" w:rsidRDefault="00463777">
            <w:pPr>
              <w:rPr>
                <w:rFonts w:eastAsia="SimSun"/>
                <w:noProof/>
              </w:rPr>
            </w:pPr>
            <w:r>
              <w:rPr>
                <w:noProof/>
              </w:rPr>
              <w:t>Din l-annotazzjoni ma tkoprix l-istrumenti tal-kejl l</w:t>
            </w:r>
            <w:r>
              <w:rPr>
                <w:noProof/>
              </w:rPr>
              <w:t>i ġejjin:</w:t>
            </w:r>
          </w:p>
          <w:p w:rsidR="00012DA0" w:rsidRDefault="0046377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strumenti tal-kejl mhux elettroniċi installati f’tagħmir fuq skala kbira jew dawk użati għal kejl ta’ preċiżjoni għolja;</w:t>
            </w:r>
          </w:p>
          <w:p w:rsidR="00012DA0" w:rsidRDefault="0046377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strumenti tal-kejl li fit-3 ta’ Ottubru 2007 kellhom aktar minn 50 sena;</w:t>
            </w:r>
          </w:p>
          <w:p w:rsidR="00012DA0" w:rsidRDefault="0046377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strumenti tal-kejl li jridu jidhru f’wirjiet pubbliċ</w:t>
            </w:r>
            <w:r>
              <w:rPr>
                <w:noProof/>
                <w:sz w:val="24"/>
              </w:rPr>
              <w:t>i għal finijiet kulturali u storiċi.</w:t>
            </w:r>
          </w:p>
        </w:tc>
      </w:tr>
    </w:tbl>
    <w:p w:rsidR="00012DA0" w:rsidRDefault="00012DA0">
      <w:pPr>
        <w:rPr>
          <w:noProof/>
        </w:rPr>
      </w:pPr>
    </w:p>
    <w:p w:rsidR="00012DA0" w:rsidRDefault="00463777">
      <w:pPr>
        <w:rPr>
          <w:b/>
          <w:noProof/>
        </w:rPr>
      </w:pPr>
      <w:r>
        <w:rPr>
          <w:b/>
          <w:noProof/>
        </w:rPr>
        <w:t>Parti B - Prodotti addizzjonali esklużi mil-lista fil-Parti A ta’ dan l-Anness</w:t>
      </w:r>
    </w:p>
    <w:p w:rsidR="00012DA0" w:rsidRDefault="00012DA0">
      <w:pPr>
        <w:rPr>
          <w:noProof/>
        </w:rPr>
      </w:pPr>
    </w:p>
    <w:p w:rsidR="00012DA0" w:rsidRDefault="00463777">
      <w:pPr>
        <w:rPr>
          <w:noProof/>
        </w:rPr>
      </w:pPr>
      <w:r>
        <w:rPr>
          <w:noProof/>
        </w:rPr>
        <w:t xml:space="preserve">Swiċċijiet u rilejs, bozoz fluworexxenti b’katodu kiesaħ u bozoz fluworexxenti b’elettrodi esterni (CCFL u EEFL) għal skrins elettroniċi </w:t>
      </w:r>
      <w:r>
        <w:rPr>
          <w:noProof/>
        </w:rPr>
        <w:t>u strumenti tal-kejl, meta jintużaw biex jieħdu post komponent ta' tagħmir akbar u dment li ma teżisti l-ebda alternattiva fattibbli mingħajr merkurju għal dak il-komponent, f’konformità mad-Direttiva 2000/53/KE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d-Dir</w:t>
      </w:r>
      <w:r>
        <w:rPr>
          <w:noProof/>
        </w:rPr>
        <w:t>ettiva 2011/65/UE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012DA0" w:rsidRDefault="00463777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ANNESS III</w:t>
      </w:r>
    </w:p>
    <w:p w:rsidR="00012DA0" w:rsidRDefault="00463777">
      <w:pPr>
        <w:pStyle w:val="NormalCentered"/>
        <w:rPr>
          <w:b/>
          <w:noProof/>
        </w:rPr>
      </w:pPr>
      <w:r>
        <w:rPr>
          <w:b/>
          <w:noProof/>
        </w:rPr>
        <w:t xml:space="preserve">Rekwiżiti relatati mal-merkurju applikabbli għall-proċessi ta’ manifattura </w:t>
      </w:r>
    </w:p>
    <w:p w:rsidR="00012DA0" w:rsidRDefault="00012DA0">
      <w:pPr>
        <w:rPr>
          <w:b/>
          <w:noProof/>
          <w:szCs w:val="24"/>
        </w:rPr>
      </w:pPr>
    </w:p>
    <w:p w:rsidR="00012DA0" w:rsidRDefault="00463777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 xml:space="preserve">Parti I: L-użu pprojbit ta’ merkurju jew komposti tal-merkurju fil-proċessi tal-manifattura </w:t>
      </w:r>
    </w:p>
    <w:p w:rsidR="00012DA0" w:rsidRDefault="00012DA0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mill-1 ta' Jannar</w:t>
      </w:r>
      <w:r>
        <w:rPr>
          <w:noProof/>
        </w:rPr>
        <w:t xml:space="preserve"> 2019: il-produzzjoni tal-aċetaldeid</w:t>
      </w:r>
    </w:p>
    <w:p w:rsidR="00012DA0" w:rsidRDefault="00463777">
      <w:pPr>
        <w:pStyle w:val="Point0letter"/>
        <w:rPr>
          <w:noProof/>
        </w:rPr>
      </w:pPr>
      <w:r>
        <w:rPr>
          <w:noProof/>
        </w:rPr>
        <w:t>mill-1 ta' Jannar 2019: il-produzzjoni tal-monomer tal-klorur tal-vinil</w:t>
      </w:r>
    </w:p>
    <w:p w:rsidR="00012DA0" w:rsidRDefault="00012DA0">
      <w:pPr>
        <w:rPr>
          <w:noProof/>
          <w:szCs w:val="24"/>
        </w:rPr>
      </w:pPr>
    </w:p>
    <w:p w:rsidR="00012DA0" w:rsidRDefault="00463777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 xml:space="preserve">Parti II: Il-proċessi ta’ manifattura soġġetti għal restrizzjonijiet fuq l-użu u r-rilaxx ta’ merkurju u komposti tal-merkurju </w:t>
      </w:r>
    </w:p>
    <w:p w:rsidR="00012DA0" w:rsidRDefault="00012DA0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012DA0" w:rsidRDefault="00463777">
      <w:pPr>
        <w:rPr>
          <w:b/>
          <w:i/>
          <w:noProof/>
          <w:szCs w:val="24"/>
        </w:rPr>
      </w:pPr>
      <w:r>
        <w:rPr>
          <w:b/>
          <w:i/>
          <w:noProof/>
        </w:rPr>
        <w:t>Il-produzzjoni ta</w:t>
      </w:r>
      <w:r>
        <w:rPr>
          <w:b/>
          <w:i/>
          <w:noProof/>
        </w:rPr>
        <w:t xml:space="preserve">l-metilat jew tal-etilat tas-sodju jew tal-potassju </w:t>
      </w:r>
    </w:p>
    <w:p w:rsidR="00012DA0" w:rsidRDefault="00463777">
      <w:pPr>
        <w:rPr>
          <w:noProof/>
          <w:szCs w:val="24"/>
        </w:rPr>
      </w:pPr>
      <w:r>
        <w:rPr>
          <w:noProof/>
        </w:rPr>
        <w:t xml:space="preserve">Il-produzzjoni tal-metilat jew tal-etilat tas-sodju jew tal-potassju għandha ssir skont ir-rekwiżiti li ġejjin: </w:t>
      </w:r>
    </w:p>
    <w:p w:rsidR="00012DA0" w:rsidRDefault="00463777"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L-ebda użu ta’ merkurju minn estrazzjoni primarja; </w:t>
      </w:r>
    </w:p>
    <w:p w:rsidR="00012DA0" w:rsidRDefault="00463777">
      <w:pPr>
        <w:pStyle w:val="Tiret0"/>
        <w:rPr>
          <w:noProof/>
        </w:rPr>
      </w:pPr>
      <w:r>
        <w:rPr>
          <w:noProof/>
        </w:rPr>
        <w:t>It-tnaqqis b'50 %, sal-2020, tar-rilax</w:t>
      </w:r>
      <w:r>
        <w:rPr>
          <w:noProof/>
        </w:rPr>
        <w:t>x dirett u indirett tal-merkurju u tal-komposti tal-merkurju fl-arja, fl-ilma u fl-art, f’termini ta’ kull tunnellata ta’ sustanzi prodotti, meta mqabbla mal-2010; u</w:t>
      </w:r>
    </w:p>
    <w:p w:rsidR="00012DA0" w:rsidRDefault="00463777">
      <w:pPr>
        <w:pStyle w:val="Tiret0"/>
        <w:rPr>
          <w:noProof/>
        </w:rPr>
      </w:pPr>
      <w:r>
        <w:rPr>
          <w:noProof/>
        </w:rPr>
        <w:t>Fid-data tad-dħul fis-seħħ ta’ dan ir-Regolament, il-kapaċità ta’ stallazzjonijiet li juża</w:t>
      </w:r>
      <w:r>
        <w:rPr>
          <w:noProof/>
        </w:rPr>
        <w:t>w il-merkurju u l-komposti tal-merkurju għall-produzzjoni tal-metilat jew tal-etilat tas-sodju jew tal-potassju li kienu joperaw qabel dik id-data, ma għandhiex tiżdied u ma għandha tkun permessa l-ebda stallazzjoni ġdida.</w:t>
      </w:r>
    </w:p>
    <w:p w:rsidR="00012DA0" w:rsidRDefault="00463777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ANNESS IV</w:t>
      </w:r>
    </w:p>
    <w:p w:rsidR="00012DA0" w:rsidRDefault="00463777">
      <w:pPr>
        <w:pStyle w:val="NormalCentered"/>
        <w:rPr>
          <w:b/>
          <w:noProof/>
        </w:rPr>
      </w:pPr>
      <w:r>
        <w:rPr>
          <w:b/>
          <w:noProof/>
        </w:rPr>
        <w:t>Kontenut tal-pjan nazz</w:t>
      </w:r>
      <w:r>
        <w:rPr>
          <w:b/>
          <w:noProof/>
        </w:rPr>
        <w:t>jonali dwar l-estrazzjoni tad-deheb artiġjanali u fuq skala żgħira msemmija fl-Artikolu 9</w:t>
      </w:r>
    </w:p>
    <w:p w:rsidR="00012DA0" w:rsidRDefault="00012DA0">
      <w:pPr>
        <w:autoSpaceDE w:val="0"/>
        <w:autoSpaceDN w:val="0"/>
        <w:adjustRightInd w:val="0"/>
        <w:spacing w:before="0" w:after="0"/>
        <w:rPr>
          <w:rFonts w:eastAsia="Calibri"/>
          <w:noProof/>
          <w:sz w:val="20"/>
          <w:szCs w:val="24"/>
        </w:rPr>
      </w:pPr>
    </w:p>
    <w:p w:rsidR="00012DA0" w:rsidRDefault="00463777">
      <w:pPr>
        <w:rPr>
          <w:noProof/>
        </w:rPr>
      </w:pPr>
      <w:r>
        <w:rPr>
          <w:noProof/>
        </w:rPr>
        <w:t>Il-pjan ta’ rkupru għandu jinkludi l-informazzjoni li ġejja:</w:t>
      </w:r>
    </w:p>
    <w:p w:rsidR="00012DA0" w:rsidRDefault="00463777"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>l-objettivi nazzjonali u l-miri ta’ tnaqqis;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azzjonijiet maħsuba biex jeliminaw:</w:t>
      </w:r>
    </w:p>
    <w:p w:rsidR="00012DA0" w:rsidRDefault="00463777"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amalgamazzjoni </w:t>
      </w:r>
      <w:r>
        <w:rPr>
          <w:noProof/>
        </w:rPr>
        <w:t>sħiħa tal-minerali;</w:t>
      </w:r>
    </w:p>
    <w:p w:rsidR="00012DA0" w:rsidRDefault="00463777">
      <w:pPr>
        <w:pStyle w:val="Point1"/>
        <w:rPr>
          <w:noProof/>
        </w:rPr>
      </w:pPr>
      <w:r>
        <w:rPr>
          <w:noProof/>
        </w:rPr>
        <w:t>(ii)</w:t>
      </w:r>
      <w:r>
        <w:rPr>
          <w:noProof/>
        </w:rPr>
        <w:tab/>
        <w:t>ħruq fil-miftuħ ta’ amalgama jew amalgama pproċessata;</w:t>
      </w:r>
    </w:p>
    <w:p w:rsidR="00012DA0" w:rsidRDefault="00463777">
      <w:pPr>
        <w:pStyle w:val="Point1"/>
        <w:rPr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ħruq ta’ amalgama f’żoni residenzjali; u </w:t>
      </w:r>
    </w:p>
    <w:p w:rsidR="00012DA0" w:rsidRDefault="00463777">
      <w:pPr>
        <w:pStyle w:val="Point1"/>
        <w:rPr>
          <w:noProof/>
        </w:rPr>
      </w:pPr>
      <w:r>
        <w:rPr>
          <w:noProof/>
        </w:rPr>
        <w:t>(iv)</w:t>
      </w:r>
      <w:r>
        <w:rPr>
          <w:noProof/>
        </w:rPr>
        <w:tab/>
        <w:t>lissija ta’ ċjanur f’sediment, minerali jew irmied tat-tlissija li magħhom ikun żdied il-merkurju mingħajr ma l-ewwel jitne</w:t>
      </w:r>
      <w:r>
        <w:rPr>
          <w:noProof/>
        </w:rPr>
        <w:t>ħħa l-merkurju;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passi għall-iffaċilitar tal-formalizzazzjoni jew tar-regolamentazzjoni tas-settur tal-estrazzjoni tad-deheb fuq skala żgħira u artiġjanali;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stimi bażiċi tal-kwantitajiet ta’ merkurju użat u l-prattiki użati fl-estrazzjoni u fl-ipproċessar t</w:t>
      </w:r>
      <w:r>
        <w:rPr>
          <w:noProof/>
        </w:rPr>
        <w:t>ad-deheb fuq skala żgħira u artiġjanali fit-territorju tal-Istat Membru kkonċernat;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strateġiji għall-promozzjoni tat-tnaqqis tal-emissjonijiet u tar-rilaxxi tal-merkurju, u tal-esponiment għalih, fl-estrazzjoni u fl-ipproċessar tad-deheb fuq skala żgħira u</w:t>
      </w:r>
      <w:r>
        <w:rPr>
          <w:noProof/>
        </w:rPr>
        <w:t xml:space="preserve"> artiġjanali, inklużi metodi mingħajr merkurju;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strateġiji għall-ġestjoni tal-kummerċ u l-prevenzjoni tad-devjazzjoni tal-merkurju u tal-komposti tal-merkurju kemm minn sorsi domestiċi kif ukoll minn sorsi barranin għall-użu fl-estrazzjoni u fl-ipproċessar</w:t>
      </w:r>
      <w:r>
        <w:rPr>
          <w:noProof/>
        </w:rPr>
        <w:t xml:space="preserve"> tad-deheb fuq skala żgħira u artiġjanali;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strateġiji għall-involviment tal-partijiet ikkonċernati fl-implimentazzjoni u fl-iżvilupp kontinwu tal-pjan ta’ azzjoni nazzjonali;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strateġija tas-saħħa pubblika dwar l-esponiment għall-merkurju ta’ minaturi li ja</w:t>
      </w:r>
      <w:r>
        <w:rPr>
          <w:noProof/>
        </w:rPr>
        <w:t xml:space="preserve">ħdmu fil-minjieri tad-deheb artiġjanali u fuq skala żgħira u l-komunitajiet tagħhom, li għandha tinkludi, </w:t>
      </w:r>
      <w:r>
        <w:rPr>
          <w:i/>
          <w:noProof/>
        </w:rPr>
        <w:t>inter alia</w:t>
      </w:r>
      <w:r>
        <w:rPr>
          <w:noProof/>
        </w:rPr>
        <w:t>, il-ġbir ta’ dejta dwar is-saħħa, it-taħriġ għal ħaddiema fil-qasam tal-kura tas-saħħa u s-sensibilizzazzjoni permezz ta’ faċilitajiet tas-</w:t>
      </w:r>
      <w:r>
        <w:rPr>
          <w:noProof/>
        </w:rPr>
        <w:t>saħħa;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strateġiji għall-prevenzjoni tal-esponiment ta’ popolazzjonijiet vulnerabbli, b’mod partikolari it-tfal u n-nisa ta’ età li jista’ jkollhom it-tfal, speċjalment nisa tqal, għall-merkurju użat fl-estrazzjoni tad-deheb fuq skala żgħira u artiġjanali;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strateġiji għall-għoti ta’ informazzjoni lill-minaturi li jaħdmu fil-minjieri tad-deheb fuq skala żgħira u artiġjanali u lill-komunitajiet milquta;</w:t>
      </w:r>
    </w:p>
    <w:p w:rsidR="00012DA0" w:rsidRDefault="00463777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skeda għall-implimentazzjoni tal-pjan ta’ azzjoni nazzjonali.</w:t>
      </w:r>
    </w:p>
    <w:p w:rsidR="00012DA0" w:rsidRDefault="00463777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ANNESS V</w:t>
      </w:r>
    </w:p>
    <w:p w:rsidR="00012DA0" w:rsidRDefault="00463777">
      <w:pPr>
        <w:pStyle w:val="NormalCentered"/>
        <w:rPr>
          <w:b/>
          <w:noProof/>
        </w:rPr>
      </w:pPr>
      <w:r>
        <w:rPr>
          <w:b/>
          <w:noProof/>
        </w:rPr>
        <w:t>Tabella ta’ korrelazzjoni</w:t>
      </w:r>
    </w:p>
    <w:p w:rsidR="00012DA0" w:rsidRDefault="00012DA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012DA0">
        <w:trPr>
          <w:trHeight w:val="968"/>
        </w:trPr>
        <w:tc>
          <w:tcPr>
            <w:tcW w:w="4644" w:type="dxa"/>
          </w:tcPr>
          <w:p w:rsidR="00012DA0" w:rsidRDefault="00012DA0">
            <w:pPr>
              <w:jc w:val="center"/>
              <w:rPr>
                <w:noProof/>
              </w:rPr>
            </w:pPr>
          </w:p>
          <w:p w:rsidR="00012DA0" w:rsidRDefault="00463777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Ir-Regol</w:t>
            </w:r>
            <w:r>
              <w:rPr>
                <w:b/>
                <w:noProof/>
              </w:rPr>
              <w:t>ament (KE) Nru 1102/2008</w:t>
            </w:r>
          </w:p>
          <w:p w:rsidR="00012DA0" w:rsidRDefault="00012DA0">
            <w:pPr>
              <w:jc w:val="center"/>
              <w:rPr>
                <w:noProof/>
              </w:rPr>
            </w:pPr>
          </w:p>
          <w:p w:rsidR="00012DA0" w:rsidRDefault="00012DA0">
            <w:pPr>
              <w:jc w:val="center"/>
              <w:rPr>
                <w:noProof/>
              </w:rPr>
            </w:pPr>
          </w:p>
        </w:tc>
        <w:tc>
          <w:tcPr>
            <w:tcW w:w="4645" w:type="dxa"/>
          </w:tcPr>
          <w:p w:rsidR="00012DA0" w:rsidRDefault="00012DA0">
            <w:pPr>
              <w:jc w:val="center"/>
              <w:rPr>
                <w:b/>
                <w:noProof/>
                <w:szCs w:val="22"/>
              </w:rPr>
            </w:pPr>
          </w:p>
          <w:p w:rsidR="00012DA0" w:rsidRDefault="00463777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Dan ir-Regolament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3(1) (l-ewwel subparagrafu)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3(1) (it-tieni subparagrafu)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1(3)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3(2)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2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11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3(1), l-ewwel subparagrafu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13(1)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3(1), it-tieni subparagrafu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3(2)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4(1)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4(2)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4(3)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5(1)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5(2)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5(3)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6(1)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12(1)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6(2)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12(1)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6(3)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12(1)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6(4)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7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14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8(1)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8(2)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8(3)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8(4)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 8(5)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012DA0">
        <w:tc>
          <w:tcPr>
            <w:tcW w:w="4644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Artikolu 9</w:t>
            </w:r>
          </w:p>
          <w:p w:rsidR="00012DA0" w:rsidRDefault="00012DA0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012DA0" w:rsidRDefault="00463777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</w:tbl>
    <w:p w:rsidR="00012DA0" w:rsidRDefault="00012DA0">
      <w:pPr>
        <w:rPr>
          <w:noProof/>
        </w:rPr>
      </w:pPr>
    </w:p>
    <w:sectPr w:rsidR="00012DA0" w:rsidSect="00463777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A0" w:rsidRDefault="00463777">
      <w:pPr>
        <w:spacing w:before="0" w:after="0"/>
      </w:pPr>
      <w:r>
        <w:separator/>
      </w:r>
    </w:p>
  </w:endnote>
  <w:endnote w:type="continuationSeparator" w:id="0">
    <w:p w:rsidR="00012DA0" w:rsidRDefault="00463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A0" w:rsidRPr="00463777" w:rsidRDefault="00463777" w:rsidP="00463777">
    <w:pPr>
      <w:pStyle w:val="Footer"/>
      <w:rPr>
        <w:rFonts w:ascii="Arial" w:hAnsi="Arial" w:cs="Arial"/>
        <w:b/>
        <w:sz w:val="48"/>
      </w:rPr>
    </w:pPr>
    <w:r w:rsidRPr="00463777">
      <w:rPr>
        <w:rFonts w:ascii="Arial" w:hAnsi="Arial" w:cs="Arial"/>
        <w:b/>
        <w:sz w:val="48"/>
      </w:rPr>
      <w:t>MT</w:t>
    </w:r>
    <w:r w:rsidRPr="00463777">
      <w:rPr>
        <w:rFonts w:ascii="Arial" w:hAnsi="Arial" w:cs="Arial"/>
        <w:b/>
        <w:sz w:val="48"/>
      </w:rPr>
      <w:tab/>
    </w:r>
    <w:r w:rsidRPr="00463777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63777">
      <w:tab/>
    </w:r>
    <w:proofErr w:type="spellStart"/>
    <w:r w:rsidRPr="00463777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Footer"/>
      <w:rPr>
        <w:rFonts w:ascii="Arial" w:hAnsi="Arial" w:cs="Arial"/>
        <w:b/>
        <w:sz w:val="48"/>
      </w:rPr>
    </w:pPr>
    <w:r w:rsidRPr="00463777">
      <w:rPr>
        <w:rFonts w:ascii="Arial" w:hAnsi="Arial" w:cs="Arial"/>
        <w:b/>
        <w:sz w:val="48"/>
      </w:rPr>
      <w:t>MT</w:t>
    </w:r>
    <w:r w:rsidRPr="0046377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63777">
      <w:tab/>
    </w:r>
    <w:r w:rsidRPr="00463777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A0" w:rsidRDefault="00463777">
      <w:pPr>
        <w:spacing w:before="0" w:after="0"/>
      </w:pPr>
      <w:r>
        <w:separator/>
      </w:r>
    </w:p>
  </w:footnote>
  <w:footnote w:type="continuationSeparator" w:id="0">
    <w:p w:rsidR="00012DA0" w:rsidRDefault="00463777">
      <w:pPr>
        <w:spacing w:before="0" w:after="0"/>
      </w:pPr>
      <w:r>
        <w:continuationSeparator/>
      </w:r>
    </w:p>
  </w:footnote>
  <w:footnote w:id="1">
    <w:p w:rsidR="00012DA0" w:rsidRDefault="00463777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 xml:space="preserve">Ir-Regolament (KE) Nru 1223/2009 tal-Parlament Ewropew u tal-Kunsill tat-30 ta’ Novembru 2009 dwar il-prodotti kożmetiċi </w:t>
      </w:r>
      <w:r>
        <w:rPr>
          <w:rStyle w:val="Strong"/>
          <w:b w:val="0"/>
          <w:color w:val="444444"/>
        </w:rPr>
        <w:t>(</w:t>
      </w:r>
      <w:r>
        <w:t>Ġ</w:t>
      </w:r>
      <w:r>
        <w:t xml:space="preserve">U L 342, 22.12.2009, p. 59). </w:t>
      </w:r>
    </w:p>
  </w:footnote>
  <w:footnote w:id="2">
    <w:p w:rsidR="00012DA0" w:rsidRDefault="00463777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t xml:space="preserve">Id-Direttiva 2000/53/KE tal-Parlament </w:t>
      </w:r>
      <w:r>
        <w:t>Ewropew u tal-Kunsill tat-18 ta’ Settembru 2000 dwar vetturi li m’għadhomx jintużaw (ĠU L 269, 21.10.2000, p. 34).</w:t>
      </w:r>
    </w:p>
  </w:footnote>
  <w:footnote w:id="3">
    <w:p w:rsidR="00012DA0" w:rsidRDefault="00463777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Id-Direttiva 2011/65/UE tal-Parlament Ewropew u tal-Kunsill tat-8 ta' Ġunju 2011 dwar ir-restrizzjoni tal-użu ta' ċerti sustanzi perikolużi</w:t>
      </w:r>
      <w:r>
        <w:rPr>
          <w:rStyle w:val="Strong"/>
          <w:b w:val="0"/>
        </w:rPr>
        <w:t xml:space="preserve"> fit-tagħmir elettriku u elettroniku</w:t>
      </w:r>
      <w:r>
        <w:rPr>
          <w:rStyle w:val="Strong"/>
        </w:rPr>
        <w:t xml:space="preserve"> </w:t>
      </w:r>
      <w:r>
        <w:rPr>
          <w:rStyle w:val="Strong"/>
          <w:b w:val="0"/>
        </w:rPr>
        <w:t>(</w:t>
      </w:r>
      <w:r>
        <w:t>Ġ</w:t>
      </w:r>
      <w:r>
        <w:t>U L 174, 1.7.2011, p. 88)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7" w:rsidRPr="00463777" w:rsidRDefault="00463777" w:rsidP="00463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EA182"/>
    <w:lvl w:ilvl="0">
      <w:start w:val="1"/>
      <w:numFmt w:val="decimal"/>
      <w:pStyle w:val="ListNumber4"/>
      <w:lvlText w:val="%1."/>
      <w:lvlJc w:val="left"/>
      <w:pPr>
        <w:tabs>
          <w:tab w:val="num" w:pos="3405"/>
        </w:tabs>
        <w:ind w:left="3405" w:hanging="360"/>
      </w:pPr>
    </w:lvl>
  </w:abstractNum>
  <w:abstractNum w:abstractNumId="1">
    <w:nsid w:val="FFFFFF7E"/>
    <w:multiLevelType w:val="singleLevel"/>
    <w:tmpl w:val="1B0622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FCEF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1016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2AD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F2AA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CCD3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0C4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B1D4F8D"/>
    <w:multiLevelType w:val="hybridMultilevel"/>
    <w:tmpl w:val="1124EC30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10"/>
  </w:num>
  <w:num w:numId="20">
    <w:abstractNumId w:val="21"/>
  </w:num>
  <w:num w:numId="21">
    <w:abstractNumId w:val="9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7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2-01 09:40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5"/>
    <w:docVar w:name="LW_CONFIDENCE" w:val=" "/>
    <w:docVar w:name="LW_CONST_RESTREINT_UE" w:val="RESTREINT UE/EU RESTRICTED"/>
    <w:docVar w:name="LW_CORRIGENDUM" w:val="&lt;UNUSED&gt;"/>
    <w:docVar w:name="LW_COVERPAGE_GUID" w:val="13257C419D5D4C07816105F50297CC7D"/>
    <w:docVar w:name="LW_CROSSREFERENCE" w:val="&lt;UNUSED&gt;"/>
    <w:docVar w:name="LW_DocType" w:val="ANNEX"/>
    <w:docVar w:name="LW_EMISSION" w:val="2.2.2016"/>
    <w:docVar w:name="LW_EMISSION_ISODATE" w:val="2016-02-02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" w:val="tal-Parlament Ewropew u tal-Kunsill dwar il-merkurju, u li jirrevoka r-Regolament (KE) Nru 1102/2008_x000b_"/>
    <w:docVar w:name="LW_OBJETACTEPRINCIPAL.CP" w:val="tal-Parlament Ewropew u tal-Kunsill dwar il-merkurju, u li jirrevoka r-Regolament (KE) Nru 1102/2008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39"/>
    <w:docVar w:name="LW_REF.INTERNE" w:val="&lt;UNUSED&gt;"/>
    <w:docVar w:name="LW_SUPERTITRE" w:val="&lt;UNUSED&gt;"/>
    <w:docVar w:name="LW_TITRE.OBJ.CP" w:val="&lt;UNUSED&gt;"/>
    <w:docVar w:name="LW_TYPE.DOC" w:val="ANNESSI"/>
    <w:docVar w:name="LW_TYPE.DOC.CP" w:val="ANNESSI"/>
    <w:docVar w:name="LW_TYPEACTEPRINCIPAL" w:val="Regolament"/>
    <w:docVar w:name="LW_TYPEACTEPRINCIPAL.CP" w:val="Regolament"/>
  </w:docVars>
  <w:rsids>
    <w:rsidRoot w:val="00012DA0"/>
    <w:rsid w:val="00012DA0"/>
    <w:rsid w:val="004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46377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6377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6377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46377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6377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6377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E46C-AEAA-4646-8152-1F81ABA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8</Pages>
  <Words>996</Words>
  <Characters>6458</Characters>
  <Application>Microsoft Office Word</Application>
  <DocSecurity>0</DocSecurity>
  <Lines>215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FORNASERO Stefania (ENV)</dc:creator>
  <cp:lastModifiedBy>LAGES CARVALHO Patrick (SG)</cp:lastModifiedBy>
  <cp:revision>9</cp:revision>
  <cp:lastPrinted>2016-01-12T15:15:00Z</cp:lastPrinted>
  <dcterms:created xsi:type="dcterms:W3CDTF">2016-01-28T14:51:00Z</dcterms:created>
  <dcterms:modified xsi:type="dcterms:W3CDTF">2016-02-01T12:11:00Z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