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B7" w:rsidRDefault="00C9383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FBB03762EE945358528A0F2CD35DE9E" style="width:450.75pt;height:351.75pt">
            <v:imagedata r:id="rId9" o:title=""/>
          </v:shape>
        </w:pict>
      </w:r>
    </w:p>
    <w:p w:rsidR="005A6CB7" w:rsidRDefault="005A6CB7">
      <w:pPr>
        <w:rPr>
          <w:noProof/>
        </w:rPr>
        <w:sectPr w:rsidR="005A6CB7">
          <w:footerReference w:type="default" r:id="rId10"/>
          <w:pgSz w:w="11907" w:h="16839"/>
          <w:pgMar w:top="1134" w:right="1417" w:bottom="1134" w:left="1417" w:header="709" w:footer="709" w:gutter="0"/>
          <w:pgNumType w:start="1"/>
          <w:cols w:space="720"/>
          <w:docGrid w:linePitch="360"/>
        </w:sectPr>
      </w:pPr>
    </w:p>
    <w:p w:rsidR="005A6CB7" w:rsidRDefault="00C93832">
      <w:pPr>
        <w:pStyle w:val="Exposdesmotifstitre"/>
        <w:rPr>
          <w:noProof/>
          <w:lang w:eastAsia="bg-BG" w:bidi="bg-BG"/>
        </w:rPr>
      </w:pPr>
      <w:r>
        <w:rPr>
          <w:noProof/>
          <w:lang w:eastAsia="bg-BG" w:bidi="bg-BG"/>
        </w:rPr>
        <w:lastRenderedPageBreak/>
        <w:t>ОБЯСНИТЕЛЕН МЕМОРАНДУМ</w:t>
      </w:r>
    </w:p>
    <w:p w:rsidR="005A6CB7" w:rsidRDefault="00C93832">
      <w:pPr>
        <w:pStyle w:val="ManualHeading1"/>
        <w:rPr>
          <w:noProof/>
          <w:lang w:eastAsia="bg-BG" w:bidi="bg-BG"/>
        </w:rPr>
      </w:pPr>
      <w:r>
        <w:rPr>
          <w:noProof/>
          <w:lang w:eastAsia="bg-BG" w:bidi="bg-BG"/>
        </w:rPr>
        <w:t>1.</w:t>
      </w:r>
      <w:r>
        <w:rPr>
          <w:noProof/>
          <w:lang w:eastAsia="bg-BG" w:bidi="bg-BG"/>
        </w:rPr>
        <w:tab/>
        <w:t>КОНТЕКСТ НА ПРЕДЛОЖЕНИЕТО</w:t>
      </w:r>
    </w:p>
    <w:p w:rsidR="005A6CB7" w:rsidRDefault="00C93832">
      <w:pPr>
        <w:pStyle w:val="Bullet0"/>
        <w:numPr>
          <w:ilvl w:val="0"/>
          <w:numId w:val="9"/>
        </w:numPr>
        <w:rPr>
          <w:noProof/>
          <w:lang w:eastAsia="bg-BG" w:bidi="bg-BG"/>
        </w:rPr>
      </w:pPr>
      <w:r>
        <w:rPr>
          <w:noProof/>
          <w:lang w:eastAsia="bg-BG" w:bidi="bg-BG"/>
        </w:rPr>
        <w:t xml:space="preserve">Основания и цели на предложението </w:t>
      </w:r>
    </w:p>
    <w:p w:rsidR="005A6CB7" w:rsidRDefault="00C93832">
      <w:pPr>
        <w:spacing w:before="0"/>
        <w:rPr>
          <w:noProof/>
          <w:lang w:eastAsia="bg-BG" w:bidi="bg-BG"/>
        </w:rPr>
      </w:pPr>
      <w:r>
        <w:rPr>
          <w:noProof/>
          <w:lang w:eastAsia="bg-BG" w:bidi="bg-BG"/>
        </w:rPr>
        <w:t xml:space="preserve">Едновременно с </w:t>
      </w:r>
      <w:r>
        <w:rPr>
          <w:noProof/>
          <w:lang w:eastAsia="bg-BG" w:bidi="bg-BG"/>
        </w:rPr>
        <w:t>продължителния и деликатен процес на политически преход след революцията от 2011 г., тунизийската икономика беше засегната от непрекъснатите вътрешни размирици, регионалната нестабилност (включително въздействието на конфликтите в Либия) и слабата междунар</w:t>
      </w:r>
      <w:r>
        <w:rPr>
          <w:noProof/>
          <w:lang w:eastAsia="bg-BG" w:bidi="bg-BG"/>
        </w:rPr>
        <w:t>одна среда (по-специално в еврозоната). Тези неблагоприятни развития отслабиха значително растежа на икономиката на страната, както и нейните фискални позиции и състоянието на платежния баланс. През 2015 г. главно в резултат на отрицателното икономическо в</w:t>
      </w:r>
      <w:r>
        <w:rPr>
          <w:noProof/>
          <w:lang w:eastAsia="bg-BG" w:bidi="bg-BG"/>
        </w:rPr>
        <w:t>ъздействие на терористични нападения (особено върху туризма, транспортния сектор и инвестициите) и прекъсванията на производството вследствие на социални вълнения, прогнозите за растежа бяха значително намалени, като ситуацията се отразява отрицателно върх</w:t>
      </w:r>
      <w:r>
        <w:rPr>
          <w:noProof/>
          <w:lang w:eastAsia="bg-BG" w:bidi="bg-BG"/>
        </w:rPr>
        <w:t>у вече уязвимия платежен баланс и уязвимата фискална позиция, водейки до съществени нужди от финансиране.</w:t>
      </w:r>
    </w:p>
    <w:p w:rsidR="005A6CB7" w:rsidRDefault="00C93832">
      <w:pPr>
        <w:spacing w:before="0"/>
        <w:rPr>
          <w:noProof/>
          <w:lang w:eastAsia="bg-BG" w:bidi="bg-BG"/>
        </w:rPr>
      </w:pPr>
      <w:r>
        <w:rPr>
          <w:noProof/>
          <w:lang w:eastAsia="bg-BG" w:bidi="bg-BG"/>
        </w:rPr>
        <w:t>В същото време страната продължи да предприема важни стъпки с цел укрепване на демократичните механизми, включително приемането на нова конституция пр</w:t>
      </w:r>
      <w:r>
        <w:rPr>
          <w:noProof/>
          <w:lang w:eastAsia="bg-BG" w:bidi="bg-BG"/>
        </w:rPr>
        <w:t>ез януари 2014 г., въпреки че политическият преход не премина без затруднения и епизоди на нестабилност.</w:t>
      </w:r>
    </w:p>
    <w:p w:rsidR="005A6CB7" w:rsidRDefault="00C93832">
      <w:pPr>
        <w:spacing w:before="0"/>
        <w:rPr>
          <w:noProof/>
          <w:lang w:eastAsia="bg-BG" w:bidi="bg-BG"/>
        </w:rPr>
      </w:pPr>
      <w:r>
        <w:rPr>
          <w:noProof/>
          <w:lang w:eastAsia="bg-BG" w:bidi="bg-BG"/>
        </w:rPr>
        <w:t>В средата на април 2013 г. Тунис постигна споразумение с Международния валутен фонд (МВФ) за сключване на 24-месечно стендбай споразумение (СБС) в разм</w:t>
      </w:r>
      <w:r>
        <w:rPr>
          <w:noProof/>
          <w:lang w:eastAsia="bg-BG" w:bidi="bg-BG"/>
        </w:rPr>
        <w:t>ер на 1,75 милиарда щатски долара, което беше одобрено от Изпълнителния съвет на МВФ през юни 2013 г. и чийто срок впоследствие бе удължено до декември 2015 г. Освен това през август 2013 г. Тунис поиска допълнителна макрофинансова помощ (МФП) от ЕС. В отг</w:t>
      </w:r>
      <w:r>
        <w:rPr>
          <w:noProof/>
          <w:lang w:eastAsia="bg-BG" w:bidi="bg-BG"/>
        </w:rPr>
        <w:t>овор на това искане, през декември 2013 г. Европейската комисия направи предложение за предоставянето на МФП в размер на 250 милиона евро под формата на заеми (МФП-I), който съзаконодателите увеличиха на 300 милиона евро и одобриха през май 2014 г. Меморан</w:t>
      </w:r>
      <w:r>
        <w:rPr>
          <w:noProof/>
          <w:lang w:eastAsia="bg-BG" w:bidi="bg-BG"/>
        </w:rPr>
        <w:t xml:space="preserve">думът за разбирателство (МР), в който се определят условията в областта на политиката по отношение на заема, влезе в сила през март 2015 г. </w:t>
      </w:r>
    </w:p>
    <w:p w:rsidR="005A6CB7" w:rsidRDefault="00C93832">
      <w:pPr>
        <w:spacing w:before="0"/>
        <w:rPr>
          <w:noProof/>
          <w:lang w:eastAsia="bg-BG" w:bidi="bg-BG"/>
        </w:rPr>
      </w:pPr>
      <w:r>
        <w:rPr>
          <w:noProof/>
          <w:lang w:eastAsia="bg-BG" w:bidi="bg-BG"/>
        </w:rPr>
        <w:t>След приключването на 6-ия преглед на програмата на МВФ през септември миналата година, Тунис поиска последващо спо</w:t>
      </w:r>
      <w:r>
        <w:rPr>
          <w:noProof/>
          <w:lang w:eastAsia="bg-BG" w:bidi="bg-BG"/>
        </w:rPr>
        <w:t>разумение с МВФ, вероятно с 4-годишен срок. Новата програма на МВФ е все още в процес на договаряне, но се очаква тя да бъде изпратена за одобрение от Изпълнителния съвет на МВФ през пролетта на 2016 г. Операцията по предоставянето на МФП-I е в ход въпреки</w:t>
      </w:r>
      <w:r>
        <w:rPr>
          <w:noProof/>
          <w:lang w:eastAsia="bg-BG" w:bidi="bg-BG"/>
        </w:rPr>
        <w:t xml:space="preserve"> някои закъснения в нейното изпълнение. Първият транш бе изплатен на 7 май 2015 г. и след като Тунис  изпълни условията, договорени с ЕС в МР, вторият транш беше изплатен на 1 декември 2015 г. Третият и последен транш се очаква да бъде изплатен през второт</w:t>
      </w:r>
      <w:r>
        <w:rPr>
          <w:noProof/>
          <w:lang w:eastAsia="bg-BG" w:bidi="bg-BG"/>
        </w:rPr>
        <w:t xml:space="preserve">о тримесечие на 2016 г., при условие че са изпълнени условията, заложени в МР. </w:t>
      </w:r>
    </w:p>
    <w:p w:rsidR="005A6CB7" w:rsidRDefault="00C93832">
      <w:pPr>
        <w:autoSpaceDE w:val="0"/>
        <w:autoSpaceDN w:val="0"/>
        <w:adjustRightInd w:val="0"/>
        <w:spacing w:before="0"/>
        <w:rPr>
          <w:noProof/>
          <w:lang w:eastAsia="bg-BG" w:bidi="bg-BG"/>
        </w:rPr>
      </w:pPr>
      <w:r>
        <w:rPr>
          <w:noProof/>
          <w:lang w:eastAsia="bg-BG" w:bidi="bg-BG"/>
        </w:rPr>
        <w:t>В този контекст с писмо, изпратено до председателя на Комисията г-н Юнкер през август 2015 г. от министър-председателя на Тунис, и с писмо от министъра на сътрудничеството за р</w:t>
      </w:r>
      <w:r>
        <w:rPr>
          <w:noProof/>
          <w:lang w:eastAsia="bg-BG" w:bidi="bg-BG"/>
        </w:rPr>
        <w:t xml:space="preserve">азвитие и инвестиции от декември 2015 г., Тунис поиска втора операция за предоставяне на МФП от ЕС в размер на 500 милиона евро, която да придружава следващата програма на МВФ. С оглед на силното влияние на положението със сигурността върху икономиката на </w:t>
      </w:r>
      <w:r>
        <w:rPr>
          <w:noProof/>
          <w:lang w:eastAsia="bg-BG" w:bidi="bg-BG"/>
        </w:rPr>
        <w:t xml:space="preserve">Тунис и потребностите от външно финансиране през период на консолидация на политическия преход в страната и въз основа на актуализираната оценка на нуждите на Тунис от външно финансиране, </w:t>
      </w:r>
      <w:r>
        <w:rPr>
          <w:noProof/>
          <w:lang w:eastAsia="bg-BG" w:bidi="bg-BG"/>
        </w:rPr>
        <w:lastRenderedPageBreak/>
        <w:t xml:space="preserve">проведена в сътрудничество с МВФ, Европейската комисия представя на </w:t>
      </w:r>
      <w:r>
        <w:rPr>
          <w:noProof/>
          <w:lang w:eastAsia="bg-BG" w:bidi="bg-BG"/>
        </w:rPr>
        <w:t>Европейския парламент и на Съвета предложение за предоставяне на втора МФП (МФП-II) на Република Тунис в размер на не повече от 500 милиона евро под формата на средносрочни заеми. Предложената сума е в съответствие също така и с очаквания размер на програм</w:t>
      </w:r>
      <w:r>
        <w:rPr>
          <w:noProof/>
          <w:lang w:eastAsia="bg-BG" w:bidi="bg-BG"/>
        </w:rPr>
        <w:t>ата на МВФ, със значителните рискове, пред които икономиката на Тунис е изправена понастоящем, и с твърдата ангажираност на ЕС за подпомагане на икономическия и политическия преход в Тунис.</w:t>
      </w:r>
    </w:p>
    <w:p w:rsidR="005A6CB7" w:rsidRDefault="00C93832">
      <w:pPr>
        <w:rPr>
          <w:noProof/>
          <w:lang w:eastAsia="bg-BG" w:bidi="bg-BG"/>
        </w:rPr>
      </w:pPr>
      <w:r>
        <w:rPr>
          <w:noProof/>
          <w:lang w:eastAsia="bg-BG" w:bidi="bg-BG"/>
        </w:rPr>
        <w:t>Предложената нова МФП ще помогне на Тунис да покрие част от остатъ</w:t>
      </w:r>
      <w:r>
        <w:rPr>
          <w:noProof/>
          <w:lang w:eastAsia="bg-BG" w:bidi="bg-BG"/>
        </w:rPr>
        <w:t>чните си нужди от външно финансиране, оценени на около 2,9 милиарда щатски долара за периода 2016—2017 г., в контекста на новата програма на МВФ. Тя ще намали уязвимостта на платежния баланс и бюджета в краткосрочен план, като в същото време бъде координир</w:t>
      </w:r>
      <w:r>
        <w:rPr>
          <w:noProof/>
          <w:lang w:eastAsia="bg-BG" w:bidi="bg-BG"/>
        </w:rPr>
        <w:t>ана с програмите на правителството за макроикономически корекции и реформи, които ще бъдат договорени с МВФ и Световната банка, както и с реформите, договорени в рамките на операциите за бюджетно подпомагане на ЕС, по-специално договорите за държавно изгра</w:t>
      </w:r>
      <w:r>
        <w:rPr>
          <w:noProof/>
          <w:lang w:eastAsia="bg-BG" w:bidi="bg-BG"/>
        </w:rPr>
        <w:t xml:space="preserve">ждане </w:t>
      </w:r>
      <w:r>
        <w:rPr>
          <w:i/>
          <w:noProof/>
          <w:lang w:eastAsia="bg-BG" w:bidi="bg-BG"/>
        </w:rPr>
        <w:t>Programme d’Appui à la Relance</w:t>
      </w:r>
      <w:r>
        <w:rPr>
          <w:noProof/>
          <w:lang w:eastAsia="bg-BG" w:bidi="bg-BG"/>
        </w:rPr>
        <w:t xml:space="preserve"> (PAR). Предложената МФП-II е в съответствие с насоките на Европейската политика на съседство (ЕПС) и с усилията на международната общност, включително инициативата за партньорство на Г-7 от Довил, с цел на Тунис да бъде</w:t>
      </w:r>
      <w:r>
        <w:rPr>
          <w:noProof/>
          <w:lang w:eastAsia="bg-BG" w:bidi="bg-BG"/>
        </w:rPr>
        <w:t xml:space="preserve"> оказана подкрепа в тези времена на предизвикателства.</w:t>
      </w:r>
    </w:p>
    <w:p w:rsidR="005A6CB7" w:rsidRDefault="00C93832">
      <w:pPr>
        <w:tabs>
          <w:tab w:val="left" w:pos="719"/>
        </w:tabs>
        <w:spacing w:before="0" w:after="240"/>
        <w:rPr>
          <w:noProof/>
          <w:lang w:eastAsia="bg-BG" w:bidi="bg-BG"/>
        </w:rPr>
      </w:pPr>
      <w:r>
        <w:rPr>
          <w:noProof/>
          <w:lang w:eastAsia="bg-BG" w:bidi="bg-BG"/>
        </w:rPr>
        <w:t>В този контекст, и както е посочено в работния документ на службите на Комисията, придружаващ настоящото предложение, Комисията счита, въз основа също така на оценка на политическата ситуация на Европе</w:t>
      </w:r>
      <w:r>
        <w:rPr>
          <w:noProof/>
          <w:lang w:eastAsia="bg-BG" w:bidi="bg-BG"/>
        </w:rPr>
        <w:t>йската служба за външна дейност, че политическите и икономическите предпоставки за предоставяне на МФП с предложения размер и естество са изпълнени.</w:t>
      </w:r>
    </w:p>
    <w:p w:rsidR="005A6CB7" w:rsidRDefault="00C93832">
      <w:pPr>
        <w:pStyle w:val="Bullet0"/>
        <w:rPr>
          <w:noProof/>
          <w:lang w:eastAsia="bg-BG" w:bidi="bg-BG"/>
        </w:rPr>
      </w:pPr>
      <w:r>
        <w:rPr>
          <w:noProof/>
          <w:lang w:eastAsia="bg-BG" w:bidi="bg-BG"/>
        </w:rPr>
        <w:t xml:space="preserve">Общ контекст </w:t>
      </w:r>
    </w:p>
    <w:p w:rsidR="005A6CB7" w:rsidRDefault="00C93832">
      <w:pPr>
        <w:spacing w:before="0"/>
        <w:rPr>
          <w:noProof/>
          <w:lang w:eastAsia="bg-BG" w:bidi="bg-BG"/>
        </w:rPr>
      </w:pPr>
      <w:r>
        <w:rPr>
          <w:noProof/>
          <w:lang w:eastAsia="bg-BG" w:bidi="bg-BG"/>
        </w:rPr>
        <w:t xml:space="preserve">След две години на стабилен, но нисък </w:t>
      </w:r>
      <w:r>
        <w:rPr>
          <w:i/>
          <w:noProof/>
          <w:lang w:eastAsia="bg-BG" w:bidi="bg-BG"/>
        </w:rPr>
        <w:t>растеж на БВП</w:t>
      </w:r>
      <w:r>
        <w:rPr>
          <w:noProof/>
          <w:lang w:eastAsia="bg-BG" w:bidi="bg-BG"/>
        </w:rPr>
        <w:t xml:space="preserve"> в контекста на програмата на МВФ (2,3 % п</w:t>
      </w:r>
      <w:r>
        <w:rPr>
          <w:noProof/>
          <w:lang w:eastAsia="bg-BG" w:bidi="bg-BG"/>
        </w:rPr>
        <w:t>рез 2013 и 2014 г.) растежът за 2015 г. бе намален до 0,5 %, в сравнение с прогнозираните 3 % в началото на годината. Икономиката на Тунис беше засегната съществено до голяма степен вследствие на терористичните нападения от 2015 г., които засегнаха ключови</w:t>
      </w:r>
      <w:r>
        <w:rPr>
          <w:noProof/>
          <w:lang w:eastAsia="bg-BG" w:bidi="bg-BG"/>
        </w:rPr>
        <w:t xml:space="preserve"> икономически сектори. Отрицателното въздействие на нападенията върху туристическия сектор (който осигурява близо 7 % от БВП и представлява около 15 % от работната сила) и транспортния сектор (който допринася също около 7 % от БВП, 20 % от което са свързан</w:t>
      </w:r>
      <w:r>
        <w:rPr>
          <w:noProof/>
          <w:lang w:eastAsia="bg-BG" w:bidi="bg-BG"/>
        </w:rPr>
        <w:t>и с туристическите пътувания), както и върху очакванията на чуждите инвеститори, в съчетание с прекъсванията в производството на фосфат, транспорта и други сектори (поради прекратяването на трудовата дейност и стачни действия), допринесоха за това понижени</w:t>
      </w:r>
      <w:r>
        <w:rPr>
          <w:noProof/>
          <w:lang w:eastAsia="bg-BG" w:bidi="bg-BG"/>
        </w:rPr>
        <w:t>е. Тунизийските органи и МВФ очакват растежът да се нарасне през 2016 г. при отсъствието на допълнителни сътресения, подкрепян от бавно възстановяване на туристическия сектор и нормализиране на местното производство. Въпреки това при този базов сценарий им</w:t>
      </w:r>
      <w:r>
        <w:rPr>
          <w:noProof/>
          <w:lang w:eastAsia="bg-BG" w:bidi="bg-BG"/>
        </w:rPr>
        <w:t>а сериозни рискове за постигането на по-лоши от предвидените резултати.</w:t>
      </w:r>
    </w:p>
    <w:p w:rsidR="005A6CB7" w:rsidRDefault="00C93832">
      <w:pPr>
        <w:spacing w:before="0"/>
        <w:rPr>
          <w:noProof/>
          <w:lang w:eastAsia="bg-BG" w:bidi="bg-BG"/>
        </w:rPr>
      </w:pPr>
      <w:r>
        <w:rPr>
          <w:noProof/>
          <w:lang w:eastAsia="bg-BG" w:bidi="bg-BG"/>
        </w:rPr>
        <w:t xml:space="preserve">Тези ниски темпове на растеж във всички случаи няма да бъдат достатъчни за пробив в областта на </w:t>
      </w:r>
      <w:r>
        <w:rPr>
          <w:i/>
          <w:noProof/>
          <w:lang w:eastAsia="bg-BG" w:bidi="bg-BG"/>
        </w:rPr>
        <w:t>безработицата</w:t>
      </w:r>
      <w:r>
        <w:rPr>
          <w:noProof/>
          <w:lang w:eastAsia="bg-BG" w:bidi="bg-BG"/>
        </w:rPr>
        <w:t>, която продължава да бъде висока — 15 %, и е на особено високи равнища сре</w:t>
      </w:r>
      <w:r>
        <w:rPr>
          <w:noProof/>
          <w:lang w:eastAsia="bg-BG" w:bidi="bg-BG"/>
        </w:rPr>
        <w:t xml:space="preserve">д младите хора и висшистите (над 30 %) и жените (21,6 %). Освен това заетостта в сивата икономика все още представлява около 50 % от работниците на възраст между 15 и 24 години. </w:t>
      </w:r>
    </w:p>
    <w:p w:rsidR="005A6CB7" w:rsidRDefault="00C93832">
      <w:pPr>
        <w:spacing w:before="0"/>
        <w:rPr>
          <w:noProof/>
          <w:lang w:eastAsia="bg-BG" w:bidi="bg-BG"/>
        </w:rPr>
      </w:pPr>
      <w:r>
        <w:rPr>
          <w:noProof/>
          <w:lang w:eastAsia="bg-BG" w:bidi="bg-BG"/>
        </w:rPr>
        <w:t xml:space="preserve">През 2014 г. средната </w:t>
      </w:r>
      <w:r>
        <w:rPr>
          <w:i/>
          <w:noProof/>
          <w:lang w:eastAsia="bg-BG" w:bidi="bg-BG"/>
        </w:rPr>
        <w:t>инфлация</w:t>
      </w:r>
      <w:r>
        <w:rPr>
          <w:noProof/>
          <w:lang w:eastAsia="bg-BG" w:bidi="bg-BG"/>
        </w:rPr>
        <w:t xml:space="preserve"> достигна 5,5 % и отбелязва низходяща тенденция предвид на намаляването на цените на суровините на международните пазари, </w:t>
      </w:r>
      <w:r>
        <w:rPr>
          <w:noProof/>
          <w:lang w:eastAsia="bg-BG" w:bidi="bg-BG"/>
        </w:rPr>
        <w:lastRenderedPageBreak/>
        <w:t>стабилното вътрешно производство на хранителни стоки, отслабването на вътрешното търсене и предпазливата парична политика. Общата инфл</w:t>
      </w:r>
      <w:r>
        <w:rPr>
          <w:noProof/>
          <w:lang w:eastAsia="bg-BG" w:bidi="bg-BG"/>
        </w:rPr>
        <w:t>ация се очаква да остане на умерено равнище от средно 4,9 % през 2015 г. и на ниво от около 4 % през следващите 5 години.</w:t>
      </w:r>
    </w:p>
    <w:p w:rsidR="005A6CB7" w:rsidRDefault="00C93832">
      <w:pPr>
        <w:spacing w:before="0"/>
        <w:rPr>
          <w:noProof/>
          <w:lang w:eastAsia="bg-BG" w:bidi="bg-BG"/>
        </w:rPr>
      </w:pPr>
      <w:r>
        <w:rPr>
          <w:noProof/>
          <w:lang w:eastAsia="bg-BG" w:bidi="bg-BG"/>
        </w:rPr>
        <w:t>След затягането на</w:t>
      </w:r>
      <w:r>
        <w:rPr>
          <w:i/>
          <w:noProof/>
          <w:lang w:eastAsia="bg-BG" w:bidi="bg-BG"/>
        </w:rPr>
        <w:t xml:space="preserve"> паричната политика</w:t>
      </w:r>
      <w:r>
        <w:rPr>
          <w:noProof/>
          <w:lang w:eastAsia="bg-BG" w:bidi="bg-BG"/>
        </w:rPr>
        <w:t xml:space="preserve"> в периода от 2012 г. до средата на 2014 г. в отговор на инфлационния натиск и влошаването на вън</w:t>
      </w:r>
      <w:r>
        <w:rPr>
          <w:noProof/>
          <w:lang w:eastAsia="bg-BG" w:bidi="bg-BG"/>
        </w:rPr>
        <w:t>шното и бюджетното салдо централната банка намали основния лихвен процент с 50 базисни пункта (до 4,25 %) през октомври миналата година с цел да даде тласък на колебливия растеж на БВП на фона на забавянето на инфлацията според индекса на потребителските ц</w:t>
      </w:r>
      <w:r>
        <w:rPr>
          <w:noProof/>
          <w:lang w:eastAsia="bg-BG" w:bidi="bg-BG"/>
        </w:rPr>
        <w:t xml:space="preserve">ени (ИПЦ). </w:t>
      </w:r>
    </w:p>
    <w:p w:rsidR="005A6CB7" w:rsidRDefault="00C93832">
      <w:pPr>
        <w:spacing w:before="0"/>
        <w:rPr>
          <w:noProof/>
          <w:lang w:eastAsia="bg-BG" w:bidi="bg-BG"/>
        </w:rPr>
      </w:pPr>
      <w:r>
        <w:rPr>
          <w:noProof/>
          <w:lang w:eastAsia="bg-BG" w:bidi="bg-BG"/>
        </w:rPr>
        <w:t xml:space="preserve">По отношение на </w:t>
      </w:r>
      <w:r>
        <w:rPr>
          <w:i/>
          <w:noProof/>
          <w:lang w:eastAsia="bg-BG" w:bidi="bg-BG"/>
        </w:rPr>
        <w:t>публичните финанси,</w:t>
      </w:r>
      <w:r>
        <w:rPr>
          <w:noProof/>
          <w:lang w:eastAsia="bg-BG" w:bidi="bg-BG"/>
        </w:rPr>
        <w:t xml:space="preserve"> през 2014 г. Тунис постигна известна фискална консолидация, като структурното бюджетно салдо (което изключва банковите разходи за рекапитализация и други еднократни позиции) намаля от 5,1 % от БВП през 2013 г</w:t>
      </w:r>
      <w:r>
        <w:rPr>
          <w:noProof/>
          <w:lang w:eastAsia="bg-BG" w:bidi="bg-BG"/>
        </w:rPr>
        <w:t>. до 4,2 % от БВП през 2014 г. През 2015 г. обаче структурният дефицит се очаква да нарасне до 4,7 % от БВП, което до голяма степен се дължи на мерките по отношение на разходите, предприети след терористичните нападения, и въпреки икономиите на разходи, ге</w:t>
      </w:r>
      <w:r>
        <w:rPr>
          <w:noProof/>
          <w:lang w:eastAsia="bg-BG" w:bidi="bg-BG"/>
        </w:rPr>
        <w:t>нерирани от по-ниските от очакваните цени на петрола. Законът за бюджета за 2016 г. предвижда намаляване на структурния дефицит до 4,2 % от БВП, което ще бъде постигнато до голяма степен чрез увеличение на приходите (отчасти вследствие на въвеждането на ДД</w:t>
      </w:r>
      <w:r>
        <w:rPr>
          <w:noProof/>
          <w:lang w:eastAsia="bg-BG" w:bidi="bg-BG"/>
        </w:rPr>
        <w:t>С) и по-ниски разходи за субсидии (главно поради допускания за по-ниски цени на петрола на международния пазар и стабилен обменен курс). Въпреки това, предвиденото наемане на около 15 000 допълнителни служители в публичния сектор (най-вече в сектора на отб</w:t>
      </w:r>
      <w:r>
        <w:rPr>
          <w:noProof/>
          <w:lang w:eastAsia="bg-BG" w:bidi="bg-BG"/>
        </w:rPr>
        <w:t>раната и сигурността) ще доведе до увеличение в разходите за заплати.</w:t>
      </w:r>
    </w:p>
    <w:p w:rsidR="005A6CB7" w:rsidRDefault="00C93832">
      <w:pPr>
        <w:spacing w:before="0"/>
        <w:rPr>
          <w:noProof/>
          <w:lang w:eastAsia="bg-BG" w:bidi="bg-BG"/>
        </w:rPr>
      </w:pPr>
      <w:r>
        <w:rPr>
          <w:noProof/>
          <w:lang w:eastAsia="bg-BG" w:bidi="bg-BG"/>
        </w:rPr>
        <w:t xml:space="preserve">Междувременно </w:t>
      </w:r>
      <w:r>
        <w:rPr>
          <w:i/>
          <w:noProof/>
          <w:lang w:eastAsia="bg-BG" w:bidi="bg-BG"/>
        </w:rPr>
        <w:t>дългът на сектор „Държавно управление“</w:t>
      </w:r>
      <w:r>
        <w:rPr>
          <w:noProof/>
          <w:lang w:eastAsia="bg-BG" w:bidi="bg-BG"/>
        </w:rPr>
        <w:t xml:space="preserve"> продължи да нараства, достигайки 50 % от БВП през 2014 г., като се очаква той да достигне 61 % от БВП до края на 2018 г., когато тази</w:t>
      </w:r>
      <w:r>
        <w:rPr>
          <w:noProof/>
          <w:lang w:eastAsia="bg-BG" w:bidi="bg-BG"/>
        </w:rPr>
        <w:t xml:space="preserve"> тенденция ще се обърне. Също така, през следващите две години е предвидено значително нарастване на амортизациите на държавния дълг (от около 600 милиона щатски долара през 2015 г. до над 1,4 милиарда щатски долара през 2017 г. и почти 1,2 милиарда щатски</w:t>
      </w:r>
      <w:r>
        <w:rPr>
          <w:noProof/>
          <w:lang w:eastAsia="bg-BG" w:bidi="bg-BG"/>
        </w:rPr>
        <w:t xml:space="preserve"> долара през 2018 г.).</w:t>
      </w:r>
    </w:p>
    <w:p w:rsidR="005A6CB7" w:rsidRDefault="00C93832">
      <w:pPr>
        <w:spacing w:before="0"/>
        <w:rPr>
          <w:noProof/>
          <w:lang w:eastAsia="bg-BG" w:bidi="bg-BG"/>
        </w:rPr>
      </w:pPr>
      <w:r>
        <w:rPr>
          <w:noProof/>
          <w:lang w:eastAsia="bg-BG" w:bidi="bg-BG"/>
        </w:rPr>
        <w:t xml:space="preserve">Що се отнася до </w:t>
      </w:r>
      <w:r>
        <w:rPr>
          <w:i/>
          <w:noProof/>
          <w:lang w:eastAsia="bg-BG" w:bidi="bg-BG"/>
        </w:rPr>
        <w:t>платежния баланс</w:t>
      </w:r>
      <w:r>
        <w:rPr>
          <w:noProof/>
          <w:lang w:eastAsia="bg-BG" w:bidi="bg-BG"/>
        </w:rPr>
        <w:t>, дефицитът по текущата сметка нарасна още повече и достигна 8,9 % от БВП през 2014 г. в сравнение с 8,3 % от БВП през 2013 г. и се очаква той да се запази на неустойчиво високо равнище през 2015 г. въ</w:t>
      </w:r>
      <w:r>
        <w:rPr>
          <w:noProof/>
          <w:lang w:eastAsia="bg-BG" w:bidi="bg-BG"/>
        </w:rPr>
        <w:t xml:space="preserve">преки спада в цените на петрола, по-слабата вътрешна стопанска дейност и по-големия износ. Отрицателното въздействие върху туризма вследствие на терористичното нападение в Сус се очаква да окаже допълнителен натиск върху дефицита по текущата сметка, което </w:t>
      </w:r>
      <w:r>
        <w:rPr>
          <w:noProof/>
          <w:lang w:eastAsia="bg-BG" w:bidi="bg-BG"/>
        </w:rPr>
        <w:t>ще предизвиква спад на дефицита до 8,8 % от БВП. В допълнение, от 2011 г. насам в Тунис се наблюдават по-слаби частни капиталови потоци, което допринесе за уязвимостта на платежния баланс.</w:t>
      </w:r>
      <w:r>
        <w:rPr>
          <w:b/>
          <w:noProof/>
          <w:lang w:eastAsia="bg-BG" w:bidi="bg-BG"/>
        </w:rPr>
        <w:t xml:space="preserve"> </w:t>
      </w:r>
      <w:r>
        <w:rPr>
          <w:noProof/>
          <w:lang w:eastAsia="bg-BG" w:bidi="bg-BG"/>
        </w:rPr>
        <w:t>Нетните преки чужди инвестиции, които достигнаха средна стойност от</w:t>
      </w:r>
      <w:r>
        <w:rPr>
          <w:noProof/>
          <w:lang w:eastAsia="bg-BG" w:bidi="bg-BG"/>
        </w:rPr>
        <w:t xml:space="preserve"> почти 5 % от БВП през периода 2005—2010 г., са намалели до малко над 2 % от БВП през последните две години. </w:t>
      </w:r>
    </w:p>
    <w:p w:rsidR="005A6CB7" w:rsidRDefault="00C93832">
      <w:pPr>
        <w:spacing w:before="0"/>
        <w:rPr>
          <w:noProof/>
          <w:lang w:eastAsia="bg-BG" w:bidi="bg-BG"/>
        </w:rPr>
      </w:pPr>
      <w:r>
        <w:rPr>
          <w:noProof/>
          <w:lang w:eastAsia="bg-BG" w:bidi="bg-BG"/>
        </w:rPr>
        <w:t>В условията на голям дефицит по текущата сметка и по-слаб приток на капитали Тунис трябваше да разчита все повече на официални финансови потоци. П</w:t>
      </w:r>
      <w:r>
        <w:rPr>
          <w:noProof/>
          <w:lang w:eastAsia="bg-BG" w:bidi="bg-BG"/>
        </w:rPr>
        <w:t>рез 2015 г. Тунис успя също да покрие част от своя недостиг на външно финансиране с емитирането през януари 2015 г. на десетгодишни еврооблигации на стойност 1 милиард щатски долара с лихвен процент от 5,75 %, в резултат на което бяха записани облигации, н</w:t>
      </w:r>
      <w:r>
        <w:rPr>
          <w:noProof/>
          <w:lang w:eastAsia="bg-BG" w:bidi="bg-BG"/>
        </w:rPr>
        <w:t xml:space="preserve">адхвърлящи значително размера на емисията, въпреки че емисията не включваше държавна гаранция от чуждестранни донори. </w:t>
      </w:r>
    </w:p>
    <w:p w:rsidR="005A6CB7" w:rsidRDefault="00C93832">
      <w:pPr>
        <w:spacing w:before="0"/>
        <w:rPr>
          <w:noProof/>
          <w:lang w:eastAsia="bg-BG" w:bidi="bg-BG"/>
        </w:rPr>
      </w:pPr>
      <w:r>
        <w:rPr>
          <w:i/>
          <w:noProof/>
          <w:lang w:eastAsia="bg-BG" w:bidi="bg-BG"/>
        </w:rPr>
        <w:t>Официалните валутни резерви</w:t>
      </w:r>
      <w:r>
        <w:rPr>
          <w:noProof/>
          <w:lang w:eastAsia="bg-BG" w:bidi="bg-BG"/>
        </w:rPr>
        <w:t xml:space="preserve"> в края на 2014 г. възлизаха на 7,7 милиарда щатски долара, което съответства на едва тримесечната стойност на вноса, което е сравнимо с първоначалната цел от 9,0 милиарда щатски долара по програмата на МВФ. Международните облигации на стойност 1 милиард щ</w:t>
      </w:r>
      <w:r>
        <w:rPr>
          <w:noProof/>
          <w:lang w:eastAsia="bg-BG" w:bidi="bg-BG"/>
        </w:rPr>
        <w:t xml:space="preserve">атски долара, емитирани през януари 2015 г., доведоха до повишаване на равнището на резерва, но до края на октомври, резервите спаднаха отново до около 6,5 милиарда щатски долара, т.е. около четиримесечната стойност на вноса, тъй като приходите от туризма </w:t>
      </w:r>
      <w:r>
        <w:rPr>
          <w:noProof/>
          <w:lang w:eastAsia="bg-BG" w:bidi="bg-BG"/>
        </w:rPr>
        <w:t>намаляха вследствие на терористичните нападения. Очаква се в края на 2015 г. резервът да възлиза на 7,5 милиарда щатски долара. Тази стойност е доста под прогнозата на МВФ от 8,2 милиарда щатски долара за края на годината в контекста на 6-ия преглед на про</w:t>
      </w:r>
      <w:r>
        <w:rPr>
          <w:noProof/>
          <w:lang w:eastAsia="bg-BG" w:bidi="bg-BG"/>
        </w:rPr>
        <w:t>грамата (завършил през септември 2015 г.) при</w:t>
      </w:r>
      <w:r>
        <w:rPr>
          <w:b/>
          <w:noProof/>
          <w:lang w:eastAsia="bg-BG" w:bidi="bg-BG"/>
        </w:rPr>
        <w:t xml:space="preserve"> </w:t>
      </w:r>
      <w:r>
        <w:rPr>
          <w:noProof/>
          <w:lang w:eastAsia="bg-BG" w:bidi="bg-BG"/>
        </w:rPr>
        <w:t>цел по отношение на резерва от 10,1 милиарда щатски долара по първоначалната програма.</w:t>
      </w:r>
    </w:p>
    <w:p w:rsidR="005A6CB7" w:rsidRDefault="00C93832">
      <w:pPr>
        <w:widowControl w:val="0"/>
        <w:autoSpaceDE w:val="0"/>
        <w:autoSpaceDN w:val="0"/>
        <w:adjustRightInd w:val="0"/>
        <w:rPr>
          <w:noProof/>
          <w:lang w:eastAsia="bg-BG" w:bidi="bg-BG"/>
        </w:rPr>
      </w:pPr>
      <w:r>
        <w:rPr>
          <w:i/>
          <w:noProof/>
          <w:lang w:eastAsia="bg-BG" w:bidi="bg-BG"/>
        </w:rPr>
        <w:t xml:space="preserve">Външният дълг </w:t>
      </w:r>
      <w:r>
        <w:rPr>
          <w:noProof/>
          <w:lang w:eastAsia="bg-BG" w:bidi="bg-BG"/>
        </w:rPr>
        <w:t>нарасна от 48 % от БВП през 2011 г. до около 56,2 % от БВП през 2014 г., като се очаква да достигне своя връх</w:t>
      </w:r>
      <w:r>
        <w:rPr>
          <w:noProof/>
          <w:lang w:eastAsia="bg-BG" w:bidi="bg-BG"/>
        </w:rPr>
        <w:t xml:space="preserve"> от 72,3 % от БВП през 2018 г., когато тази тенденция ще се обърне. Държавният рейтинг на Тунис беше понижен няколко пъти от 2011 г. насам, като това стана за последен път през 2014 г. (от Ba2 до Ba3 от Moody’s и от BB за BB- от Standard &amp; Poor’s).</w:t>
      </w:r>
    </w:p>
    <w:p w:rsidR="005A6CB7" w:rsidRDefault="00C93832">
      <w:pPr>
        <w:autoSpaceDE w:val="0"/>
        <w:autoSpaceDN w:val="0"/>
        <w:adjustRightInd w:val="0"/>
        <w:rPr>
          <w:noProof/>
          <w:lang w:eastAsia="bg-BG" w:bidi="bg-BG"/>
        </w:rPr>
      </w:pPr>
      <w:r>
        <w:rPr>
          <w:noProof/>
          <w:lang w:eastAsia="bg-BG" w:bidi="bg-BG"/>
        </w:rPr>
        <w:t>Тунис п</w:t>
      </w:r>
      <w:r>
        <w:rPr>
          <w:noProof/>
          <w:lang w:eastAsia="bg-BG" w:bidi="bg-BG"/>
        </w:rPr>
        <w:t>родължава да е изправен пред значителни предизвикателства за структурните реформи. Макар през периода 2000—2010 г. страната да отбеляза сравнително висок икономически растеж (един от най-високите на глава от населението сред страните вносителки на петрол в</w:t>
      </w:r>
      <w:r>
        <w:rPr>
          <w:noProof/>
          <w:lang w:eastAsia="bg-BG" w:bidi="bg-BG"/>
        </w:rPr>
        <w:t xml:space="preserve"> Близкия изток и региона на Северна Африка (MENA)), тя продължава да страда от редица структурни слабости. По-специално, Тунис е прекомерно зависим от експортно ориентираната промишленост с ниска добавена стойност, разположена близо до бреговата ивица, кое</w:t>
      </w:r>
      <w:r>
        <w:rPr>
          <w:noProof/>
          <w:lang w:eastAsia="bg-BG" w:bidi="bg-BG"/>
        </w:rPr>
        <w:t xml:space="preserve">то допринася за неравномерно разпределение на регионалното икономическо развитие, и страда от липса на гъвкавост на пазара на труда и несъответствие между търсените и предлаганите умения, което допринася за високата безработица, особено сред младите хора. </w:t>
      </w:r>
      <w:r>
        <w:rPr>
          <w:noProof/>
          <w:lang w:eastAsia="bg-BG" w:bidi="bg-BG"/>
        </w:rPr>
        <w:t xml:space="preserve">В съчетание с преобладаващото усещане за недостатъчна прозрачност и слабо икономическо управление, моделът на растеж доведе до несправедливо разпределение на икономическите ползи сред населението. </w:t>
      </w:r>
    </w:p>
    <w:p w:rsidR="005A6CB7" w:rsidRDefault="00C93832">
      <w:pPr>
        <w:autoSpaceDE w:val="0"/>
        <w:autoSpaceDN w:val="0"/>
        <w:adjustRightInd w:val="0"/>
        <w:rPr>
          <w:noProof/>
          <w:lang w:eastAsia="bg-BG" w:bidi="bg-BG"/>
        </w:rPr>
      </w:pPr>
      <w:r>
        <w:rPr>
          <w:noProof/>
          <w:lang w:eastAsia="bg-BG" w:bidi="bg-BG"/>
        </w:rPr>
        <w:t>Като цяло напредъкът в изпълнението на реформите остава ог</w:t>
      </w:r>
      <w:r>
        <w:rPr>
          <w:noProof/>
          <w:lang w:eastAsia="bg-BG" w:bidi="bg-BG"/>
        </w:rPr>
        <w:t>раничен, което се дължи отчасти на деликатния политически преход, въпреки че напоследък положителният устрем дава повод за оптимизъм и правителството остава решено да продължи да следва положителен път на реформи. Бяха положени голяма част от основите за п</w:t>
      </w:r>
      <w:r>
        <w:rPr>
          <w:noProof/>
          <w:lang w:eastAsia="bg-BG" w:bidi="bg-BG"/>
        </w:rPr>
        <w:t>ровеждането на някои ключови реформи (по-специално в областта на данъчната политика и администрация, подобряването на стопанския и инвестиционния климат и реформата на финансовия сектор) и това следва да проправи пътя за прокарването на по-задълбочени рефо</w:t>
      </w:r>
      <w:r>
        <w:rPr>
          <w:noProof/>
          <w:lang w:eastAsia="bg-BG" w:bidi="bg-BG"/>
        </w:rPr>
        <w:t>рми. Други реформи все още изискват предприемането на допълнителни междинни стъпки, силна политическа ангажираност и подкрепа (като например по отношение на реформата на ценовите субсидии и подобряването на мрежата за социална сигурност).</w:t>
      </w:r>
    </w:p>
    <w:p w:rsidR="005A6CB7" w:rsidRDefault="00C93832">
      <w:pPr>
        <w:rPr>
          <w:noProof/>
          <w:lang w:eastAsia="bg-BG" w:bidi="bg-BG"/>
        </w:rPr>
      </w:pPr>
      <w:r>
        <w:rPr>
          <w:noProof/>
          <w:lang w:eastAsia="bg-BG" w:bidi="bg-BG"/>
        </w:rPr>
        <w:t>Както беше отбеля</w:t>
      </w:r>
      <w:r>
        <w:rPr>
          <w:noProof/>
          <w:lang w:eastAsia="bg-BG" w:bidi="bg-BG"/>
        </w:rPr>
        <w:t>зано по-горе, на 7 юни 2013 г. Изпълнителният съветът на МВФ одобри двегодишно стендбай споразумение на стойност 1,75 милиарда щатски долара (400 % от квотата за Тунис), което впоследствие беше удължено до декември 2015 г. Тунис поиска последващо споразуме</w:t>
      </w:r>
      <w:r>
        <w:rPr>
          <w:noProof/>
          <w:lang w:eastAsia="bg-BG" w:bidi="bg-BG"/>
        </w:rPr>
        <w:t>ние с МВФ, което се очаква да бъде с продължителност 4 години и вероятно ще бъде подкрепено от Разширен фонд за финансиране (РФФ). Програмата все още е в процес на договаряне, но се очаква тя да бъде изпратена за одобрение от Изпълнителния съвет на МВФ пре</w:t>
      </w:r>
      <w:r>
        <w:rPr>
          <w:noProof/>
          <w:lang w:eastAsia="bg-BG" w:bidi="bg-BG"/>
        </w:rPr>
        <w:t>з пролетта на 2016 г. Въпреки че нейният краен размер все още предстои да бъде определен, се очаква той да бъдат по-голям, отколкото действащото СБС.</w:t>
      </w:r>
    </w:p>
    <w:p w:rsidR="005A6CB7" w:rsidRDefault="00C93832">
      <w:pPr>
        <w:spacing w:before="0"/>
        <w:rPr>
          <w:rFonts w:cs="Arial"/>
          <w:noProof/>
          <w:lang w:eastAsia="bg-BG" w:bidi="bg-BG"/>
        </w:rPr>
      </w:pPr>
      <w:r>
        <w:rPr>
          <w:noProof/>
          <w:lang w:eastAsia="bg-BG" w:bidi="bg-BG"/>
        </w:rPr>
        <w:t xml:space="preserve">Преразгледаните прогнози, направени през ноември от МВФ, сочат наличието на значителни нужди на платежния </w:t>
      </w:r>
      <w:r>
        <w:rPr>
          <w:noProof/>
          <w:lang w:eastAsia="bg-BG" w:bidi="bg-BG"/>
        </w:rPr>
        <w:t xml:space="preserve">баланс за периода 2016—2017 г., като се очаква общият недостиг на външно финансиране да бъде в размер на 5,1 милиарда щатски долара (2,7 милиарда щатски долара през 2016 г. и 2,4 милиарда щатски долара през 2017 г.). Този недостиг на финансиране като цяло </w:t>
      </w:r>
      <w:r>
        <w:rPr>
          <w:noProof/>
          <w:lang w:eastAsia="bg-BG" w:bidi="bg-BG"/>
        </w:rPr>
        <w:t>може да се обясни с три фактора: продължаващия голям дефицит по текущата сметка, нуждата от създаването на валутни резерви за периода 2016—2017 г. и очакванията за високи изисквания за амортизация на дълга, най-вече за 2017 г. Предложената нова операция за</w:t>
      </w:r>
      <w:r>
        <w:rPr>
          <w:noProof/>
          <w:lang w:eastAsia="bg-BG" w:bidi="bg-BG"/>
        </w:rPr>
        <w:t xml:space="preserve"> предоставяне на МФП в размер на 500 милиона евро ще покрие 19,2 % от прогнозния остатъчен недостиг на финансиране.</w:t>
      </w:r>
    </w:p>
    <w:p w:rsidR="005A6CB7" w:rsidRDefault="00C93832">
      <w:pPr>
        <w:spacing w:before="0" w:after="240"/>
        <w:rPr>
          <w:rFonts w:cs="Arial"/>
          <w:noProof/>
          <w:lang w:eastAsia="bg-BG" w:bidi="bg-BG"/>
        </w:rPr>
      </w:pPr>
      <w:r>
        <w:rPr>
          <w:noProof/>
          <w:lang w:eastAsia="bg-BG" w:bidi="bg-BG"/>
        </w:rPr>
        <w:t xml:space="preserve">В миналото Тунис получи финансова помощ също и от редица двустранни донори (по-специално от САЩ и Япония, но също така и от Алжир), както и </w:t>
      </w:r>
      <w:r>
        <w:rPr>
          <w:noProof/>
          <w:lang w:eastAsia="bg-BG" w:bidi="bg-BG"/>
        </w:rPr>
        <w:t xml:space="preserve">от други многостранни донори (по-специално от Световната банка и от Африканската банка за развитие) и е вероятно през предстоящия период те да предоставят допълнителни средства. Измежду помощите, предоставяни от ЕС, успешно изпълняваната MФП-I в размер на </w:t>
      </w:r>
      <w:r>
        <w:rPr>
          <w:noProof/>
          <w:lang w:eastAsia="bg-BG" w:bidi="bg-BG"/>
        </w:rPr>
        <w:t>300 милиона евро допринася значително за осъществяването на ключови реформи и осигурява така необходимата финансова подкрепа.</w:t>
      </w:r>
    </w:p>
    <w:p w:rsidR="005A6CB7" w:rsidRDefault="00C93832">
      <w:pPr>
        <w:pStyle w:val="Bullet0"/>
        <w:rPr>
          <w:noProof/>
          <w:lang w:eastAsia="bg-BG" w:bidi="bg-BG"/>
        </w:rPr>
      </w:pPr>
      <w:r>
        <w:rPr>
          <w:noProof/>
          <w:lang w:eastAsia="bg-BG" w:bidi="bg-BG"/>
        </w:rPr>
        <w:t>Съществуващи разпоредби в областта на предложението</w:t>
      </w:r>
    </w:p>
    <w:p w:rsidR="005A6CB7" w:rsidRDefault="00C93832">
      <w:pPr>
        <w:tabs>
          <w:tab w:val="left" w:pos="719"/>
        </w:tabs>
        <w:spacing w:before="100" w:beforeAutospacing="1" w:after="100" w:afterAutospacing="1"/>
        <w:rPr>
          <w:noProof/>
          <w:lang w:eastAsia="bg-BG" w:bidi="bg-BG"/>
        </w:rPr>
      </w:pPr>
      <w:r>
        <w:rPr>
          <w:noProof/>
          <w:lang w:eastAsia="bg-BG" w:bidi="bg-BG"/>
        </w:rPr>
        <w:t>Решение № 534/2014/ЕС за предоставяне на макрофинансова помощ на Република Тун</w:t>
      </w:r>
      <w:r>
        <w:rPr>
          <w:noProof/>
          <w:lang w:eastAsia="bg-BG" w:bidi="bg-BG"/>
        </w:rPr>
        <w:t>ис в размер на 300 милиона евро беше прието от Европейския парламент и от Съвета на 15 май 2014 г.</w:t>
      </w:r>
      <w:r>
        <w:rPr>
          <w:rStyle w:val="FootnoteReference"/>
          <w:noProof/>
        </w:rPr>
        <w:footnoteReference w:id="1"/>
      </w:r>
    </w:p>
    <w:p w:rsidR="005A6CB7" w:rsidRDefault="00C93832">
      <w:pPr>
        <w:pStyle w:val="Bullet0"/>
        <w:rPr>
          <w:noProof/>
          <w:lang w:eastAsia="bg-BG" w:bidi="bg-BG"/>
        </w:rPr>
      </w:pPr>
      <w:r>
        <w:rPr>
          <w:noProof/>
          <w:lang w:eastAsia="bg-BG" w:bidi="bg-BG"/>
        </w:rPr>
        <w:t>Съгласуваност с другите политики и цели на Съюза</w:t>
      </w:r>
    </w:p>
    <w:p w:rsidR="005A6CB7" w:rsidRDefault="00C93832">
      <w:pPr>
        <w:spacing w:before="0"/>
        <w:rPr>
          <w:noProof/>
          <w:lang w:eastAsia="bg-BG" w:bidi="bg-BG"/>
        </w:rPr>
      </w:pPr>
      <w:r>
        <w:rPr>
          <w:noProof/>
          <w:lang w:eastAsia="bg-BG" w:bidi="bg-BG"/>
        </w:rPr>
        <w:t xml:space="preserve">ЕС има за цел да развие тесни взаимоотношения с Тунис и да подкрепи икономическите и политическите реформи </w:t>
      </w:r>
      <w:r>
        <w:rPr>
          <w:noProof/>
          <w:lang w:eastAsia="bg-BG" w:bidi="bg-BG"/>
        </w:rPr>
        <w:t>в страната. През 1995 г. Тунис стана в първата държава от Южното Средиземноморие, подписала споразумение за асоцииране с ЕС. Това споразумение, което влезе в сила през 1998 г., продължава да съставлява правното основание за двустранно сътрудничество. Двуст</w:t>
      </w:r>
      <w:r>
        <w:rPr>
          <w:noProof/>
          <w:lang w:eastAsia="bg-BG" w:bidi="bg-BG"/>
        </w:rPr>
        <w:t>ранните отношения бяха допълнително засилени в рамките на европейската политика за съседство на ЕС, включително чрез приемането на петгодишни планове за действие по ЕПС, в които се определят стратегически цели за това сътрудничество, като последният от тях</w:t>
      </w:r>
      <w:r>
        <w:rPr>
          <w:noProof/>
          <w:lang w:eastAsia="bg-BG" w:bidi="bg-BG"/>
        </w:rPr>
        <w:t xml:space="preserve"> обхваща периода 2013—2017 г. Освен това Тунис е държава — членка на Съюза за Средиземноморието. От значение са и икономическите връзки с ЕС. През 2008 г. Тунис окончателно премахна митата върху промишлените продукти, като се превърна в първата държава от </w:t>
      </w:r>
      <w:r>
        <w:rPr>
          <w:noProof/>
          <w:lang w:eastAsia="bg-BG" w:bidi="bg-BG"/>
        </w:rPr>
        <w:t xml:space="preserve">Средиземноморието, сключила споразумение за свободна търговия с ЕС. Тунис е съседската държава, която извършва най-голям дял от търговията си с ЕС. През 2014 г. ЕС е бил най-големият вносител в Тунис с дял от 64,7 % и пазар за 72,5 % от тунизийския износ. </w:t>
      </w:r>
      <w:r>
        <w:rPr>
          <w:noProof/>
          <w:lang w:eastAsia="bg-BG" w:bidi="bg-BG"/>
        </w:rPr>
        <w:t>Тунис зависи също така в голяма степен от ЕС по отношение на преките чуждестранни инвестиции и други финансови потоци, паричните преводи и туристическите потоци. Официалните преговори между ЕС и Тунис за ЗВЗСТ започнаха през октомври 2015 г. с цел да се по</w:t>
      </w:r>
      <w:r>
        <w:rPr>
          <w:noProof/>
          <w:lang w:eastAsia="bg-BG" w:bidi="bg-BG"/>
        </w:rPr>
        <w:t xml:space="preserve">зволи пълен достъп на Тунис до единния пазар на ЕС. </w:t>
      </w:r>
    </w:p>
    <w:p w:rsidR="005A6CB7" w:rsidRDefault="00C93832">
      <w:pPr>
        <w:spacing w:before="0"/>
        <w:rPr>
          <w:noProof/>
          <w:lang w:eastAsia="bg-BG" w:bidi="bg-BG"/>
        </w:rPr>
      </w:pPr>
      <w:r>
        <w:rPr>
          <w:noProof/>
          <w:lang w:eastAsia="bg-BG" w:bidi="bg-BG"/>
        </w:rPr>
        <w:t>МФП на ЕС ще допълни безвъзмездните средства, набрани по линия на Европейския инструмент за съседство (ЕИС) и Общата програма, и по-специално условията, предвидени в изпълняваните от ЕС пакети за бюджетн</w:t>
      </w:r>
      <w:r>
        <w:rPr>
          <w:noProof/>
          <w:lang w:eastAsia="bg-BG" w:bidi="bg-BG"/>
        </w:rPr>
        <w:t>а подкрепа PAR-IV и PAR-V. Като подкрепи приемането от органите на Тунис на подходяща рамка за макроикономическа политика и структурни реформи, МФП от ЕС ще увеличи добавената стойност на цялостното участие на Съюза, като повиши ефективността на цялостната</w:t>
      </w:r>
      <w:r>
        <w:rPr>
          <w:noProof/>
          <w:lang w:eastAsia="bg-BG" w:bidi="bg-BG"/>
        </w:rPr>
        <w:t xml:space="preserve"> намеса на ЕС, включително чрез други финансови инструменти.</w:t>
      </w:r>
    </w:p>
    <w:p w:rsidR="005A6CB7" w:rsidRDefault="00C93832">
      <w:pPr>
        <w:rPr>
          <w:noProof/>
          <w:lang w:eastAsia="bg-BG" w:bidi="bg-BG"/>
        </w:rPr>
      </w:pPr>
      <w:r>
        <w:rPr>
          <w:noProof/>
          <w:lang w:eastAsia="bg-BG" w:bidi="bg-BG"/>
        </w:rPr>
        <w:t>От началото на Арабската пролет насам ЕС нееднократно е заявил своя ангажимент да подпомага Тунис в процеса на икономически и политически реформи. ЕС удвои своята финансова подкрепа под формата н</w:t>
      </w:r>
      <w:r>
        <w:rPr>
          <w:noProof/>
          <w:lang w:eastAsia="bg-BG" w:bidi="bg-BG"/>
        </w:rPr>
        <w:t>а безвъзмездни средства, с което Тунис се превърна в най-големия получател на финансиране по линия на програмата SPRING и общите програми до този момент.</w:t>
      </w:r>
    </w:p>
    <w:p w:rsidR="005A6CB7" w:rsidRDefault="00C93832">
      <w:pPr>
        <w:spacing w:before="0"/>
        <w:rPr>
          <w:noProof/>
          <w:lang w:eastAsia="bg-BG" w:bidi="bg-BG"/>
        </w:rPr>
      </w:pPr>
      <w:r>
        <w:rPr>
          <w:noProof/>
          <w:lang w:eastAsia="bg-BG" w:bidi="bg-BG"/>
        </w:rPr>
        <w:t>Въпреки че пътят на Тунис към пълна демократизация не е безпроблемен и продължава да е налице значител</w:t>
      </w:r>
      <w:r>
        <w:rPr>
          <w:noProof/>
          <w:lang w:eastAsia="bg-BG" w:bidi="bg-BG"/>
        </w:rPr>
        <w:t>на несигурност, страната предприе изключително важни стъпки за постигане на политическа реформа. Освен това е налице солидна и все по-активна рамка на двустранни отношения между ЕС и Тунис по Споразумението за асоцииране, европейската политика за съседство</w:t>
      </w:r>
      <w:r>
        <w:rPr>
          <w:noProof/>
          <w:lang w:eastAsia="bg-BG" w:bidi="bg-BG"/>
        </w:rPr>
        <w:t xml:space="preserve"> и други неотдавнашни инициативи. </w:t>
      </w:r>
    </w:p>
    <w:p w:rsidR="005A6CB7" w:rsidRDefault="00C93832">
      <w:pPr>
        <w:spacing w:before="0"/>
        <w:rPr>
          <w:noProof/>
          <w:lang w:eastAsia="bg-BG" w:bidi="bg-BG"/>
        </w:rPr>
      </w:pPr>
      <w:r>
        <w:rPr>
          <w:noProof/>
          <w:lang w:eastAsia="bg-BG" w:bidi="bg-BG"/>
        </w:rPr>
        <w:t>В този контекст се счита, че Тунис отговарят на предварителните политически условия за предоставяне на МФП на трети държави, по-специално по отношение на зачитането на демокрацията, правата на човека и принципите на право</w:t>
      </w:r>
      <w:r>
        <w:rPr>
          <w:noProof/>
          <w:lang w:eastAsia="bg-BG" w:bidi="bg-BG"/>
        </w:rPr>
        <w:t>вата държава, както и поради тесните си политически и икономически отношения с ЕС. Подробна оценка на изпълнението на тези политически критерии за МФП, изготвена от Европейската служба за външна дейност, е приложена към работния документ на службите на Ком</w:t>
      </w:r>
      <w:r>
        <w:rPr>
          <w:noProof/>
          <w:lang w:eastAsia="bg-BG" w:bidi="bg-BG"/>
        </w:rPr>
        <w:t xml:space="preserve">исията, придружаващ предложението. Предложението за МФП е в съответствие с ангажимента на ЕС за подпомагане на Тунис по време на икономическия и политическия преход. </w:t>
      </w:r>
    </w:p>
    <w:p w:rsidR="005A6CB7" w:rsidRDefault="00C93832">
      <w:pPr>
        <w:pStyle w:val="ManualHeading1"/>
        <w:rPr>
          <w:noProof/>
          <w:lang w:eastAsia="bg-BG" w:bidi="bg-BG"/>
        </w:rPr>
      </w:pPr>
      <w:r>
        <w:rPr>
          <w:noProof/>
          <w:lang w:eastAsia="bg-BG" w:bidi="bg-BG"/>
        </w:rPr>
        <w:t>2.</w:t>
      </w:r>
      <w:r>
        <w:rPr>
          <w:noProof/>
          <w:lang w:eastAsia="bg-BG" w:bidi="bg-BG"/>
        </w:rPr>
        <w:tab/>
        <w:t xml:space="preserve">РЕЗУЛТАТИ ОТ КОНСУЛТАЦИИТЕ СЪС ЗАИНТЕРЕСОВАНИТЕ СТРАНИ И ОЦЕНКА НА ВЪЗДЕЙСТВИЕТО </w:t>
      </w:r>
    </w:p>
    <w:p w:rsidR="005A6CB7" w:rsidRDefault="00C93832">
      <w:pPr>
        <w:pStyle w:val="Bullet0"/>
        <w:rPr>
          <w:noProof/>
          <w:lang w:eastAsia="bg-BG" w:bidi="bg-BG"/>
        </w:rPr>
      </w:pPr>
      <w:r>
        <w:rPr>
          <w:noProof/>
          <w:lang w:eastAsia="bg-BG" w:bidi="bg-BG"/>
        </w:rPr>
        <w:t>Конс</w:t>
      </w:r>
      <w:r>
        <w:rPr>
          <w:noProof/>
          <w:lang w:eastAsia="bg-BG" w:bidi="bg-BG"/>
        </w:rPr>
        <w:t>ултация със заинтересованите страни</w:t>
      </w:r>
    </w:p>
    <w:p w:rsidR="005A6CB7" w:rsidRDefault="00C93832">
      <w:pPr>
        <w:tabs>
          <w:tab w:val="left" w:pos="719"/>
        </w:tabs>
        <w:spacing w:beforeAutospacing="1" w:afterAutospacing="1"/>
        <w:rPr>
          <w:noProof/>
          <w:lang w:eastAsia="bg-BG" w:bidi="bg-BG"/>
        </w:rPr>
      </w:pPr>
      <w:r>
        <w:rPr>
          <w:noProof/>
          <w:lang w:eastAsia="bg-BG" w:bidi="bg-BG"/>
        </w:rPr>
        <w:t xml:space="preserve">МФП се предоставя като неразделна част от международната подкрепа за икономическата стабилизация на Тунис. При изготвянето на настоящото предложение за МФП службите на Комисията се консултираха с Международния валутен </w:t>
      </w:r>
      <w:r>
        <w:rPr>
          <w:noProof/>
          <w:lang w:eastAsia="bg-BG" w:bidi="bg-BG"/>
        </w:rPr>
        <w:t>фонд и Световната банка, които вече са въвели мащабни програми за финансиране и са в процес на подготовка на нови инициативи. Комисията проведе консултации с Икономическия и финансов комитет на 10 декември 2015 г., който одобри предложението. Освен това Ко</w:t>
      </w:r>
      <w:r>
        <w:rPr>
          <w:noProof/>
          <w:lang w:eastAsia="bg-BG" w:bidi="bg-BG"/>
        </w:rPr>
        <w:t>мисията поддържа редовни контакти с тунизийските органи.</w:t>
      </w:r>
    </w:p>
    <w:p w:rsidR="005A6CB7" w:rsidRDefault="00C93832">
      <w:pPr>
        <w:pStyle w:val="Bullet0"/>
        <w:rPr>
          <w:noProof/>
          <w:lang w:eastAsia="bg-BG" w:bidi="bg-BG"/>
        </w:rPr>
      </w:pPr>
      <w:r>
        <w:rPr>
          <w:noProof/>
          <w:lang w:eastAsia="bg-BG" w:bidi="bg-BG"/>
        </w:rPr>
        <w:t>Събиране и използване на експертни становища</w:t>
      </w:r>
    </w:p>
    <w:p w:rsidR="005A6CB7" w:rsidRDefault="00C93832">
      <w:pPr>
        <w:tabs>
          <w:tab w:val="left" w:pos="719"/>
        </w:tabs>
        <w:spacing w:beforeAutospacing="1" w:afterAutospacing="1"/>
        <w:rPr>
          <w:noProof/>
          <w:lang w:eastAsia="bg-BG" w:bidi="bg-BG"/>
        </w:rPr>
      </w:pPr>
      <w:r>
        <w:rPr>
          <w:noProof/>
          <w:lang w:eastAsia="bg-BG" w:bidi="bg-BG"/>
        </w:rPr>
        <w:t>През декември 2013 г. с помощта на външни консултанти Комисията извърши оперативна оценка на качеството и надеждността на публичните финансови потоци и ад</w:t>
      </w:r>
      <w:r>
        <w:rPr>
          <w:noProof/>
          <w:lang w:eastAsia="bg-BG" w:bidi="bg-BG"/>
        </w:rPr>
        <w:t>министративни процедури на Тунис. Резултатите от тази оценка, които като цяло са положителни, бяха споделени с тунизийските органи и с делегацията на ЕС през януари 2014 г., за да продължи работата в евентуалните области за подобрение.</w:t>
      </w:r>
    </w:p>
    <w:p w:rsidR="005A6CB7" w:rsidRDefault="00C93832">
      <w:pPr>
        <w:pStyle w:val="Bullet0"/>
        <w:rPr>
          <w:noProof/>
          <w:lang w:eastAsia="bg-BG" w:bidi="bg-BG"/>
        </w:rPr>
      </w:pPr>
      <w:r>
        <w:rPr>
          <w:noProof/>
          <w:lang w:eastAsia="bg-BG" w:bidi="bg-BG"/>
        </w:rPr>
        <w:t>Оценка на въздействи</w:t>
      </w:r>
      <w:r>
        <w:rPr>
          <w:noProof/>
          <w:lang w:eastAsia="bg-BG" w:bidi="bg-BG"/>
        </w:rPr>
        <w:t>ето</w:t>
      </w:r>
    </w:p>
    <w:p w:rsidR="005A6CB7" w:rsidRDefault="00C93832">
      <w:pPr>
        <w:tabs>
          <w:tab w:val="left" w:pos="719"/>
        </w:tabs>
        <w:spacing w:beforeAutospacing="1" w:afterAutospacing="1"/>
        <w:rPr>
          <w:noProof/>
          <w:lang w:eastAsia="bg-BG" w:bidi="bg-BG"/>
        </w:rPr>
      </w:pPr>
      <w:r>
        <w:rPr>
          <w:noProof/>
          <w:lang w:eastAsia="bg-BG" w:bidi="bg-BG"/>
        </w:rPr>
        <w:t>Макрофинансовата подкрепа от Съюза е изключителен инструмент за спешни случаи, който е насочен към преодоляването на кризи в платежния баланс на трети държави. Следователно настоящото предложение за МФП е освободено от изискването за провеждане на оцен</w:t>
      </w:r>
      <w:r>
        <w:rPr>
          <w:noProof/>
          <w:lang w:eastAsia="bg-BG" w:bidi="bg-BG"/>
        </w:rPr>
        <w:t>ка на въздействието в съответствие с Насоките на Комисията за по-добро регулиране (SWD(2015) 111 final), тъй като от политическа гледна точка са наложителни бързи действия в тази извънредна ситуация, която изисква бързо реагиране.</w:t>
      </w:r>
      <w:r>
        <w:rPr>
          <w:rFonts w:ascii="TimesNewRoman" w:hAnsi="TimesNewRoman"/>
          <w:noProof/>
          <w:lang w:eastAsia="bg-BG" w:bidi="bg-BG"/>
        </w:rPr>
        <w:t xml:space="preserve"> </w:t>
      </w:r>
    </w:p>
    <w:p w:rsidR="005A6CB7" w:rsidRDefault="00C93832">
      <w:pPr>
        <w:tabs>
          <w:tab w:val="left" w:pos="719"/>
        </w:tabs>
        <w:spacing w:beforeAutospacing="1" w:afterAutospacing="1"/>
        <w:rPr>
          <w:noProof/>
          <w:lang w:eastAsia="bg-BG" w:bidi="bg-BG"/>
        </w:rPr>
      </w:pPr>
      <w:r>
        <w:rPr>
          <w:noProof/>
          <w:lang w:eastAsia="bg-BG" w:bidi="bg-BG"/>
        </w:rPr>
        <w:t>В по-общ план, МФП и про</w:t>
      </w:r>
      <w:r>
        <w:rPr>
          <w:noProof/>
          <w:lang w:eastAsia="bg-BG" w:bidi="bg-BG"/>
        </w:rPr>
        <w:t>грамата за икономическо приспособяване и реформи към нея ще спомогнат за намаляване на нуждите на Тунис от краткосрочно финансиране, като в същото време ще бъдат подкрепени мерки в областта на политиката, насочени към укрепване на платежния баланс и бюджет</w:t>
      </w:r>
      <w:r>
        <w:rPr>
          <w:noProof/>
          <w:lang w:eastAsia="bg-BG" w:bidi="bg-BG"/>
        </w:rPr>
        <w:t>ната устойчивост в средносрочен план и към нарастване на устойчивия растеж, както е договорено с МВФ в контекста на новата програма. По-специално, помощта ще спомогне за подобряване на ефикасността и прозрачността на управлението на публичните финанси и ще</w:t>
      </w:r>
      <w:r>
        <w:rPr>
          <w:noProof/>
          <w:lang w:eastAsia="bg-BG" w:bidi="bg-BG"/>
        </w:rPr>
        <w:t xml:space="preserve"> насърчи структурни реформи, които в крайна сметка подкрепят фискалната консолидация и коригирането на платежния баланс, както и производителността и растежа на заетостта, и насърчават нормативното хармонизиране и икономическа интеграция с ЕС, включително </w:t>
      </w:r>
      <w:r>
        <w:rPr>
          <w:noProof/>
          <w:lang w:eastAsia="bg-BG" w:bidi="bg-BG"/>
        </w:rPr>
        <w:t>в контекста на задълбоченото и всеобхватното споразумение за свободна търговия, което понастоящем е предмет на преговори.</w:t>
      </w:r>
    </w:p>
    <w:p w:rsidR="005A6CB7" w:rsidRDefault="00C93832">
      <w:pPr>
        <w:pStyle w:val="ManualHeading1"/>
        <w:rPr>
          <w:noProof/>
          <w:lang w:eastAsia="bg-BG" w:bidi="bg-BG"/>
        </w:rPr>
      </w:pPr>
      <w:r>
        <w:rPr>
          <w:noProof/>
          <w:lang w:eastAsia="bg-BG" w:bidi="bg-BG"/>
        </w:rPr>
        <w:t>3.</w:t>
      </w:r>
      <w:r>
        <w:rPr>
          <w:noProof/>
          <w:lang w:eastAsia="bg-BG" w:bidi="bg-BG"/>
        </w:rPr>
        <w:tab/>
        <w:t>ПРАВНИ ЕЛЕМЕНТИ НА ПРЕДЛОЖЕНИЕТО</w:t>
      </w:r>
    </w:p>
    <w:p w:rsidR="005A6CB7" w:rsidRDefault="00C93832">
      <w:pPr>
        <w:pStyle w:val="Bullet0"/>
        <w:rPr>
          <w:noProof/>
          <w:lang w:eastAsia="bg-BG" w:bidi="bg-BG"/>
        </w:rPr>
      </w:pPr>
      <w:r>
        <w:rPr>
          <w:noProof/>
          <w:lang w:eastAsia="bg-BG" w:bidi="bg-BG"/>
        </w:rPr>
        <w:t>Обобщена информация за предлаганото действие</w:t>
      </w:r>
    </w:p>
    <w:p w:rsidR="005A6CB7" w:rsidRDefault="00C93832">
      <w:pPr>
        <w:spacing w:before="0"/>
        <w:rPr>
          <w:noProof/>
          <w:lang w:eastAsia="bg-BG" w:bidi="bg-BG"/>
        </w:rPr>
      </w:pPr>
      <w:r>
        <w:rPr>
          <w:noProof/>
          <w:lang w:eastAsia="bg-BG" w:bidi="bg-BG"/>
        </w:rPr>
        <w:t>Европейският съюз следва да предостави на Тунис МФП в</w:t>
      </w:r>
      <w:r>
        <w:rPr>
          <w:noProof/>
          <w:lang w:eastAsia="bg-BG" w:bidi="bg-BG"/>
        </w:rPr>
        <w:t xml:space="preserve"> максимален размер от 500 милиона евро под формата на средносрочен заем. Помощта ще допринесе за покриване на остатъчните потребности от външно финансиране на страната за периода 2016—2017 г., определени от Комисията въз основа на оценките на МВФ. </w:t>
      </w:r>
    </w:p>
    <w:p w:rsidR="005A6CB7" w:rsidRDefault="00C93832">
      <w:pPr>
        <w:spacing w:before="0"/>
        <w:rPr>
          <w:noProof/>
          <w:lang w:eastAsia="bg-BG" w:bidi="bg-BG"/>
        </w:rPr>
      </w:pPr>
      <w:r>
        <w:rPr>
          <w:noProof/>
          <w:lang w:eastAsia="bg-BG" w:bidi="bg-BG"/>
        </w:rPr>
        <w:t>Планира</w:t>
      </w:r>
      <w:r>
        <w:rPr>
          <w:noProof/>
          <w:lang w:eastAsia="bg-BG" w:bidi="bg-BG"/>
        </w:rPr>
        <w:t xml:space="preserve"> се помощта да бъде разпределена на три транша на заема от съответно 200 милиона евро, 150 милиона евро и 150 милиона евро. Очаква се първият транш да бъде предоставен през втората половина на 2016 г. Вторият транш, който ще бъде обвързан с редица мерки в </w:t>
      </w:r>
      <w:r>
        <w:rPr>
          <w:noProof/>
          <w:lang w:eastAsia="bg-BG" w:bidi="bg-BG"/>
        </w:rPr>
        <w:t>областта на политиката, може да бъде изплатен през четвъртото тримесечие на 2016 г. Третият последен транш ще бъде предоставен на разположение през първата половина на 2017 г., при условие че мерките в областта на политиката са изпълнени. Помощта ще бъде у</w:t>
      </w:r>
      <w:r>
        <w:rPr>
          <w:noProof/>
          <w:lang w:eastAsia="bg-BG" w:bidi="bg-BG"/>
        </w:rPr>
        <w:t xml:space="preserve">правлявана от Комисията. Прилагат се специални разпоредби за предотвратяване на измамите и другите нередности, съобразени с Финансовия регламент. </w:t>
      </w:r>
    </w:p>
    <w:p w:rsidR="005A6CB7" w:rsidRDefault="00C93832">
      <w:pPr>
        <w:spacing w:before="0"/>
        <w:rPr>
          <w:noProof/>
          <w:lang w:eastAsia="bg-BG" w:bidi="bg-BG"/>
        </w:rPr>
      </w:pPr>
      <w:r>
        <w:rPr>
          <w:noProof/>
          <w:lang w:eastAsia="bg-BG" w:bidi="bg-BG"/>
        </w:rPr>
        <w:t>В съответствие с обичайната практика при инструмента за МФП изплащането на средствата ще зависи от положителн</w:t>
      </w:r>
      <w:r>
        <w:rPr>
          <w:noProof/>
          <w:lang w:eastAsia="bg-BG" w:bidi="bg-BG"/>
        </w:rPr>
        <w:t>ите резултати, отчетени при прегледите на програмата в рамките на новото финансово споразумение с МВФ. Освен това Комисията и тунизийските органи ще се договорят за специални мерки за структурна реформа чрез Меморандум за разбирателство. Комисията ще се съ</w:t>
      </w:r>
      <w:r>
        <w:rPr>
          <w:noProof/>
          <w:lang w:eastAsia="bg-BG" w:bidi="bg-BG"/>
        </w:rPr>
        <w:t>средоточи върху структурни реформи, насочени към подобряването на цялостното макроикономическо управление и условията за устойчив растеж (например по отношение на прозрачността и ефикасността на управлението на публичните финанси; фискалните реформи; рефор</w:t>
      </w:r>
      <w:r>
        <w:rPr>
          <w:noProof/>
          <w:lang w:eastAsia="bg-BG" w:bidi="bg-BG"/>
        </w:rPr>
        <w:t>мите за укрепване на системата за социално осигуряване; реформите на пазара на труда и реформите за подобряване на регулаторната рамка за търговия и инвестиции). Тези мерки за реформа ще подкрепят програмата за реформи на органите на Тунис и ще допълнят пр</w:t>
      </w:r>
      <w:r>
        <w:rPr>
          <w:noProof/>
          <w:lang w:eastAsia="bg-BG" w:bidi="bg-BG"/>
        </w:rPr>
        <w:t>ограмите, договорени с МВФ, Световната банка и други донори, и програмите, свързани с политиката на ЕС в областта на операциите за бюджетна подкрепа. Те ще бъдат съобразени с основните приоритети за икономически реформи, договорени между ЕС и Тунис в конте</w:t>
      </w:r>
      <w:r>
        <w:rPr>
          <w:noProof/>
          <w:lang w:eastAsia="bg-BG" w:bidi="bg-BG"/>
        </w:rPr>
        <w:t>кста на съвместния план за действие по ЕПС и други стратегически документи. Мерките ще се основават също така и на структурните реформи, изпълнявани по МФП-I.</w:t>
      </w:r>
    </w:p>
    <w:p w:rsidR="005A6CB7" w:rsidRDefault="00C93832">
      <w:pPr>
        <w:tabs>
          <w:tab w:val="left" w:pos="719"/>
        </w:tabs>
        <w:spacing w:before="0" w:after="240"/>
        <w:rPr>
          <w:rFonts w:cs="Arial"/>
          <w:iCs/>
          <w:noProof/>
          <w:lang w:eastAsia="bg-BG" w:bidi="bg-BG"/>
        </w:rPr>
      </w:pPr>
      <w:r>
        <w:rPr>
          <w:noProof/>
          <w:lang w:eastAsia="bg-BG" w:bidi="bg-BG"/>
        </w:rPr>
        <w:t xml:space="preserve">Решението за изплащане на пълната МФП под формата на заеми е обосновано от равнището на развитие </w:t>
      </w:r>
      <w:r>
        <w:rPr>
          <w:noProof/>
          <w:lang w:eastAsia="bg-BG" w:bidi="bg-BG"/>
        </w:rPr>
        <w:t>на Тунис (измерено на основата на неговия доход на глава от населението) и дълговите показатели. То също така съответства на третирането на Тунис от страна на Световната банка и МВФ. В действителност Тунис не отговаря на изискванията за финансиране при пре</w:t>
      </w:r>
      <w:r>
        <w:rPr>
          <w:noProof/>
          <w:lang w:eastAsia="bg-BG" w:bidi="bg-BG"/>
        </w:rPr>
        <w:t>ференциални условия от Международната асоциация за развитие (IDA) и Разширения кредитен инструмент на МВФ.</w:t>
      </w:r>
    </w:p>
    <w:p w:rsidR="005A6CB7" w:rsidRDefault="00C93832">
      <w:pPr>
        <w:pStyle w:val="Bullet0"/>
        <w:rPr>
          <w:noProof/>
          <w:lang w:eastAsia="bg-BG" w:bidi="bg-BG"/>
        </w:rPr>
      </w:pPr>
      <w:r>
        <w:rPr>
          <w:noProof/>
          <w:lang w:eastAsia="bg-BG" w:bidi="bg-BG"/>
        </w:rPr>
        <w:t>Правно основание</w:t>
      </w:r>
    </w:p>
    <w:p w:rsidR="005A6CB7" w:rsidRDefault="00C93832">
      <w:pPr>
        <w:tabs>
          <w:tab w:val="left" w:pos="719"/>
        </w:tabs>
        <w:spacing w:beforeAutospacing="1" w:afterAutospacing="1"/>
        <w:jc w:val="left"/>
        <w:rPr>
          <w:noProof/>
          <w:lang w:eastAsia="bg-BG" w:bidi="bg-BG"/>
        </w:rPr>
      </w:pPr>
      <w:r>
        <w:rPr>
          <w:noProof/>
          <w:lang w:eastAsia="bg-BG" w:bidi="bg-BG"/>
        </w:rPr>
        <w:t xml:space="preserve">Правното основание за настоящото предложение е член 212 от ДФЕС. </w:t>
      </w:r>
    </w:p>
    <w:p w:rsidR="005A6CB7" w:rsidRDefault="00C93832">
      <w:pPr>
        <w:pStyle w:val="Bullet0"/>
        <w:rPr>
          <w:noProof/>
          <w:lang w:eastAsia="bg-BG" w:bidi="bg-BG"/>
        </w:rPr>
      </w:pPr>
      <w:r>
        <w:rPr>
          <w:noProof/>
          <w:lang w:eastAsia="bg-BG" w:bidi="bg-BG"/>
        </w:rPr>
        <w:t>Принцип на субсидиарността</w:t>
      </w:r>
    </w:p>
    <w:p w:rsidR="005A6CB7" w:rsidRDefault="00C93832">
      <w:pPr>
        <w:tabs>
          <w:tab w:val="left" w:pos="719"/>
        </w:tabs>
        <w:spacing w:beforeAutospacing="1" w:afterAutospacing="1"/>
        <w:rPr>
          <w:noProof/>
          <w:lang w:eastAsia="bg-BG" w:bidi="bg-BG"/>
        </w:rPr>
      </w:pPr>
      <w:r>
        <w:rPr>
          <w:noProof/>
          <w:lang w:eastAsia="bg-BG" w:bidi="bg-BG"/>
        </w:rPr>
        <w:t>Принципът на субсидиарността е спазен, доколкото целите за възстановяване на краткосрочната макроикономическа стабилност в Tунис не може да бъдат постигнати в достатъчна степен самостоятелно от държавите членки и следователно може да бъдат постигнати по-до</w:t>
      </w:r>
      <w:r>
        <w:rPr>
          <w:noProof/>
          <w:lang w:eastAsia="bg-BG" w:bidi="bg-BG"/>
        </w:rPr>
        <w:t xml:space="preserve">бре от Европейския съюз. Основните причини са бюджетните ограничения на национално равнище и нуждата от висока степен на координация между донорите за постигане на максимален обхват и ефективност на помощта. </w:t>
      </w:r>
    </w:p>
    <w:p w:rsidR="005A6CB7" w:rsidRDefault="00C93832">
      <w:pPr>
        <w:pStyle w:val="Bullet0"/>
        <w:rPr>
          <w:noProof/>
          <w:lang w:eastAsia="bg-BG" w:bidi="bg-BG"/>
        </w:rPr>
      </w:pPr>
      <w:r>
        <w:rPr>
          <w:noProof/>
          <w:lang w:eastAsia="bg-BG" w:bidi="bg-BG"/>
        </w:rPr>
        <w:t>Принцип на пропорционалността</w:t>
      </w:r>
    </w:p>
    <w:p w:rsidR="005A6CB7" w:rsidRDefault="00C93832">
      <w:pPr>
        <w:tabs>
          <w:tab w:val="left" w:pos="719"/>
        </w:tabs>
        <w:spacing w:before="100" w:beforeAutospacing="1"/>
        <w:rPr>
          <w:noProof/>
          <w:lang w:eastAsia="bg-BG" w:bidi="bg-BG"/>
        </w:rPr>
      </w:pPr>
      <w:r>
        <w:rPr>
          <w:noProof/>
          <w:lang w:eastAsia="bg-BG" w:bidi="bg-BG"/>
        </w:rPr>
        <w:t>Предложението е в</w:t>
      </w:r>
      <w:r>
        <w:rPr>
          <w:noProof/>
          <w:lang w:eastAsia="bg-BG" w:bidi="bg-BG"/>
        </w:rPr>
        <w:t xml:space="preserve"> съответствие с принципа на пропорционалността: то е ограничено до необходимия минимум за постигането на краткосрочна макроикономическа стабилност и не надхвърля необходимото за тази цел. </w:t>
      </w:r>
    </w:p>
    <w:p w:rsidR="005A6CB7" w:rsidRDefault="00C93832">
      <w:pPr>
        <w:tabs>
          <w:tab w:val="left" w:pos="719"/>
        </w:tabs>
        <w:spacing w:before="0" w:after="100" w:afterAutospacing="1"/>
        <w:rPr>
          <w:noProof/>
          <w:lang w:eastAsia="bg-BG" w:bidi="bg-BG"/>
        </w:rPr>
      </w:pPr>
      <w:r>
        <w:rPr>
          <w:noProof/>
          <w:lang w:eastAsia="bg-BG" w:bidi="bg-BG"/>
        </w:rPr>
        <w:t xml:space="preserve">Както бе установено от Комисията въз основа на прогнозите на МВФ в </w:t>
      </w:r>
      <w:r>
        <w:rPr>
          <w:noProof/>
          <w:lang w:eastAsia="bg-BG" w:bidi="bg-BG"/>
        </w:rPr>
        <w:t>контекста на бъдещия Разширен фонд за финансиране (РФФ), размерът на помощта по МФП-II съответства на 19,2 % от остатъчния недостиг на финансиране за периода 2016—2017 г. Това съответства на стандартните правила за споделяне на тежестта при операции в рамк</w:t>
      </w:r>
      <w:r>
        <w:rPr>
          <w:noProof/>
          <w:lang w:eastAsia="bg-BG" w:bidi="bg-BG"/>
        </w:rPr>
        <w:t>ите на МФП. Предвид помощта, обещана на Тунис от други двустранни и многостранни донори и кредитори, равнището на споделяне на тежестта се счита за подходящо за ЕС. Ако се вземе предвид непреведеният трети транш от МФП-I, общият размер на финансовата помощ</w:t>
      </w:r>
      <w:r>
        <w:rPr>
          <w:noProof/>
          <w:lang w:eastAsia="bg-BG" w:bidi="bg-BG"/>
        </w:rPr>
        <w:t xml:space="preserve"> от МФП-I и МФП-II през периода 2016—2017 г. съответства на 23,4 % от прогнозния остатъчен недостиг на финансиране. </w:t>
      </w:r>
    </w:p>
    <w:p w:rsidR="005A6CB7" w:rsidRDefault="00C93832">
      <w:pPr>
        <w:pStyle w:val="Bullet0"/>
        <w:rPr>
          <w:noProof/>
          <w:lang w:eastAsia="bg-BG" w:bidi="bg-BG"/>
        </w:rPr>
      </w:pPr>
      <w:r>
        <w:rPr>
          <w:noProof/>
          <w:lang w:eastAsia="bg-BG" w:bidi="bg-BG"/>
        </w:rPr>
        <w:t>Избор на инструменти</w:t>
      </w:r>
    </w:p>
    <w:p w:rsidR="005A6CB7" w:rsidRDefault="00C93832">
      <w:pPr>
        <w:tabs>
          <w:tab w:val="left" w:pos="719"/>
        </w:tabs>
        <w:spacing w:beforeAutospacing="1" w:afterAutospacing="1"/>
        <w:rPr>
          <w:noProof/>
          <w:lang w:eastAsia="bg-BG" w:bidi="bg-BG"/>
        </w:rPr>
      </w:pPr>
      <w:r>
        <w:rPr>
          <w:noProof/>
          <w:lang w:eastAsia="bg-BG" w:bidi="bg-BG"/>
        </w:rPr>
        <w:t>Финансирането на проекти или техническата помощ не биха били подходящи или достатъчни за постигането на тези макроикон</w:t>
      </w:r>
      <w:r>
        <w:rPr>
          <w:noProof/>
          <w:lang w:eastAsia="bg-BG" w:bidi="bg-BG"/>
        </w:rPr>
        <w:t>омически цели. В сравнение с другите инструменти на ЕС основната добавена стойност на МФП би била облекчаването на външните финансови ограничения и подкрепата за създаване на стабилна макроикономическа рамка, включително чрез насърчаване на стабилността на</w:t>
      </w:r>
      <w:r>
        <w:rPr>
          <w:noProof/>
          <w:lang w:eastAsia="bg-BG" w:bidi="bg-BG"/>
        </w:rPr>
        <w:t xml:space="preserve"> платежния баланс и бюджета, както и на целесъобразна рамка за структурни реформи. Подпомагайки установяването на подходяща цялостна рамка в областта на политиката, благодарение на МФП може да се увеличи ефективността на действията, финансирани в Тунис по </w:t>
      </w:r>
      <w:r>
        <w:rPr>
          <w:noProof/>
          <w:lang w:eastAsia="bg-BG" w:bidi="bg-BG"/>
        </w:rPr>
        <w:t xml:space="preserve">други, по-тясно специализирани финансови инструменти на ЕС. </w:t>
      </w:r>
    </w:p>
    <w:p w:rsidR="005A6CB7" w:rsidRDefault="00C93832">
      <w:pPr>
        <w:pStyle w:val="ManualHeading1"/>
        <w:rPr>
          <w:noProof/>
          <w:lang w:eastAsia="bg-BG" w:bidi="bg-BG"/>
        </w:rPr>
      </w:pPr>
      <w:r>
        <w:rPr>
          <w:noProof/>
          <w:lang w:eastAsia="bg-BG" w:bidi="bg-BG"/>
        </w:rPr>
        <w:t>4.</w:t>
      </w:r>
      <w:r>
        <w:rPr>
          <w:noProof/>
          <w:lang w:eastAsia="bg-BG" w:bidi="bg-BG"/>
        </w:rPr>
        <w:tab/>
        <w:t>ОТРАЖЕНИЕ ВЪРХУ БЮДЖЕТА</w:t>
      </w:r>
    </w:p>
    <w:p w:rsidR="005A6CB7" w:rsidRDefault="00C93832">
      <w:pPr>
        <w:tabs>
          <w:tab w:val="left" w:pos="719"/>
        </w:tabs>
        <w:rPr>
          <w:noProof/>
          <w:lang w:eastAsia="bg-BG" w:bidi="bg-BG"/>
        </w:rPr>
      </w:pPr>
      <w:r>
        <w:rPr>
          <w:noProof/>
          <w:lang w:eastAsia="bg-BG" w:bidi="bg-BG"/>
        </w:rPr>
        <w:t xml:space="preserve">Планираната помощ ще бъде предоставена под формата на заем и следва да се финансира чрез операция по получаване на заем, която Комисията ще осъществи от името на ЕС. </w:t>
      </w:r>
      <w:r>
        <w:rPr>
          <w:noProof/>
          <w:lang w:eastAsia="bg-BG" w:bidi="bg-BG"/>
        </w:rPr>
        <w:t>Бюджетните разходи за помощта ще съответстват на обезпечаването при ставка 9 % на преведените суми в Гаранционния фонд за външни заеми на ЕС от бюджетен ред 01 03 06 („обезпечаването на Гаранционния фонд“). Като се предполага, че първият и вторият транш по</w:t>
      </w:r>
      <w:r>
        <w:rPr>
          <w:noProof/>
          <w:lang w:eastAsia="bg-BG" w:bidi="bg-BG"/>
        </w:rPr>
        <w:t xml:space="preserve"> заема ще бъдат изплатени през 2016 г. в общ размер на 350 милиона евро, а третият транш — през 2017 г. в размер на 150 милиона евро, и в съответствие с правилата, уреждащи механизма на Гаранционния фонд, обезпечаването ще бъде включено в бюджетите за 2018</w:t>
      </w:r>
      <w:r>
        <w:rPr>
          <w:noProof/>
          <w:lang w:eastAsia="bg-BG" w:bidi="bg-BG"/>
        </w:rPr>
        <w:t>—2017 г. Въз основа на настоящите прогнози за усвояването на средствата по бюджетен ред 01 03 06 Комисията преценява, че въздействието на операцията върху бюджета може да бъде покрито.</w:t>
      </w:r>
    </w:p>
    <w:p w:rsidR="005A6CB7" w:rsidRDefault="00C93832">
      <w:pPr>
        <w:pStyle w:val="ManualHeading1"/>
        <w:rPr>
          <w:noProof/>
          <w:lang w:eastAsia="bg-BG" w:bidi="bg-BG"/>
        </w:rPr>
      </w:pPr>
      <w:r>
        <w:rPr>
          <w:noProof/>
          <w:lang w:eastAsia="bg-BG" w:bidi="bg-BG"/>
        </w:rPr>
        <w:t>5.</w:t>
      </w:r>
      <w:r>
        <w:rPr>
          <w:noProof/>
          <w:lang w:eastAsia="bg-BG" w:bidi="bg-BG"/>
        </w:rPr>
        <w:tab/>
        <w:t>НЕЗАДЪЛЖИТЕЛНИ ЕЛЕМЕНТИ</w:t>
      </w:r>
    </w:p>
    <w:p w:rsidR="005A6CB7" w:rsidRDefault="00C93832">
      <w:pPr>
        <w:pStyle w:val="Bullet0"/>
        <w:rPr>
          <w:noProof/>
          <w:lang w:eastAsia="bg-BG" w:bidi="bg-BG"/>
        </w:rPr>
      </w:pPr>
      <w:r>
        <w:rPr>
          <w:noProof/>
          <w:lang w:eastAsia="bg-BG" w:bidi="bg-BG"/>
        </w:rPr>
        <w:t>Преглед / преразглеждане / клауза за изтичан</w:t>
      </w:r>
      <w:r>
        <w:rPr>
          <w:noProof/>
          <w:lang w:eastAsia="bg-BG" w:bidi="bg-BG"/>
        </w:rPr>
        <w:t>е на срока на действие</w:t>
      </w:r>
    </w:p>
    <w:p w:rsidR="005A6CB7" w:rsidRDefault="00C93832">
      <w:pPr>
        <w:tabs>
          <w:tab w:val="left" w:pos="719"/>
        </w:tabs>
        <w:spacing w:beforeAutospacing="1" w:afterAutospacing="1"/>
        <w:rPr>
          <w:noProof/>
          <w:lang w:eastAsia="bg-BG" w:bidi="bg-BG"/>
        </w:rPr>
      </w:pPr>
      <w:r>
        <w:rPr>
          <w:noProof/>
          <w:lang w:eastAsia="bg-BG" w:bidi="bg-BG"/>
        </w:rPr>
        <w:t>Предложението включва клауза за изтичане на срока на действие. Предложеното МФП ще бъде на разположение за срок от две години и половина, считано от първия ден след влизането в сила на Меморандума за разбирателство.</w:t>
      </w:r>
    </w:p>
    <w:p w:rsidR="005A6CB7" w:rsidRDefault="005A6CB7">
      <w:pPr>
        <w:rPr>
          <w:noProof/>
          <w:lang w:eastAsia="bg-BG" w:bidi="bg-BG"/>
        </w:rPr>
        <w:sectPr w:rsidR="005A6CB7">
          <w:footerReference w:type="default" r:id="rId11"/>
          <w:footerReference w:type="first" r:id="rId12"/>
          <w:pgSz w:w="11907" w:h="16839"/>
          <w:pgMar w:top="1134" w:right="1417" w:bottom="1134" w:left="1417" w:header="709" w:footer="709" w:gutter="0"/>
          <w:pgNumType w:start="2"/>
          <w:cols w:space="708"/>
          <w:docGrid w:linePitch="360"/>
        </w:sectPr>
      </w:pPr>
    </w:p>
    <w:p w:rsidR="005A6CB7" w:rsidRDefault="00C93832">
      <w:pPr>
        <w:pStyle w:val="Rfrenceinterinstitutionnelle"/>
        <w:rPr>
          <w:noProof/>
          <w:lang w:eastAsia="bg-BG" w:bidi="bg-BG"/>
        </w:rPr>
      </w:pPr>
      <w:r>
        <w:rPr>
          <w:noProof/>
          <w:lang w:eastAsia="bg-BG" w:bidi="bg-BG"/>
        </w:rPr>
        <w:t>2016/0039 (COD)</w:t>
      </w:r>
    </w:p>
    <w:p w:rsidR="005A6CB7" w:rsidRDefault="00C93832">
      <w:pPr>
        <w:pStyle w:val="Statut"/>
        <w:rPr>
          <w:noProof/>
          <w:lang w:eastAsia="bg-BG" w:bidi="bg-BG"/>
        </w:rPr>
      </w:pPr>
      <w:r>
        <w:rPr>
          <w:noProof/>
          <w:lang w:eastAsia="bg-BG" w:bidi="bg-BG"/>
        </w:rPr>
        <w:t>Предложение за</w:t>
      </w:r>
    </w:p>
    <w:p w:rsidR="005A6CB7" w:rsidRDefault="00C93832">
      <w:pPr>
        <w:pStyle w:val="Typedudocument"/>
        <w:rPr>
          <w:noProof/>
          <w:lang w:eastAsia="bg-BG" w:bidi="bg-BG"/>
        </w:rPr>
      </w:pPr>
      <w:r>
        <w:rPr>
          <w:noProof/>
          <w:lang w:eastAsia="bg-BG" w:bidi="bg-BG"/>
        </w:rPr>
        <w:t>РЕШЕНИЕ НА ЕВРОПЕЙСКИЯ ПАРЛАМЕНТ И НА СЪВЕТА</w:t>
      </w:r>
    </w:p>
    <w:p w:rsidR="005A6CB7" w:rsidRDefault="00C93832">
      <w:pPr>
        <w:pStyle w:val="Titreobjet"/>
        <w:rPr>
          <w:noProof/>
          <w:lang w:eastAsia="bg-BG" w:bidi="bg-BG"/>
        </w:rPr>
      </w:pPr>
      <w:r>
        <w:rPr>
          <w:noProof/>
          <w:lang w:eastAsia="bg-BG" w:bidi="bg-BG"/>
        </w:rPr>
        <w:t>за предоставяне на допълнителна макрофинансова помощ на Тунис</w:t>
      </w:r>
    </w:p>
    <w:p w:rsidR="005A6CB7" w:rsidRDefault="00C93832">
      <w:pPr>
        <w:pStyle w:val="Institutionquiagit"/>
        <w:rPr>
          <w:noProof/>
          <w:lang w:eastAsia="bg-BG" w:bidi="bg-BG"/>
        </w:rPr>
      </w:pPr>
      <w:r>
        <w:rPr>
          <w:noProof/>
          <w:lang w:eastAsia="bg-BG" w:bidi="bg-BG"/>
        </w:rPr>
        <w:t>ЕВРОПЕЙСКИЯТ ПАРЛАМЕНТ И С</w:t>
      </w:r>
      <w:r>
        <w:rPr>
          <w:noProof/>
          <w:lang w:eastAsia="bg-BG" w:bidi="bg-BG"/>
        </w:rPr>
        <w:t>ЪВЕТЪТ НА ЕВРОПЕЙСКИЯ СЪЮЗ,</w:t>
      </w:r>
    </w:p>
    <w:p w:rsidR="005A6CB7" w:rsidRDefault="00C93832">
      <w:pPr>
        <w:spacing w:line="360" w:lineRule="auto"/>
        <w:rPr>
          <w:noProof/>
          <w:lang w:eastAsia="bg-BG" w:bidi="bg-BG"/>
        </w:rPr>
      </w:pPr>
      <w:r>
        <w:rPr>
          <w:noProof/>
          <w:lang w:eastAsia="bg-BG" w:bidi="bg-BG"/>
        </w:rPr>
        <w:t>като взеха предвид Договора за функционирането на Европейския съюз, и по-специално член 212 от него,</w:t>
      </w:r>
    </w:p>
    <w:p w:rsidR="005A6CB7" w:rsidRDefault="00C93832">
      <w:pPr>
        <w:spacing w:line="360" w:lineRule="auto"/>
        <w:rPr>
          <w:noProof/>
          <w:lang w:eastAsia="bg-BG" w:bidi="bg-BG"/>
        </w:rPr>
      </w:pPr>
      <w:r>
        <w:rPr>
          <w:noProof/>
          <w:lang w:eastAsia="bg-BG" w:bidi="bg-BG"/>
        </w:rPr>
        <w:t>като взеха предвид предложението на Европейската комисия</w:t>
      </w:r>
      <w:r>
        <w:rPr>
          <w:rStyle w:val="FootnoteReference"/>
          <w:noProof/>
        </w:rPr>
        <w:footnoteReference w:id="2"/>
      </w:r>
      <w:r>
        <w:rPr>
          <w:noProof/>
          <w:lang w:eastAsia="bg-BG" w:bidi="bg-BG"/>
        </w:rPr>
        <w:t xml:space="preserve">, </w:t>
      </w:r>
    </w:p>
    <w:p w:rsidR="005A6CB7" w:rsidRDefault="00C93832">
      <w:pPr>
        <w:spacing w:line="360" w:lineRule="auto"/>
        <w:rPr>
          <w:noProof/>
          <w:lang w:eastAsia="bg-BG" w:bidi="bg-BG"/>
        </w:rPr>
      </w:pPr>
      <w:r>
        <w:rPr>
          <w:noProof/>
          <w:lang w:eastAsia="bg-BG" w:bidi="bg-BG"/>
        </w:rPr>
        <w:t>след предаване на проекта на законодателния акт на националните пар</w:t>
      </w:r>
      <w:r>
        <w:rPr>
          <w:noProof/>
          <w:lang w:eastAsia="bg-BG" w:bidi="bg-BG"/>
        </w:rPr>
        <w:t>ламенти,</w:t>
      </w:r>
    </w:p>
    <w:p w:rsidR="005A6CB7" w:rsidRDefault="00C93832">
      <w:pPr>
        <w:spacing w:line="360" w:lineRule="auto"/>
        <w:rPr>
          <w:noProof/>
          <w:lang w:eastAsia="bg-BG" w:bidi="bg-BG"/>
        </w:rPr>
      </w:pPr>
      <w:r>
        <w:rPr>
          <w:noProof/>
          <w:lang w:eastAsia="bg-BG" w:bidi="bg-BG"/>
        </w:rPr>
        <w:t>в съответствие с обикновената законодателна процедура</w:t>
      </w:r>
      <w:r>
        <w:rPr>
          <w:rStyle w:val="FootnoteReference"/>
          <w:noProof/>
        </w:rPr>
        <w:footnoteReference w:id="3"/>
      </w:r>
      <w:r>
        <w:rPr>
          <w:noProof/>
          <w:lang w:eastAsia="bg-BG" w:bidi="bg-BG"/>
        </w:rPr>
        <w:t>,</w:t>
      </w:r>
    </w:p>
    <w:p w:rsidR="005A6CB7" w:rsidRDefault="00C93832">
      <w:pPr>
        <w:spacing w:line="360" w:lineRule="auto"/>
        <w:rPr>
          <w:noProof/>
          <w:lang w:eastAsia="bg-BG" w:bidi="bg-BG"/>
        </w:rPr>
      </w:pPr>
      <w:r>
        <w:rPr>
          <w:noProof/>
          <w:lang w:eastAsia="bg-BG" w:bidi="bg-BG"/>
        </w:rPr>
        <w:t>като имат предвид, че:</w:t>
      </w:r>
    </w:p>
    <w:p w:rsidR="005A6CB7" w:rsidRDefault="00C93832">
      <w:pPr>
        <w:pStyle w:val="ManualConsidrant"/>
        <w:rPr>
          <w:noProof/>
          <w:lang w:eastAsia="bg-BG" w:bidi="bg-BG"/>
        </w:rPr>
      </w:pPr>
      <w:r>
        <w:t>(1)</w:t>
      </w:r>
      <w:r>
        <w:tab/>
      </w:r>
      <w:r>
        <w:rPr>
          <w:noProof/>
          <w:lang w:eastAsia="bg-BG" w:bidi="bg-BG"/>
        </w:rPr>
        <w:t>Отношенията между Европейския съюз (наричан по-долу „Съюзът“) и Република Тунис (наричана по-долу „Тунис“) се развиват в рамките на Европейската политика за съседст</w:t>
      </w:r>
      <w:r>
        <w:rPr>
          <w:noProof/>
          <w:lang w:eastAsia="bg-BG" w:bidi="bg-BG"/>
        </w:rPr>
        <w:t>во (ЕПС). Тунис беше първата държава от Средиземноморието, която на 17 юли 1995 г. подписа споразумение за асоцииране с ЕС, което влезе в сила на 1 март 1998 г. Съгласно това споразумение за асоцииране Тунис приключи премахването на митата за промишлени пр</w:t>
      </w:r>
      <w:r>
        <w:rPr>
          <w:noProof/>
          <w:lang w:eastAsia="bg-BG" w:bidi="bg-BG"/>
        </w:rPr>
        <w:t>одукти през 2008 г., като по този начин се превърна в първата държава от Средиземноморието, сключила споразумение за свободна търговия със Съюза. Двустранният политически диалог и икономическото сътрудничество бяха доразвити и в рамките на плановете за дей</w:t>
      </w:r>
      <w:r>
        <w:rPr>
          <w:noProof/>
          <w:lang w:eastAsia="bg-BG" w:bidi="bg-BG"/>
        </w:rPr>
        <w:t xml:space="preserve">ствие по ЕПС, последният от които обхваща периода 2013—2015 г. </w:t>
      </w:r>
    </w:p>
    <w:p w:rsidR="005A6CB7" w:rsidRDefault="00C93832">
      <w:pPr>
        <w:pStyle w:val="ManualConsidrant"/>
        <w:rPr>
          <w:noProof/>
          <w:lang w:eastAsia="bg-BG" w:bidi="bg-BG"/>
        </w:rPr>
      </w:pPr>
      <w:r>
        <w:t>(2)</w:t>
      </w:r>
      <w:r>
        <w:tab/>
      </w:r>
      <w:r>
        <w:rPr>
          <w:noProof/>
          <w:lang w:eastAsia="bg-BG" w:bidi="bg-BG"/>
        </w:rPr>
        <w:t>След революцията и свалянето от поста на президента Бен Али на 14 януари 2011 г., на 23 октомври 2011 г. в Тунис се проведоха първите свободни и демократични избори. През януари 2014 г. бе</w:t>
      </w:r>
      <w:r>
        <w:rPr>
          <w:noProof/>
          <w:lang w:eastAsia="bg-BG" w:bidi="bg-BG"/>
        </w:rPr>
        <w:t>ше приета нова конституция, а през четвъртото тримесечие на 2014 г. се проведоха парламентарни и президентски избори със съгласувани усилия от страна на основните участници в политическия процес за продължаване на реформите в посока на една напълно развита</w:t>
      </w:r>
      <w:r>
        <w:rPr>
          <w:noProof/>
          <w:lang w:eastAsia="bg-BG" w:bidi="bg-BG"/>
        </w:rPr>
        <w:t xml:space="preserve"> демократична система.</w:t>
      </w:r>
    </w:p>
    <w:p w:rsidR="005A6CB7" w:rsidRDefault="00C93832">
      <w:pPr>
        <w:pStyle w:val="ManualConsidrant"/>
        <w:rPr>
          <w:noProof/>
          <w:lang w:eastAsia="bg-BG" w:bidi="bg-BG"/>
        </w:rPr>
      </w:pPr>
      <w:r>
        <w:t>(3)</w:t>
      </w:r>
      <w:r>
        <w:tab/>
      </w:r>
      <w:r>
        <w:rPr>
          <w:noProof/>
          <w:lang w:eastAsia="bg-BG" w:bidi="bg-BG"/>
        </w:rPr>
        <w:t>Едновременно с процеса на политически преход тунизийската икономика беше засегната от продължаващите вътрешни размирици, регионалната нестабилност (включително въздействието на конфликтите в Либия) и слабата международна среда (п</w:t>
      </w:r>
      <w:r>
        <w:rPr>
          <w:noProof/>
          <w:lang w:eastAsia="bg-BG" w:bidi="bg-BG"/>
        </w:rPr>
        <w:t>о-специално в Съюза, който е основният търговски партньор на Тунис). Тези неблагоприятни развития отслабиха значително растежа на страната, както и нейните фискални позиции и състоянието на платежния баланс.</w:t>
      </w:r>
    </w:p>
    <w:p w:rsidR="005A6CB7" w:rsidRDefault="00C93832">
      <w:pPr>
        <w:pStyle w:val="ManualConsidrant"/>
        <w:rPr>
          <w:noProof/>
          <w:lang w:eastAsia="bg-BG" w:bidi="bg-BG"/>
        </w:rPr>
      </w:pPr>
      <w:r>
        <w:t>(4)</w:t>
      </w:r>
      <w:r>
        <w:tab/>
      </w:r>
      <w:r>
        <w:rPr>
          <w:noProof/>
          <w:lang w:eastAsia="bg-BG" w:bidi="bg-BG"/>
        </w:rPr>
        <w:t>След политическите промени в Тунис през 2011</w:t>
      </w:r>
      <w:r>
        <w:rPr>
          <w:noProof/>
          <w:lang w:eastAsia="bg-BG" w:bidi="bg-BG"/>
        </w:rPr>
        <w:t> г. Съюзът изрази категоричния си ангажимент да подкрепя страната в процеса на икономически и политически реформи. Той увеличи финансовата си подкрепа за Тунис, като засили сътрудничеството си в редица области, включително гражданското общество, избирателн</w:t>
      </w:r>
      <w:r>
        <w:rPr>
          <w:noProof/>
          <w:lang w:eastAsia="bg-BG" w:bidi="bg-BG"/>
        </w:rPr>
        <w:t>ата система, сигурността, регионалното развитие и социалните и икономическите реформи. Освен това той предложи възможността за сключване на споразумение за задълбочена и всеобхватна зона за свободна търговия, преговорите по което започнаха през октомври 20</w:t>
      </w:r>
      <w:r>
        <w:rPr>
          <w:noProof/>
          <w:lang w:eastAsia="bg-BG" w:bidi="bg-BG"/>
        </w:rPr>
        <w:t>14 г.</w:t>
      </w:r>
    </w:p>
    <w:p w:rsidR="005A6CB7" w:rsidRDefault="00C93832">
      <w:pPr>
        <w:pStyle w:val="ManualConsidrant"/>
        <w:rPr>
          <w:noProof/>
          <w:lang w:eastAsia="bg-BG" w:bidi="bg-BG"/>
        </w:rPr>
      </w:pPr>
      <w:r>
        <w:t>(5)</w:t>
      </w:r>
      <w:r>
        <w:tab/>
      </w:r>
      <w:r>
        <w:rPr>
          <w:noProof/>
          <w:lang w:eastAsia="bg-BG" w:bidi="bg-BG"/>
        </w:rPr>
        <w:t>В този труден икономически и финансов контекст, през април 2013 г. органите на Тунис и Международният валутен фонд (МВФ) договориха тригодишно стендбай споразумение в размер на 1 150 милиона специални права на тираж като непредпазна мярка в подкр</w:t>
      </w:r>
      <w:r>
        <w:rPr>
          <w:noProof/>
          <w:lang w:eastAsia="bg-BG" w:bidi="bg-BG"/>
        </w:rPr>
        <w:t xml:space="preserve">епа на тунизийската програма за икономическо приспособяване и реформи, която беше удължена до края на 2015 г. Общо 1,5 милиарда щатски долара бяха предоставени по програмата на МВФ вследствие на шест завършени прегледа на програмата. </w:t>
      </w:r>
    </w:p>
    <w:p w:rsidR="005A6CB7" w:rsidRDefault="00C93832">
      <w:pPr>
        <w:pStyle w:val="ManualConsidrant"/>
        <w:rPr>
          <w:noProof/>
          <w:lang w:eastAsia="bg-BG" w:bidi="bg-BG"/>
        </w:rPr>
      </w:pPr>
      <w:r>
        <w:t>(6)</w:t>
      </w:r>
      <w:r>
        <w:tab/>
      </w:r>
      <w:r>
        <w:rPr>
          <w:noProof/>
          <w:lang w:eastAsia="bg-BG" w:bidi="bg-BG"/>
        </w:rPr>
        <w:t>През август 2013 </w:t>
      </w:r>
      <w:r>
        <w:rPr>
          <w:noProof/>
          <w:lang w:eastAsia="bg-BG" w:bidi="bg-BG"/>
        </w:rPr>
        <w:t>г. Тунис поиска от Съюза допълнителна макрофинансова помощ. В отговор на това искане, през май 2014 г. беше приета макрофинансова помощ под формата на заеми в размер на 300 милиона евро (МФП-I)</w:t>
      </w:r>
      <w:r>
        <w:rPr>
          <w:rStyle w:val="FootnoteReference"/>
          <w:noProof/>
        </w:rPr>
        <w:footnoteReference w:id="4"/>
      </w:r>
      <w:r>
        <w:rPr>
          <w:noProof/>
          <w:lang w:eastAsia="bg-BG" w:bidi="bg-BG"/>
        </w:rPr>
        <w:t xml:space="preserve">. Меморандумът за разбирателство (МР), в който се определят </w:t>
      </w:r>
      <w:r>
        <w:rPr>
          <w:noProof/>
          <w:lang w:eastAsia="bg-BG" w:bidi="bg-BG"/>
        </w:rPr>
        <w:t>условията на политиката във връзка с МФП-I, влезе в сила на 4 март 2015 г. В резултат на прилагането на съгласуваните мерки в областта на политиката, първият транш от МФП-I беше изплатен на 7 май 2015 г., а вторият на 1 декември 2015 г.</w:t>
      </w:r>
    </w:p>
    <w:p w:rsidR="005A6CB7" w:rsidRDefault="00C93832">
      <w:pPr>
        <w:pStyle w:val="ManualConsidrant"/>
        <w:rPr>
          <w:noProof/>
          <w:lang w:eastAsia="bg-BG" w:bidi="bg-BG"/>
        </w:rPr>
      </w:pPr>
      <w:r>
        <w:t>(7)</w:t>
      </w:r>
      <w:r>
        <w:tab/>
      </w:r>
      <w:r>
        <w:rPr>
          <w:noProof/>
          <w:lang w:eastAsia="bg-BG" w:bidi="bg-BG"/>
        </w:rPr>
        <w:t>За периода 2011</w:t>
      </w:r>
      <w:r>
        <w:rPr>
          <w:noProof/>
          <w:lang w:eastAsia="bg-BG" w:bidi="bg-BG"/>
        </w:rPr>
        <w:t xml:space="preserve">—2015 г. Съюзът предостави 524 милиона евро под формата на безвъзмездни средства по своята редовна програма за сътрудничество в подкрепа на програмата на Тунис за икономическа и политическа реформа. В допълнение 155 милиона евро бяха отпуснати на Тунис за </w:t>
      </w:r>
      <w:r>
        <w:rPr>
          <w:noProof/>
          <w:lang w:eastAsia="bg-BG" w:bidi="bg-BG"/>
        </w:rPr>
        <w:t xml:space="preserve">периода 2011—2013 г. по програмата „Подкрепа за партньорство, реформи и приобщаващ растеж“ (SPRING). Освен това, от 2011 г. насам Европейската инвестиционна банка е предоставила кредити в размер на 1 338 милиона евро. </w:t>
      </w:r>
    </w:p>
    <w:p w:rsidR="005A6CB7" w:rsidRDefault="00C93832">
      <w:pPr>
        <w:pStyle w:val="ManualConsidrant"/>
        <w:rPr>
          <w:noProof/>
          <w:lang w:eastAsia="bg-BG" w:bidi="bg-BG"/>
        </w:rPr>
      </w:pPr>
      <w:r>
        <w:t>(8)</w:t>
      </w:r>
      <w:r>
        <w:tab/>
      </w:r>
      <w:r>
        <w:rPr>
          <w:noProof/>
          <w:lang w:eastAsia="bg-BG" w:bidi="bg-BG"/>
        </w:rPr>
        <w:t>През 2015 г. икономиката на Тунис</w:t>
      </w:r>
      <w:r>
        <w:rPr>
          <w:noProof/>
          <w:lang w:eastAsia="bg-BG" w:bidi="bg-BG"/>
        </w:rPr>
        <w:t xml:space="preserve"> беше сериозно засегната от няколко терористични нападения, насочени към ключови икономически отрасли като туризма и транспорта, които имаха за цел също и прекъсване на консолидирането на политическия преход в страната. Тези нападения се отразиха негативно</w:t>
      </w:r>
      <w:r>
        <w:rPr>
          <w:noProof/>
          <w:lang w:eastAsia="bg-BG" w:bidi="bg-BG"/>
        </w:rPr>
        <w:t xml:space="preserve"> на започналото икономическо възстановяване на Тунис. Заедно с продължаващата регионална нестабилност (включително възобновяването на конфликта в Либия) и все още слабата европейска и световна икономическа среда, тези събития доведоха до влошаване на слаби</w:t>
      </w:r>
      <w:r>
        <w:rPr>
          <w:noProof/>
          <w:lang w:eastAsia="bg-BG" w:bidi="bg-BG"/>
        </w:rPr>
        <w:t>я платежен баланс и фискални позиции на Тунис. Това доведе до съществен външен и бюджетен недостиг на финансиране.</w:t>
      </w:r>
    </w:p>
    <w:p w:rsidR="005A6CB7" w:rsidRDefault="00C93832">
      <w:pPr>
        <w:pStyle w:val="ManualConsidrant"/>
        <w:rPr>
          <w:noProof/>
          <w:lang w:eastAsia="bg-BG" w:bidi="bg-BG"/>
        </w:rPr>
      </w:pPr>
      <w:r>
        <w:t>(9)</w:t>
      </w:r>
      <w:r>
        <w:tab/>
      </w:r>
      <w:r>
        <w:rPr>
          <w:noProof/>
          <w:lang w:eastAsia="bg-BG" w:bidi="bg-BG"/>
        </w:rPr>
        <w:t xml:space="preserve">В този труден контекст Съюзът нееднократно потвърди своя ангажимент да подкрепя Тунис в процеса на икономически и политически реформи. </w:t>
      </w:r>
      <w:r>
        <w:rPr>
          <w:noProof/>
          <w:lang w:eastAsia="bg-BG" w:bidi="bg-BG"/>
        </w:rPr>
        <w:t>По-специално, този ангажимент беше изразен в заключенията от срещата на Съвета за асоцииране между Съюза и Тунис от март 2015 г., както и след терористичното нападение в Сус през юни 2015 г. в заключенията на Съвета от 20 юли 2015 г. Политическата и иконом</w:t>
      </w:r>
      <w:r>
        <w:rPr>
          <w:noProof/>
          <w:lang w:eastAsia="bg-BG" w:bidi="bg-BG"/>
        </w:rPr>
        <w:t>ическата подкрепа на Съюза за процеса на реформи в Тунис е в съответствие с политиката на Съюза по отношение на региона на Южното Средиземноморие, определена в контекста на ЕПС.</w:t>
      </w:r>
    </w:p>
    <w:p w:rsidR="005A6CB7" w:rsidRDefault="00C93832">
      <w:pPr>
        <w:pStyle w:val="ManualConsidrant"/>
        <w:rPr>
          <w:noProof/>
          <w:lang w:eastAsia="bg-BG" w:bidi="bg-BG"/>
        </w:rPr>
      </w:pPr>
      <w:r>
        <w:t>(10)</w:t>
      </w:r>
      <w:r>
        <w:tab/>
      </w:r>
      <w:r>
        <w:rPr>
          <w:noProof/>
          <w:lang w:eastAsia="bg-BG" w:bidi="bg-BG"/>
        </w:rPr>
        <w:t>Вследствие на влошаването на икономическата и финансовата ситуация в стра</w:t>
      </w:r>
      <w:r>
        <w:rPr>
          <w:noProof/>
          <w:lang w:eastAsia="bg-BG" w:bidi="bg-BG"/>
        </w:rPr>
        <w:t>ната, МВФ и Тунис започнаха дискусии за последващо споразумение с по-голям размер, което би могло да бъде под формата на Разширен фонд за финансиране („програма на МВФ“) и по всяка вероятност ще обхваща период от четири години, считано от пролетта на 2016 </w:t>
      </w:r>
      <w:r>
        <w:rPr>
          <w:noProof/>
          <w:lang w:eastAsia="bg-BG" w:bidi="bg-BG"/>
        </w:rPr>
        <w:t>г. Новата програма на МВФ ще бъде насочена към облекчаване на краткосрочните затруднения в платежния баланс на Тунис и същевременно към насърчаване на прилагането на строги мерки за коригиране.</w:t>
      </w:r>
    </w:p>
    <w:p w:rsidR="005A6CB7" w:rsidRDefault="00C93832">
      <w:pPr>
        <w:pStyle w:val="ManualConsidrant"/>
        <w:rPr>
          <w:noProof/>
          <w:lang w:eastAsia="bg-BG" w:bidi="bg-BG"/>
        </w:rPr>
      </w:pPr>
      <w:r>
        <w:t>(11)</w:t>
      </w:r>
      <w:r>
        <w:tab/>
      </w:r>
      <w:r>
        <w:rPr>
          <w:noProof/>
          <w:lang w:eastAsia="bg-BG" w:bidi="bg-BG"/>
        </w:rPr>
        <w:t>През август 2015 г. с оглед на влошаващата се икономическ</w:t>
      </w:r>
      <w:r>
        <w:rPr>
          <w:noProof/>
          <w:lang w:eastAsia="bg-BG" w:bidi="bg-BG"/>
        </w:rPr>
        <w:t>а ситуация и перспективи Тунис поиска допълнителна макрофинансова помощ от Съюза.</w:t>
      </w:r>
    </w:p>
    <w:p w:rsidR="005A6CB7" w:rsidRDefault="00C93832">
      <w:pPr>
        <w:pStyle w:val="ManualConsidrant"/>
        <w:rPr>
          <w:noProof/>
          <w:lang w:eastAsia="bg-BG" w:bidi="bg-BG"/>
        </w:rPr>
      </w:pPr>
      <w:r>
        <w:t>(12)</w:t>
      </w:r>
      <w:r>
        <w:tab/>
      </w:r>
      <w:r>
        <w:rPr>
          <w:noProof/>
          <w:lang w:eastAsia="bg-BG" w:bidi="bg-BG"/>
        </w:rPr>
        <w:t>Като се има предвид, че Тунис е държава, участваща в ЕПС, следва да се счита, че тя отговаря на условията за получаване на макрофинансова помощ от Съюза.</w:t>
      </w:r>
    </w:p>
    <w:p w:rsidR="005A6CB7" w:rsidRDefault="00C93832">
      <w:pPr>
        <w:pStyle w:val="ManualConsidrant"/>
        <w:rPr>
          <w:noProof/>
          <w:lang w:eastAsia="bg-BG" w:bidi="bg-BG"/>
        </w:rPr>
      </w:pPr>
      <w:r>
        <w:t>(13)</w:t>
      </w:r>
      <w:r>
        <w:tab/>
      </w:r>
      <w:r>
        <w:rPr>
          <w:noProof/>
          <w:lang w:eastAsia="bg-BG" w:bidi="bg-BG"/>
        </w:rPr>
        <w:t>Макрофинан</w:t>
      </w:r>
      <w:r>
        <w:rPr>
          <w:noProof/>
          <w:lang w:eastAsia="bg-BG" w:bidi="bg-BG"/>
        </w:rPr>
        <w:t>совата помощ от Съюза следва да представлява извънреден финансов инструмент на необвързана и нецелева подкрепа за платежния баланс, предназначена за покриване на нуждите на бенефициера от незабавно външно финансиране, и тя следва да бъде в основата на прил</w:t>
      </w:r>
      <w:r>
        <w:rPr>
          <w:noProof/>
          <w:lang w:eastAsia="bg-BG" w:bidi="bg-BG"/>
        </w:rPr>
        <w:t>агането на програма в областта на политиката, съдържаща строги незабавни мерки за икономически корекции и структурни реформи, насочени към подобряване на състоянието на платежния баланс в краткосрочен план.</w:t>
      </w:r>
    </w:p>
    <w:p w:rsidR="005A6CB7" w:rsidRDefault="00C93832">
      <w:pPr>
        <w:pStyle w:val="ManualConsidrant"/>
        <w:rPr>
          <w:noProof/>
          <w:lang w:eastAsia="bg-BG" w:bidi="bg-BG"/>
        </w:rPr>
      </w:pPr>
      <w:r>
        <w:t>(14)</w:t>
      </w:r>
      <w:r>
        <w:tab/>
      </w:r>
      <w:r>
        <w:rPr>
          <w:noProof/>
          <w:lang w:eastAsia="bg-BG" w:bidi="bg-BG"/>
        </w:rPr>
        <w:t>Предвид факта, че в платежния баланс на Туни</w:t>
      </w:r>
      <w:r>
        <w:rPr>
          <w:noProof/>
          <w:lang w:eastAsia="bg-BG" w:bidi="bg-BG"/>
        </w:rPr>
        <w:t xml:space="preserve">с все още се наблюдава значителен остатъчен недостиг на външно финансиране, който надвишава средствата, предоставени от МВФ и други многостранни институции, се счита, че при настоящите извънредни обстоятелства предвидената за Тунис макрофинансова помощ от </w:t>
      </w:r>
      <w:r>
        <w:rPr>
          <w:noProof/>
          <w:lang w:eastAsia="bg-BG" w:bidi="bg-BG"/>
        </w:rPr>
        <w:t>Съюза представлява подходящ отговор на искането на Тунис за подпомагане за икономическата стабилизация във връзка с програмата на МВФ. Макрофинансовата помощ от Съюза ще подпомогне икономическата стабилизация и програмата за структурни реформи на Тунис, ка</w:t>
      </w:r>
      <w:r>
        <w:rPr>
          <w:noProof/>
          <w:lang w:eastAsia="bg-BG" w:bidi="bg-BG"/>
        </w:rPr>
        <w:t>то ще допълни средствата, предоставени в рамките на финансовото споразумение с МВФ.</w:t>
      </w:r>
    </w:p>
    <w:p w:rsidR="005A6CB7" w:rsidRDefault="00C93832">
      <w:pPr>
        <w:pStyle w:val="ManualConsidrant"/>
        <w:rPr>
          <w:noProof/>
          <w:lang w:eastAsia="bg-BG" w:bidi="bg-BG"/>
        </w:rPr>
      </w:pPr>
      <w:r>
        <w:t>(15)</w:t>
      </w:r>
      <w:r>
        <w:tab/>
      </w:r>
      <w:r>
        <w:rPr>
          <w:noProof/>
          <w:lang w:eastAsia="bg-BG" w:bidi="bg-BG"/>
        </w:rPr>
        <w:t>Макрофинансовата помощ от Съюза следва да бъде насочена към подпомагане на възстановяването на устойчиво външно финансиране за Тунис, като по този начин се подпомага и</w:t>
      </w:r>
      <w:r>
        <w:rPr>
          <w:noProof/>
          <w:lang w:eastAsia="bg-BG" w:bidi="bg-BG"/>
        </w:rPr>
        <w:t>кономическото и социалното развитие на страната.</w:t>
      </w:r>
    </w:p>
    <w:p w:rsidR="005A6CB7" w:rsidRDefault="00C93832">
      <w:pPr>
        <w:pStyle w:val="ManualConsidrant"/>
        <w:rPr>
          <w:noProof/>
          <w:lang w:eastAsia="bg-BG" w:bidi="bg-BG"/>
        </w:rPr>
      </w:pPr>
      <w:r>
        <w:t>(16)</w:t>
      </w:r>
      <w:r>
        <w:tab/>
      </w:r>
      <w:r>
        <w:rPr>
          <w:noProof/>
          <w:lang w:eastAsia="bg-BG" w:bidi="bg-BG"/>
        </w:rPr>
        <w:t>Размерът на макрофинансовата помощ от Съюза се определя въз основа на пълна количествена оценка на остатъчните нужди на Тунис от външно финансиране и е съобразен с капацитета на страната да се финансира</w:t>
      </w:r>
      <w:r>
        <w:rPr>
          <w:noProof/>
          <w:lang w:eastAsia="bg-BG" w:bidi="bg-BG"/>
        </w:rPr>
        <w:t xml:space="preserve"> със собствени средства, и по-специално от международните резерви, с които разполага. Макроикономическата помощ от Съюза следва да допълва програмите и средствата, предоставяни от МВФ и Световната банка. При определянето на размера на помощта се отчитат съ</w:t>
      </w:r>
      <w:r>
        <w:rPr>
          <w:noProof/>
          <w:lang w:eastAsia="bg-BG" w:bidi="bg-BG"/>
        </w:rPr>
        <w:t>що очакваният финансов принос от многостранните донори и необходимостта да се осигури справедливо разпределение на тежестта между Съюза и други донори, както и предварително съществуващото разпределение на другите инструменти на Съюза за външно финансиране</w:t>
      </w:r>
      <w:r>
        <w:rPr>
          <w:noProof/>
          <w:lang w:eastAsia="bg-BG" w:bidi="bg-BG"/>
        </w:rPr>
        <w:t xml:space="preserve"> в Тунис и добавената стойност на цялостното участие на Съюза.</w:t>
      </w:r>
    </w:p>
    <w:p w:rsidR="005A6CB7" w:rsidRDefault="00C93832">
      <w:pPr>
        <w:pStyle w:val="ManualConsidrant"/>
        <w:rPr>
          <w:noProof/>
          <w:lang w:eastAsia="bg-BG" w:bidi="bg-BG"/>
        </w:rPr>
      </w:pPr>
      <w:r>
        <w:t>(17)</w:t>
      </w:r>
      <w:r>
        <w:tab/>
      </w:r>
      <w:r>
        <w:rPr>
          <w:noProof/>
          <w:lang w:eastAsia="bg-BG" w:bidi="bg-BG"/>
        </w:rPr>
        <w:t>Комисията следва да гарантира, че макрофинансовата помощ от Съюза съответства в правно отношение и по същество на основните принципи, целите и мерките, предприети в различните области на в</w:t>
      </w:r>
      <w:r>
        <w:rPr>
          <w:noProof/>
          <w:lang w:eastAsia="bg-BG" w:bidi="bg-BG"/>
        </w:rPr>
        <w:t>ъншната дейност и в рамките на други съответни политики на Съюза.</w:t>
      </w:r>
    </w:p>
    <w:p w:rsidR="005A6CB7" w:rsidRDefault="00C93832">
      <w:pPr>
        <w:pStyle w:val="ManualConsidrant"/>
        <w:rPr>
          <w:noProof/>
          <w:lang w:eastAsia="bg-BG" w:bidi="bg-BG"/>
        </w:rPr>
      </w:pPr>
      <w:r>
        <w:t>(18)</w:t>
      </w:r>
      <w:r>
        <w:tab/>
      </w:r>
      <w:r>
        <w:rPr>
          <w:noProof/>
          <w:lang w:eastAsia="bg-BG" w:bidi="bg-BG"/>
        </w:rPr>
        <w:t>Макрофинансовата помощ от Съюза следва да подкрепи външната политика на Съюза по отношение на Тунис. Службите на Комисията и Европейската служба за външна дейност следва да работят в тя</w:t>
      </w:r>
      <w:r>
        <w:rPr>
          <w:noProof/>
          <w:lang w:eastAsia="bg-BG" w:bidi="bg-BG"/>
        </w:rPr>
        <w:t>сно сътрудничество през цялото времетраене на операцията за макрофинансова помощ, за да координират външната политика на Съюза и да гарантират нейната последователност.</w:t>
      </w:r>
    </w:p>
    <w:p w:rsidR="005A6CB7" w:rsidRDefault="00C93832">
      <w:pPr>
        <w:pStyle w:val="ManualConsidrant"/>
        <w:rPr>
          <w:noProof/>
          <w:lang w:eastAsia="bg-BG" w:bidi="bg-BG"/>
        </w:rPr>
      </w:pPr>
      <w:r>
        <w:t>(19)</w:t>
      </w:r>
      <w:r>
        <w:tab/>
      </w:r>
      <w:r>
        <w:rPr>
          <w:noProof/>
          <w:lang w:eastAsia="bg-BG" w:bidi="bg-BG"/>
        </w:rPr>
        <w:t>Макрофинансовата помощ от Съюза следва да подкрепя ангажимента на Тунис с ценности</w:t>
      </w:r>
      <w:r>
        <w:rPr>
          <w:noProof/>
          <w:lang w:eastAsia="bg-BG" w:bidi="bg-BG"/>
        </w:rPr>
        <w:t xml:space="preserve">те, които са общи за Тунис и Съюза, в това число принципите за демокрация, правова държава, добро управление, зачитане на правата на човека, устойчиво развитие и намаляване на бедността, както и ангажимента на Тунис по отношение на принципите за отворена, </w:t>
      </w:r>
      <w:r>
        <w:rPr>
          <w:noProof/>
          <w:lang w:eastAsia="bg-BG" w:bidi="bg-BG"/>
        </w:rPr>
        <w:t>основана на правила и справедлива търговия.</w:t>
      </w:r>
    </w:p>
    <w:p w:rsidR="005A6CB7" w:rsidRDefault="00C93832">
      <w:pPr>
        <w:pStyle w:val="ManualConsidrant"/>
        <w:rPr>
          <w:noProof/>
          <w:lang w:eastAsia="bg-BG" w:bidi="bg-BG"/>
        </w:rPr>
      </w:pPr>
      <w:r>
        <w:t>(20)</w:t>
      </w:r>
      <w:r>
        <w:tab/>
      </w:r>
      <w:r>
        <w:rPr>
          <w:noProof/>
          <w:lang w:eastAsia="bg-BG" w:bidi="bg-BG"/>
        </w:rPr>
        <w:t>Зачитането от страна на Тунис на ефективни демократични механизми, включително многопартийна парламентарна система и правова държава, и осигуряването на гаранции за зачитането на правата на човека са предпос</w:t>
      </w:r>
      <w:r>
        <w:rPr>
          <w:noProof/>
          <w:lang w:eastAsia="bg-BG" w:bidi="bg-BG"/>
        </w:rPr>
        <w:t>тавка за предоставянето на макрофинансовата помощ от Съюза. Освен това конкретните цели на макрофинансовата помощ от Съюза следва да подобрят ефикасността, прозрачността и отчетността на системите за управление на публичните финанси в Тунис и да насърчат с</w:t>
      </w:r>
      <w:r>
        <w:rPr>
          <w:noProof/>
          <w:lang w:eastAsia="bg-BG" w:bidi="bg-BG"/>
        </w:rPr>
        <w:t>труктурните реформи, насочени към подпомагането на устойчив и приобщаващ растеж, създаването на работни места и фискална консолидация. Комисията и Европейската служба за външна дейност следва редовно да наблюдават спазването на предварителните условия и на</w:t>
      </w:r>
      <w:r>
        <w:rPr>
          <w:noProof/>
          <w:lang w:eastAsia="bg-BG" w:bidi="bg-BG"/>
        </w:rPr>
        <w:t>предъка в постигането на тези цели.</w:t>
      </w:r>
    </w:p>
    <w:p w:rsidR="005A6CB7" w:rsidRDefault="00C93832">
      <w:pPr>
        <w:pStyle w:val="ManualConsidrant"/>
        <w:rPr>
          <w:noProof/>
          <w:lang w:eastAsia="bg-BG" w:bidi="bg-BG"/>
        </w:rPr>
      </w:pPr>
      <w:r>
        <w:t>(21)</w:t>
      </w:r>
      <w:r>
        <w:tab/>
      </w:r>
      <w:r>
        <w:rPr>
          <w:noProof/>
          <w:lang w:eastAsia="bg-BG" w:bidi="bg-BG"/>
        </w:rPr>
        <w:t>С оглед осигуряване на ефикасна защита на финансовите интереси на Съюза, свързани с макрофинансовата помощ от Съюза, Тунис следва да предприеме подходящи мерки за предотвратяване и борба с измамите, корупцията и вся</w:t>
      </w:r>
      <w:r>
        <w:rPr>
          <w:noProof/>
          <w:lang w:eastAsia="bg-BG" w:bidi="bg-BG"/>
        </w:rPr>
        <w:t>какви други нередности, свързани с помощта. Освен това следва да се предвиди извършването на проверки от страна на Комисията и одити на Сметната палата.</w:t>
      </w:r>
    </w:p>
    <w:p w:rsidR="005A6CB7" w:rsidRDefault="00C93832">
      <w:pPr>
        <w:pStyle w:val="ManualConsidrant"/>
        <w:rPr>
          <w:noProof/>
          <w:lang w:eastAsia="bg-BG" w:bidi="bg-BG"/>
        </w:rPr>
      </w:pPr>
      <w:r>
        <w:t>(22)</w:t>
      </w:r>
      <w:r>
        <w:tab/>
      </w:r>
      <w:r>
        <w:rPr>
          <w:noProof/>
          <w:lang w:eastAsia="bg-BG" w:bidi="bg-BG"/>
        </w:rPr>
        <w:t>Отпускането на макрофинансовата помощ от Съюза не засяга правомощията на Европейския парламент и н</w:t>
      </w:r>
      <w:r>
        <w:rPr>
          <w:noProof/>
          <w:lang w:eastAsia="bg-BG" w:bidi="bg-BG"/>
        </w:rPr>
        <w:t xml:space="preserve">а Съвета (като бюджетни органи). </w:t>
      </w:r>
    </w:p>
    <w:p w:rsidR="005A6CB7" w:rsidRDefault="00C93832">
      <w:pPr>
        <w:pStyle w:val="ManualConsidrant"/>
        <w:rPr>
          <w:noProof/>
          <w:lang w:eastAsia="bg-BG" w:bidi="bg-BG"/>
        </w:rPr>
      </w:pPr>
      <w:r>
        <w:t>(23)</w:t>
      </w:r>
      <w:r>
        <w:tab/>
      </w:r>
      <w:r>
        <w:rPr>
          <w:noProof/>
          <w:lang w:eastAsia="bg-BG" w:bidi="bg-BG"/>
        </w:rPr>
        <w:t>Размерът на необходимата макрофинансова помощ следва да съответства на бюджетните кредити, предвидени в многогодишната финансова рамка.</w:t>
      </w:r>
    </w:p>
    <w:p w:rsidR="005A6CB7" w:rsidRDefault="00C93832">
      <w:pPr>
        <w:pStyle w:val="ManualConsidrant"/>
        <w:rPr>
          <w:noProof/>
          <w:lang w:eastAsia="bg-BG" w:bidi="bg-BG"/>
        </w:rPr>
      </w:pPr>
      <w:r>
        <w:t>(24)</w:t>
      </w:r>
      <w:r>
        <w:tab/>
      </w:r>
      <w:r>
        <w:rPr>
          <w:noProof/>
          <w:lang w:eastAsia="bg-BG" w:bidi="bg-BG"/>
        </w:rPr>
        <w:t xml:space="preserve">Макрофинансовата помощ от Съюза следва да бъде управлявана от Комисията. За </w:t>
      </w:r>
      <w:r>
        <w:rPr>
          <w:noProof/>
          <w:lang w:eastAsia="bg-BG" w:bidi="bg-BG"/>
        </w:rPr>
        <w:t>да се гарантира, че Европейският парламент и Съветът могат да следят за изпълнението на настоящото решение, Комисията следва редовно да ги информира за развитията, свързани с помощта, и да им предоставя съответните документи.</w:t>
      </w:r>
    </w:p>
    <w:p w:rsidR="005A6CB7" w:rsidRDefault="00C93832">
      <w:pPr>
        <w:pStyle w:val="ManualConsidrant"/>
        <w:rPr>
          <w:noProof/>
          <w:lang w:eastAsia="bg-BG" w:bidi="bg-BG"/>
        </w:rPr>
      </w:pPr>
      <w:r>
        <w:t>(25)</w:t>
      </w:r>
      <w:r>
        <w:tab/>
      </w:r>
      <w:r>
        <w:rPr>
          <w:noProof/>
          <w:lang w:eastAsia="bg-BG" w:bidi="bg-BG"/>
        </w:rPr>
        <w:t>За да се гарантират еднак</w:t>
      </w:r>
      <w:r>
        <w:rPr>
          <w:noProof/>
          <w:lang w:eastAsia="bg-BG" w:bidi="bg-BG"/>
        </w:rPr>
        <w:t>ви условия на изпълнение на настоящото решение, на Комисията следва да се предоставят изпълнителни правомощия. Тези правомощия следва да бъдат упражнявани в съответствие с разпоредбите на Регламент (ЕС) № 182/2011 на Европейския парламент и на Съвета</w:t>
      </w:r>
      <w:r>
        <w:rPr>
          <w:rStyle w:val="FootnoteReference"/>
          <w:noProof/>
        </w:rPr>
        <w:footnoteReference w:id="5"/>
      </w:r>
      <w:r>
        <w:rPr>
          <w:noProof/>
          <w:lang w:eastAsia="bg-BG" w:bidi="bg-BG"/>
        </w:rPr>
        <w:t>.</w:t>
      </w:r>
    </w:p>
    <w:p w:rsidR="005A6CB7" w:rsidRDefault="00C93832">
      <w:pPr>
        <w:pStyle w:val="ManualConsidrant"/>
        <w:rPr>
          <w:noProof/>
          <w:lang w:eastAsia="bg-BG" w:bidi="bg-BG"/>
        </w:rPr>
      </w:pPr>
      <w:r>
        <w:t>(26</w:t>
      </w:r>
      <w:r>
        <w:t>)</w:t>
      </w:r>
      <w:r>
        <w:tab/>
      </w:r>
      <w:r>
        <w:rPr>
          <w:noProof/>
          <w:lang w:eastAsia="bg-BG" w:bidi="bg-BG"/>
        </w:rPr>
        <w:t>Макрофинансовата помощ от Съюза следва да бъде обвързана с изпълнението на условия в областта на икономическата политика, които ще бъдат определени в Меморандума за разбирателство. За да се гарантират еднакви условия на изпълнение, както и за целите на п</w:t>
      </w:r>
      <w:r>
        <w:rPr>
          <w:noProof/>
          <w:lang w:eastAsia="bg-BG" w:bidi="bg-BG"/>
        </w:rPr>
        <w:t>о-голяма ефикасност, на Комисията следва да бъде предоставено правомощието да договори тези условия с органите на Тунис под надзора на комитета на представителите на държавите членки в съответствие с Регламент (ЕС) № 182/2011. Съгласно този регламент проце</w:t>
      </w:r>
      <w:r>
        <w:rPr>
          <w:noProof/>
          <w:lang w:eastAsia="bg-BG" w:bidi="bg-BG"/>
        </w:rPr>
        <w:t xml:space="preserve">дурата по консултиране следва по принцип да се прилага за всички случаи с изключение на предвидените в регламента. Като се има предвид потенциално значителното въздействие на помощ, чийто размер надхвърля 90 милиона евро, е целесъобразно за операциите над </w:t>
      </w:r>
      <w:r>
        <w:rPr>
          <w:noProof/>
          <w:lang w:eastAsia="bg-BG" w:bidi="bg-BG"/>
        </w:rPr>
        <w:t>този праг да се използва процедурата по разглеждане. Предвид размера на макрофинансовата помощ от Съюза за Тунис процедурата по разглеждане следва да се прилага за приемането на Меморандума за разбирателство и за намаляване, спиране или отмяна на помощта,</w:t>
      </w:r>
    </w:p>
    <w:p w:rsidR="005A6CB7" w:rsidRDefault="00C93832">
      <w:pPr>
        <w:pStyle w:val="Formuledadoption"/>
        <w:rPr>
          <w:i/>
          <w:noProof/>
          <w:lang w:eastAsia="bg-BG" w:bidi="bg-BG"/>
        </w:rPr>
      </w:pPr>
      <w:r>
        <w:rPr>
          <w:noProof/>
          <w:lang w:eastAsia="bg-BG" w:bidi="bg-BG"/>
        </w:rPr>
        <w:t>ПРИЕХА НАСТОЯЩОТО РЕШЕНИЕ</w:t>
      </w:r>
    </w:p>
    <w:p w:rsidR="005A6CB7" w:rsidRDefault="00C93832">
      <w:pPr>
        <w:pStyle w:val="Titrearticle"/>
        <w:rPr>
          <w:noProof/>
          <w:lang w:eastAsia="bg-BG" w:bidi="bg-BG"/>
        </w:rPr>
      </w:pPr>
      <w:r>
        <w:rPr>
          <w:noProof/>
          <w:lang w:eastAsia="bg-BG" w:bidi="bg-BG"/>
        </w:rPr>
        <w:t>Член 1</w:t>
      </w:r>
    </w:p>
    <w:p w:rsidR="005A6CB7" w:rsidRDefault="00C93832">
      <w:pPr>
        <w:pStyle w:val="ManualNumPar1"/>
        <w:rPr>
          <w:noProof/>
          <w:lang w:eastAsia="bg-BG" w:bidi="bg-BG"/>
        </w:rPr>
      </w:pPr>
      <w:r>
        <w:rPr>
          <w:noProof/>
          <w:lang w:eastAsia="bg-BG" w:bidi="bg-BG"/>
        </w:rPr>
        <w:t>1.</w:t>
      </w:r>
      <w:r>
        <w:rPr>
          <w:noProof/>
          <w:lang w:eastAsia="bg-BG" w:bidi="bg-BG"/>
        </w:rPr>
        <w:tab/>
        <w:t>Съюзът предоставя макрофинансова помощ в максимален размер от 500 милиона евро за Тунис („макрофинансова помощ от Съюза“) с цел подпомагане на икономическото стабилизиране на Тунис и провеждането на съществени реформи. П</w:t>
      </w:r>
      <w:r>
        <w:rPr>
          <w:noProof/>
          <w:lang w:eastAsia="bg-BG" w:bidi="bg-BG"/>
        </w:rPr>
        <w:t xml:space="preserve">омощта се отпуска като принос за покриване на нуждите на платежния баланс на Тунис, както е посочено в програмата на МВФ. </w:t>
      </w:r>
    </w:p>
    <w:p w:rsidR="005A6CB7" w:rsidRDefault="00C93832">
      <w:pPr>
        <w:pStyle w:val="ManualNumPar1"/>
        <w:rPr>
          <w:noProof/>
          <w:lang w:eastAsia="bg-BG" w:bidi="bg-BG"/>
        </w:rPr>
      </w:pPr>
      <w:r>
        <w:rPr>
          <w:noProof/>
          <w:lang w:eastAsia="bg-BG" w:bidi="bg-BG"/>
        </w:rPr>
        <w:t>2.</w:t>
      </w:r>
      <w:r>
        <w:rPr>
          <w:noProof/>
          <w:lang w:eastAsia="bg-BG" w:bidi="bg-BG"/>
        </w:rPr>
        <w:tab/>
        <w:t>Пълният размер на макрофинансовата помощ от Съюза се предоставя на Тунис под формата на заеми. На Комисията се предоставят правомо</w:t>
      </w:r>
      <w:r>
        <w:rPr>
          <w:noProof/>
          <w:lang w:eastAsia="bg-BG" w:bidi="bg-BG"/>
        </w:rPr>
        <w:t>щия от името на Съюза да заема необходимите средства на капиталовите пазари или от финансовите институции и да ги предоставя на Тунис под формата на заем. Максималният среднопретеглен матуритет на заемите не надхвърля 15 години.</w:t>
      </w:r>
    </w:p>
    <w:p w:rsidR="005A6CB7" w:rsidRDefault="00C93832">
      <w:pPr>
        <w:pStyle w:val="ManualNumPar1"/>
        <w:rPr>
          <w:noProof/>
          <w:lang w:eastAsia="bg-BG" w:bidi="bg-BG"/>
        </w:rPr>
      </w:pPr>
      <w:r>
        <w:rPr>
          <w:noProof/>
          <w:lang w:eastAsia="bg-BG" w:bidi="bg-BG"/>
        </w:rPr>
        <w:t>3.</w:t>
      </w:r>
      <w:r>
        <w:rPr>
          <w:noProof/>
          <w:lang w:eastAsia="bg-BG" w:bidi="bg-BG"/>
        </w:rPr>
        <w:tab/>
        <w:t>Отпускането на макрофина</w:t>
      </w:r>
      <w:r>
        <w:rPr>
          <w:noProof/>
          <w:lang w:eastAsia="bg-BG" w:bidi="bg-BG"/>
        </w:rPr>
        <w:t>нсовата помощ от Съюза се управлява от Комисията в съответствие със споразуменията или договореностите, постигнати между Международния валутен фонд (МВФ) и Тунис, и с основните принципи и цели на икономическите реформи, заложени в Споразумението за асоциир</w:t>
      </w:r>
      <w:r>
        <w:rPr>
          <w:noProof/>
          <w:lang w:eastAsia="bg-BG" w:bidi="bg-BG"/>
        </w:rPr>
        <w:t>ане ЕС—Тунис, договорено по линия на Европейската политика за съседство (ЕПС). Комисията осведомява редовно Европейския парламент и Съвета за развитията във връзка с макрофинансовата помощ от Съюза, включително за изплащането на помощта, и им предоставя св</w:t>
      </w:r>
      <w:r>
        <w:rPr>
          <w:noProof/>
          <w:lang w:eastAsia="bg-BG" w:bidi="bg-BG"/>
        </w:rPr>
        <w:t>оевременно съответните документи.</w:t>
      </w:r>
    </w:p>
    <w:p w:rsidR="005A6CB7" w:rsidRDefault="00C93832">
      <w:pPr>
        <w:pStyle w:val="ManualNumPar1"/>
        <w:rPr>
          <w:noProof/>
          <w:lang w:eastAsia="bg-BG" w:bidi="bg-BG"/>
        </w:rPr>
      </w:pPr>
      <w:r>
        <w:rPr>
          <w:noProof/>
          <w:lang w:eastAsia="bg-BG" w:bidi="bg-BG"/>
        </w:rPr>
        <w:t>4.</w:t>
      </w:r>
      <w:r>
        <w:rPr>
          <w:noProof/>
          <w:lang w:eastAsia="bg-BG" w:bidi="bg-BG"/>
        </w:rPr>
        <w:tab/>
        <w:t>Макрофинансовата помощ от Съюза се предоставя за период от две години и половина, считано от първия ден след влизането в сила на Меморандума за разбирателство, посочен в член 3, параграф 1.</w:t>
      </w:r>
    </w:p>
    <w:p w:rsidR="005A6CB7" w:rsidRDefault="00C93832">
      <w:pPr>
        <w:pStyle w:val="ManualNumPar1"/>
        <w:rPr>
          <w:noProof/>
          <w:lang w:eastAsia="bg-BG" w:bidi="bg-BG"/>
        </w:rPr>
      </w:pPr>
      <w:r>
        <w:rPr>
          <w:noProof/>
          <w:lang w:eastAsia="bg-BG" w:bidi="bg-BG"/>
        </w:rPr>
        <w:t>5.</w:t>
      </w:r>
      <w:r>
        <w:rPr>
          <w:noProof/>
          <w:lang w:eastAsia="bg-BG" w:bidi="bg-BG"/>
        </w:rPr>
        <w:tab/>
        <w:t>Ако финансовите нужди на Т</w:t>
      </w:r>
      <w:r>
        <w:rPr>
          <w:noProof/>
          <w:lang w:eastAsia="bg-BG" w:bidi="bg-BG"/>
        </w:rPr>
        <w:t>унис намалеят съществено през периода на отпускане на макрофинансовата помощ от Съюза в сравнение с първоначалните прогнози, Комисията намалява размера на помощта, спира я или я отменя в съответствие с процедурата по разглеждане, посочена в член 7, парагра</w:t>
      </w:r>
      <w:r>
        <w:rPr>
          <w:noProof/>
          <w:lang w:eastAsia="bg-BG" w:bidi="bg-BG"/>
        </w:rPr>
        <w:t>ф 2.</w:t>
      </w:r>
    </w:p>
    <w:p w:rsidR="005A6CB7" w:rsidRDefault="00C93832">
      <w:pPr>
        <w:pStyle w:val="Titrearticle"/>
        <w:rPr>
          <w:noProof/>
          <w:lang w:eastAsia="bg-BG" w:bidi="bg-BG"/>
        </w:rPr>
      </w:pPr>
      <w:r>
        <w:rPr>
          <w:noProof/>
          <w:lang w:eastAsia="bg-BG" w:bidi="bg-BG"/>
        </w:rPr>
        <w:t>Член 2</w:t>
      </w:r>
    </w:p>
    <w:p w:rsidR="005A6CB7" w:rsidRDefault="00C93832">
      <w:pPr>
        <w:pStyle w:val="ManualNumPar1"/>
        <w:rPr>
          <w:noProof/>
          <w:lang w:eastAsia="bg-BG" w:bidi="bg-BG"/>
        </w:rPr>
      </w:pPr>
      <w:r>
        <w:rPr>
          <w:noProof/>
          <w:lang w:eastAsia="bg-BG" w:bidi="bg-BG"/>
        </w:rPr>
        <w:t>1.</w:t>
      </w:r>
      <w:r>
        <w:rPr>
          <w:noProof/>
          <w:lang w:eastAsia="bg-BG" w:bidi="bg-BG"/>
        </w:rPr>
        <w:tab/>
        <w:t>Съблюдаването от страна на Тунис на ефективни демократични механизми, включително многопартийна парламентарна система и принципите на правовата държава, и осигуряването на гаранции за зачитането на правата на човека са предпоставка за предос</w:t>
      </w:r>
      <w:r>
        <w:rPr>
          <w:noProof/>
          <w:lang w:eastAsia="bg-BG" w:bidi="bg-BG"/>
        </w:rPr>
        <w:t>тавянето на макрофинансовата помощ от Съюза.</w:t>
      </w:r>
    </w:p>
    <w:p w:rsidR="005A6CB7" w:rsidRDefault="00C93832">
      <w:pPr>
        <w:pStyle w:val="ManualNumPar1"/>
        <w:rPr>
          <w:noProof/>
          <w:lang w:eastAsia="bg-BG" w:bidi="bg-BG"/>
        </w:rPr>
      </w:pPr>
      <w:r>
        <w:rPr>
          <w:noProof/>
          <w:lang w:eastAsia="bg-BG" w:bidi="bg-BG"/>
        </w:rPr>
        <w:t>2.</w:t>
      </w:r>
      <w:r>
        <w:rPr>
          <w:noProof/>
          <w:lang w:eastAsia="bg-BG" w:bidi="bg-BG"/>
        </w:rPr>
        <w:tab/>
        <w:t xml:space="preserve">През целия цикъл на макрофинансовата помощ от Съюза Комисията и Европейската служба за външна дейност следят за изпълнението на тази предпоставка. </w:t>
      </w:r>
    </w:p>
    <w:p w:rsidR="005A6CB7" w:rsidRDefault="00C93832">
      <w:pPr>
        <w:pStyle w:val="ManualNumPar1"/>
        <w:rPr>
          <w:noProof/>
          <w:lang w:eastAsia="bg-BG" w:bidi="bg-BG"/>
        </w:rPr>
      </w:pPr>
      <w:r>
        <w:rPr>
          <w:noProof/>
          <w:lang w:eastAsia="bg-BG" w:bidi="bg-BG"/>
        </w:rPr>
        <w:t>3.</w:t>
      </w:r>
      <w:r>
        <w:rPr>
          <w:noProof/>
          <w:lang w:eastAsia="bg-BG" w:bidi="bg-BG"/>
        </w:rPr>
        <w:tab/>
        <w:t xml:space="preserve">Параграфи 1 и 2 от настоящия член се прилагат в </w:t>
      </w:r>
      <w:r>
        <w:rPr>
          <w:noProof/>
          <w:lang w:eastAsia="bg-BG" w:bidi="bg-BG"/>
        </w:rPr>
        <w:t>съответствие с Решение 2010/427/ЕС на Съвета</w:t>
      </w:r>
      <w:r>
        <w:rPr>
          <w:rStyle w:val="FootnoteReference"/>
          <w:noProof/>
        </w:rPr>
        <w:footnoteReference w:id="6"/>
      </w:r>
      <w:r>
        <w:rPr>
          <w:noProof/>
          <w:lang w:eastAsia="bg-BG" w:bidi="bg-BG"/>
        </w:rPr>
        <w:t>.</w:t>
      </w:r>
    </w:p>
    <w:p w:rsidR="005A6CB7" w:rsidRDefault="00C93832">
      <w:pPr>
        <w:pStyle w:val="Titrearticle"/>
        <w:rPr>
          <w:noProof/>
          <w:lang w:eastAsia="bg-BG" w:bidi="bg-BG"/>
        </w:rPr>
      </w:pPr>
      <w:r>
        <w:rPr>
          <w:noProof/>
          <w:lang w:eastAsia="bg-BG" w:bidi="bg-BG"/>
        </w:rPr>
        <w:t>Член 3</w:t>
      </w:r>
    </w:p>
    <w:p w:rsidR="005A6CB7" w:rsidRDefault="00C93832">
      <w:pPr>
        <w:pStyle w:val="ManualNumPar1"/>
        <w:rPr>
          <w:noProof/>
          <w:lang w:eastAsia="bg-BG" w:bidi="bg-BG"/>
        </w:rPr>
      </w:pPr>
      <w:r>
        <w:rPr>
          <w:noProof/>
          <w:lang w:eastAsia="bg-BG" w:bidi="bg-BG"/>
        </w:rPr>
        <w:t>1.</w:t>
      </w:r>
      <w:r>
        <w:rPr>
          <w:noProof/>
          <w:lang w:eastAsia="bg-BG" w:bidi="bg-BG"/>
        </w:rPr>
        <w:tab/>
      </w:r>
      <w:r>
        <w:rPr>
          <w:noProof/>
          <w:lang w:eastAsia="bg-BG" w:bidi="bg-BG"/>
        </w:rPr>
        <w:t>В съответствие с посочената в член 7, параграф 2 процедура по разглеждане Комисията договаря с органите на Тунис ясно определени условия на икономическата политика и финансови условия, като акцентът се поставя на структурните реформи и солидните публични ф</w:t>
      </w:r>
      <w:r>
        <w:rPr>
          <w:noProof/>
          <w:lang w:eastAsia="bg-BG" w:bidi="bg-BG"/>
        </w:rPr>
        <w:t xml:space="preserve">инанси. Тези условия са включени в Меморандум за разбирателство („Меморандум за разбирателство“) и предоставянето на макрофинансовата помощ от Съюза е обвързано с тяхното изпълнение. Условията на икономическата политика и финансовите условия, определени в </w:t>
      </w:r>
      <w:r>
        <w:rPr>
          <w:noProof/>
          <w:lang w:eastAsia="bg-BG" w:bidi="bg-BG"/>
        </w:rPr>
        <w:t xml:space="preserve">Меморандума за разбирателство, съответстват на споразуменията или договореностите, посочени в член 1, параграф 3, включително на програмите за макроикономически корекции и структурни реформи, изпълнявани от Тунис с подкрепата на МВФ. </w:t>
      </w:r>
    </w:p>
    <w:p w:rsidR="005A6CB7" w:rsidRDefault="00C93832">
      <w:pPr>
        <w:pStyle w:val="ManualNumPar1"/>
        <w:rPr>
          <w:noProof/>
          <w:lang w:eastAsia="bg-BG" w:bidi="bg-BG"/>
        </w:rPr>
      </w:pPr>
      <w:r>
        <w:rPr>
          <w:noProof/>
          <w:lang w:eastAsia="bg-BG" w:bidi="bg-BG"/>
        </w:rPr>
        <w:t>2.</w:t>
      </w:r>
      <w:r>
        <w:rPr>
          <w:noProof/>
          <w:lang w:eastAsia="bg-BG" w:bidi="bg-BG"/>
        </w:rPr>
        <w:tab/>
        <w:t>С посочените в пар</w:t>
      </w:r>
      <w:r>
        <w:rPr>
          <w:noProof/>
          <w:lang w:eastAsia="bg-BG" w:bidi="bg-BG"/>
        </w:rPr>
        <w:t>аграф 1 условия се цели по-специално повишаване на ефикасността, прозрачността и отчетността на системите за управление на публичните финанси в Тунис, включително по отношение на използването на макрофинансовата помощ от Съюза. Напредъкът по отношение на в</w:t>
      </w:r>
      <w:r>
        <w:rPr>
          <w:noProof/>
          <w:lang w:eastAsia="bg-BG" w:bidi="bg-BG"/>
        </w:rPr>
        <w:t>заимното отваряне на пазара, развиването на справедлива търговия, основана на правила, и другите приоритети в рамките на външната политика на Съюза също се вземат надлежно предвид при определянето на мерките на политиката. Комисията редовно следи постигнат</w:t>
      </w:r>
      <w:r>
        <w:rPr>
          <w:noProof/>
          <w:lang w:eastAsia="bg-BG" w:bidi="bg-BG"/>
        </w:rPr>
        <w:t>ия при осъществяването на тези цели напредък.</w:t>
      </w:r>
    </w:p>
    <w:p w:rsidR="005A6CB7" w:rsidRDefault="00C93832">
      <w:pPr>
        <w:pStyle w:val="ManualNumPar1"/>
        <w:rPr>
          <w:noProof/>
          <w:lang w:eastAsia="bg-BG" w:bidi="bg-BG"/>
        </w:rPr>
      </w:pPr>
      <w:r>
        <w:rPr>
          <w:noProof/>
          <w:lang w:eastAsia="bg-BG" w:bidi="bg-BG"/>
        </w:rPr>
        <w:t>3.</w:t>
      </w:r>
      <w:r>
        <w:rPr>
          <w:noProof/>
          <w:lang w:eastAsia="bg-BG" w:bidi="bg-BG"/>
        </w:rPr>
        <w:tab/>
        <w:t xml:space="preserve">Подробните финансови условия във връзка с макрофинансовата помощ от Съюза се определят в Споразумение за заем, което ще бъде сключено между Комисията и органите на Тунис. </w:t>
      </w:r>
    </w:p>
    <w:p w:rsidR="005A6CB7" w:rsidRDefault="00C93832">
      <w:pPr>
        <w:pStyle w:val="ManualNumPar1"/>
        <w:rPr>
          <w:noProof/>
          <w:lang w:eastAsia="bg-BG" w:bidi="bg-BG"/>
        </w:rPr>
      </w:pPr>
      <w:r>
        <w:rPr>
          <w:noProof/>
          <w:lang w:eastAsia="bg-BG" w:bidi="bg-BG"/>
        </w:rPr>
        <w:t>4.</w:t>
      </w:r>
      <w:r>
        <w:rPr>
          <w:noProof/>
          <w:lang w:eastAsia="bg-BG" w:bidi="bg-BG"/>
        </w:rPr>
        <w:tab/>
        <w:t>Комисията редовно проверява дали</w:t>
      </w:r>
      <w:r>
        <w:rPr>
          <w:noProof/>
          <w:lang w:eastAsia="bg-BG" w:bidi="bg-BG"/>
        </w:rPr>
        <w:t xml:space="preserve"> продължават да са изпълнени условията в член 4, параграф 3, включително дали икономическите политики на Тунис са в съответствие с целите на макрофинансовата помощ от Съюза. В този процес Комисията си сътрудничи тясно с МВФ и Световната банка, а когато е н</w:t>
      </w:r>
      <w:r>
        <w:rPr>
          <w:noProof/>
          <w:lang w:eastAsia="bg-BG" w:bidi="bg-BG"/>
        </w:rPr>
        <w:t>еобходимо, и с Европейския парламент и Съвета.</w:t>
      </w:r>
    </w:p>
    <w:p w:rsidR="005A6CB7" w:rsidRDefault="00C93832">
      <w:pPr>
        <w:pStyle w:val="Titrearticle"/>
        <w:rPr>
          <w:noProof/>
          <w:lang w:eastAsia="bg-BG" w:bidi="bg-BG"/>
        </w:rPr>
      </w:pPr>
      <w:r>
        <w:rPr>
          <w:noProof/>
          <w:lang w:eastAsia="bg-BG" w:bidi="bg-BG"/>
        </w:rPr>
        <w:t>Член 4</w:t>
      </w:r>
    </w:p>
    <w:p w:rsidR="005A6CB7" w:rsidRDefault="00C93832">
      <w:pPr>
        <w:pStyle w:val="ManualNumPar1"/>
        <w:rPr>
          <w:noProof/>
          <w:lang w:eastAsia="bg-BG" w:bidi="bg-BG"/>
        </w:rPr>
      </w:pPr>
      <w:r>
        <w:rPr>
          <w:noProof/>
          <w:lang w:eastAsia="bg-BG" w:bidi="bg-BG"/>
        </w:rPr>
        <w:t>1.</w:t>
      </w:r>
      <w:r>
        <w:rPr>
          <w:noProof/>
          <w:lang w:eastAsia="bg-BG" w:bidi="bg-BG"/>
        </w:rPr>
        <w:tab/>
        <w:t>При условие, че са спазени условията по параграф 3, Комисията предоставя макрофинансовата помощ от Съюза под формата на заем на три транша. Размерът на всеки транш се определя в Меморандума за разбир</w:t>
      </w:r>
      <w:r>
        <w:rPr>
          <w:noProof/>
          <w:lang w:eastAsia="bg-BG" w:bidi="bg-BG"/>
        </w:rPr>
        <w:t xml:space="preserve">ателство, посочен в член 3. </w:t>
      </w:r>
    </w:p>
    <w:p w:rsidR="005A6CB7" w:rsidRDefault="00C93832">
      <w:pPr>
        <w:pStyle w:val="ManualNumPar1"/>
        <w:rPr>
          <w:noProof/>
          <w:lang w:eastAsia="bg-BG" w:bidi="bg-BG"/>
        </w:rPr>
      </w:pPr>
      <w:r>
        <w:rPr>
          <w:noProof/>
          <w:lang w:eastAsia="bg-BG" w:bidi="bg-BG"/>
        </w:rPr>
        <w:t>2.</w:t>
      </w:r>
      <w:r>
        <w:rPr>
          <w:noProof/>
          <w:lang w:eastAsia="bg-BG" w:bidi="bg-BG"/>
        </w:rPr>
        <w:tab/>
        <w:t>Сумите на предоставената от Съюза макрофинансова помощ се отпускат, когато това е необходимо, в съответствие с Регламент (ЕО, Евратом) № 480/2009</w:t>
      </w:r>
      <w:r>
        <w:rPr>
          <w:rStyle w:val="FootnoteReference"/>
          <w:noProof/>
        </w:rPr>
        <w:footnoteReference w:id="7"/>
      </w:r>
      <w:r>
        <w:rPr>
          <w:noProof/>
          <w:lang w:eastAsia="bg-BG" w:bidi="bg-BG"/>
        </w:rPr>
        <w:t xml:space="preserve">. </w:t>
      </w:r>
    </w:p>
    <w:p w:rsidR="005A6CB7" w:rsidRDefault="00C93832">
      <w:pPr>
        <w:pStyle w:val="ManualNumPar1"/>
        <w:rPr>
          <w:noProof/>
          <w:lang w:eastAsia="bg-BG" w:bidi="bg-BG"/>
        </w:rPr>
      </w:pPr>
      <w:r>
        <w:rPr>
          <w:noProof/>
          <w:lang w:eastAsia="bg-BG" w:bidi="bg-BG"/>
        </w:rPr>
        <w:t>3.</w:t>
      </w:r>
      <w:r>
        <w:rPr>
          <w:noProof/>
          <w:lang w:eastAsia="bg-BG" w:bidi="bg-BG"/>
        </w:rPr>
        <w:tab/>
        <w:t xml:space="preserve">Комисията взема решение за отпускането на траншовете, при условие че са </w:t>
      </w:r>
      <w:r>
        <w:rPr>
          <w:noProof/>
          <w:lang w:eastAsia="bg-BG" w:bidi="bg-BG"/>
        </w:rPr>
        <w:t>спазени всички условия по-долу:</w:t>
      </w:r>
    </w:p>
    <w:p w:rsidR="005A6CB7" w:rsidRDefault="00C93832">
      <w:pPr>
        <w:pStyle w:val="Point1"/>
        <w:rPr>
          <w:noProof/>
          <w:lang w:eastAsia="bg-BG" w:bidi="bg-BG"/>
        </w:rPr>
      </w:pPr>
      <w:r>
        <w:rPr>
          <w:noProof/>
        </w:rPr>
        <w:t>а)</w:t>
      </w:r>
      <w:r>
        <w:rPr>
          <w:noProof/>
        </w:rPr>
        <w:tab/>
      </w:r>
      <w:r>
        <w:rPr>
          <w:noProof/>
          <w:lang w:eastAsia="bg-BG" w:bidi="bg-BG"/>
        </w:rPr>
        <w:t>предпоставката, предвидена в член 2;</w:t>
      </w:r>
    </w:p>
    <w:p w:rsidR="005A6CB7" w:rsidRDefault="00C93832">
      <w:pPr>
        <w:pStyle w:val="Point1"/>
        <w:rPr>
          <w:noProof/>
          <w:lang w:eastAsia="bg-BG" w:bidi="bg-BG"/>
        </w:rPr>
      </w:pPr>
      <w:r>
        <w:rPr>
          <w:noProof/>
        </w:rPr>
        <w:t>б)</w:t>
      </w:r>
      <w:r>
        <w:rPr>
          <w:noProof/>
        </w:rPr>
        <w:tab/>
      </w:r>
      <w:r>
        <w:rPr>
          <w:noProof/>
          <w:lang w:eastAsia="bg-BG" w:bidi="bg-BG"/>
        </w:rPr>
        <w:t>постигането на задоволителни резултати при изпълнението на програма на политиката, съдържаща строги мерки за корекции и структурни реформи, подкрепяно от договореност за кредитиране</w:t>
      </w:r>
      <w:r>
        <w:rPr>
          <w:noProof/>
          <w:lang w:eastAsia="bg-BG" w:bidi="bg-BG"/>
        </w:rPr>
        <w:t xml:space="preserve"> с МВФ като непредпазна мярка; както и</w:t>
      </w:r>
    </w:p>
    <w:p w:rsidR="005A6CB7" w:rsidRDefault="00C93832">
      <w:pPr>
        <w:pStyle w:val="Point1"/>
        <w:rPr>
          <w:noProof/>
          <w:lang w:eastAsia="bg-BG" w:bidi="bg-BG"/>
        </w:rPr>
      </w:pPr>
      <w:r>
        <w:rPr>
          <w:noProof/>
        </w:rPr>
        <w:t>в)</w:t>
      </w:r>
      <w:r>
        <w:rPr>
          <w:noProof/>
        </w:rPr>
        <w:tab/>
      </w:r>
      <w:r>
        <w:rPr>
          <w:noProof/>
          <w:lang w:eastAsia="bg-BG" w:bidi="bg-BG"/>
        </w:rPr>
        <w:t>задоволителното изпълнение на икономическата политика и на финансовите условия, договорени в Меморандума за разбирателство.</w:t>
      </w:r>
    </w:p>
    <w:p w:rsidR="005A6CB7" w:rsidRDefault="00C93832">
      <w:pPr>
        <w:pStyle w:val="Text1"/>
        <w:rPr>
          <w:noProof/>
          <w:lang w:eastAsia="bg-BG" w:bidi="bg-BG"/>
        </w:rPr>
      </w:pPr>
      <w:r>
        <w:rPr>
          <w:noProof/>
          <w:lang w:eastAsia="bg-BG" w:bidi="bg-BG"/>
        </w:rPr>
        <w:t>Отпускането на втория транш по принцип се извършва не по-рано от три месеца след отпускане</w:t>
      </w:r>
      <w:r>
        <w:rPr>
          <w:noProof/>
          <w:lang w:eastAsia="bg-BG" w:bidi="bg-BG"/>
        </w:rPr>
        <w:t xml:space="preserve">то на първия транш. Отпускането на третия транш по принцип се извършва не по-рано от три месеца след отпускането на втория транш. </w:t>
      </w:r>
    </w:p>
    <w:p w:rsidR="005A6CB7" w:rsidRDefault="00C93832">
      <w:pPr>
        <w:pStyle w:val="ManualNumPar1"/>
        <w:rPr>
          <w:noProof/>
          <w:lang w:eastAsia="bg-BG" w:bidi="bg-BG"/>
        </w:rPr>
      </w:pPr>
      <w:r>
        <w:rPr>
          <w:noProof/>
          <w:lang w:eastAsia="bg-BG" w:bidi="bg-BG"/>
        </w:rPr>
        <w:t>4.</w:t>
      </w:r>
      <w:r>
        <w:rPr>
          <w:noProof/>
          <w:lang w:eastAsia="bg-BG" w:bidi="bg-BG"/>
        </w:rPr>
        <w:tab/>
        <w:t>Ако условията в параграф 3 не се изпълняват систематично, Комисията временно спира или отменя изплащането на макрофинансов</w:t>
      </w:r>
      <w:r>
        <w:rPr>
          <w:noProof/>
          <w:lang w:eastAsia="bg-BG" w:bidi="bg-BG"/>
        </w:rPr>
        <w:t xml:space="preserve">ата помощ от Съюза. В такъв случай тя информира Европейския парламенти и Съвета за причините за това спиране или тази отмяна. </w:t>
      </w:r>
    </w:p>
    <w:p w:rsidR="005A6CB7" w:rsidRDefault="00C93832">
      <w:pPr>
        <w:pStyle w:val="ManualNumPar1"/>
        <w:rPr>
          <w:noProof/>
          <w:lang w:eastAsia="bg-BG" w:bidi="bg-BG"/>
        </w:rPr>
      </w:pPr>
      <w:r>
        <w:rPr>
          <w:noProof/>
          <w:lang w:eastAsia="bg-BG" w:bidi="bg-BG"/>
        </w:rPr>
        <w:t>5.</w:t>
      </w:r>
      <w:r>
        <w:rPr>
          <w:noProof/>
          <w:lang w:eastAsia="bg-BG" w:bidi="bg-BG"/>
        </w:rPr>
        <w:tab/>
        <w:t>Макрофинансовата помощ от Съюза се изплаща на Централната банка на Тунис. В зависимост от разпоредбите, договорени в Меморанду</w:t>
      </w:r>
      <w:r>
        <w:rPr>
          <w:noProof/>
          <w:lang w:eastAsia="bg-BG" w:bidi="bg-BG"/>
        </w:rPr>
        <w:t xml:space="preserve">ма за разбирателство, включително потвърждение на остатъчните нужди от бюджетно финансиране, финансовите средства от Съюза може да бъдат преведени на Министерството на финансите на Тунис като краен бенефициер. </w:t>
      </w:r>
    </w:p>
    <w:p w:rsidR="005A6CB7" w:rsidRDefault="00C93832">
      <w:pPr>
        <w:pStyle w:val="Titrearticle"/>
        <w:rPr>
          <w:noProof/>
          <w:lang w:eastAsia="bg-BG" w:bidi="bg-BG"/>
        </w:rPr>
      </w:pPr>
      <w:r>
        <w:rPr>
          <w:noProof/>
          <w:lang w:eastAsia="bg-BG" w:bidi="bg-BG"/>
        </w:rPr>
        <w:t>Член 5</w:t>
      </w:r>
    </w:p>
    <w:p w:rsidR="005A6CB7" w:rsidRDefault="00C93832">
      <w:pPr>
        <w:pStyle w:val="ManualNumPar1"/>
        <w:rPr>
          <w:noProof/>
          <w:lang w:eastAsia="bg-BG" w:bidi="bg-BG"/>
        </w:rPr>
      </w:pPr>
      <w:r>
        <w:rPr>
          <w:noProof/>
          <w:lang w:eastAsia="bg-BG" w:bidi="bg-BG"/>
        </w:rPr>
        <w:t>1.</w:t>
      </w:r>
      <w:r>
        <w:rPr>
          <w:noProof/>
          <w:lang w:eastAsia="bg-BG" w:bidi="bg-BG"/>
        </w:rPr>
        <w:tab/>
        <w:t>Операциите по получаване и отпускан</w:t>
      </w:r>
      <w:r>
        <w:rPr>
          <w:noProof/>
          <w:lang w:eastAsia="bg-BG" w:bidi="bg-BG"/>
        </w:rPr>
        <w:t>е на заема, свързани с макрофинансовата помощ от Съюза, се извършват в евро, с един и същ вальор и те не могат да ангажират Съюза с преобразуването на матуритетите, нито да го излагат на валутни или лихвени рискове, или на други търговски рискове.</w:t>
      </w:r>
    </w:p>
    <w:p w:rsidR="005A6CB7" w:rsidRDefault="00C93832">
      <w:pPr>
        <w:pStyle w:val="ManualNumPar1"/>
        <w:rPr>
          <w:noProof/>
          <w:lang w:eastAsia="bg-BG" w:bidi="bg-BG"/>
        </w:rPr>
      </w:pPr>
      <w:r>
        <w:rPr>
          <w:noProof/>
          <w:lang w:eastAsia="bg-BG" w:bidi="bg-BG"/>
        </w:rPr>
        <w:t>2.</w:t>
      </w:r>
      <w:r>
        <w:rPr>
          <w:noProof/>
          <w:lang w:eastAsia="bg-BG" w:bidi="bg-BG"/>
        </w:rPr>
        <w:tab/>
        <w:t>Ако о</w:t>
      </w:r>
      <w:r>
        <w:rPr>
          <w:noProof/>
          <w:lang w:eastAsia="bg-BG" w:bidi="bg-BG"/>
        </w:rPr>
        <w:t>бстоятелствата позволяват и при искане от Тунис, Комисията може да предприеме необходимите стъпки, за да гарантира, че в условията на заема е включена клауза за преждевременното му погасяване, съпроводена от съответна клауза в условията на операциите по по</w:t>
      </w:r>
      <w:r>
        <w:rPr>
          <w:noProof/>
          <w:lang w:eastAsia="bg-BG" w:bidi="bg-BG"/>
        </w:rPr>
        <w:t xml:space="preserve">лучаване на заем. </w:t>
      </w:r>
    </w:p>
    <w:p w:rsidR="005A6CB7" w:rsidRDefault="00C93832">
      <w:pPr>
        <w:pStyle w:val="ManualNumPar1"/>
        <w:rPr>
          <w:noProof/>
          <w:lang w:eastAsia="bg-BG" w:bidi="bg-BG"/>
        </w:rPr>
      </w:pPr>
      <w:r>
        <w:rPr>
          <w:noProof/>
          <w:lang w:eastAsia="bg-BG" w:bidi="bg-BG"/>
        </w:rPr>
        <w:t>3.</w:t>
      </w:r>
      <w:r>
        <w:rPr>
          <w:noProof/>
          <w:lang w:eastAsia="bg-BG" w:bidi="bg-BG"/>
        </w:rPr>
        <w:tab/>
        <w:t>Ако обстоятелствата позволяват подобряване на лихвения процент по заема и по искане на Тунис, Комисията може да реши да рефинансира изцяло или отчасти първоначалните заеми или да преструктурира съответните финансови условия. Операциит</w:t>
      </w:r>
      <w:r>
        <w:rPr>
          <w:noProof/>
          <w:lang w:eastAsia="bg-BG" w:bidi="bg-BG"/>
        </w:rPr>
        <w:t>е по рефинансиране или преструктуриране се извършват в съответствие с параграфи 1 и 4 и не трябва да водят до удължаване на матуритета на съответните заеми или до увеличаване на неизплатената главница към датата на рефинансиране или преструктуриране.</w:t>
      </w:r>
    </w:p>
    <w:p w:rsidR="005A6CB7" w:rsidRDefault="00C93832">
      <w:pPr>
        <w:pStyle w:val="ManualNumPar1"/>
        <w:rPr>
          <w:noProof/>
          <w:lang w:eastAsia="bg-BG" w:bidi="bg-BG"/>
        </w:rPr>
      </w:pPr>
      <w:r>
        <w:rPr>
          <w:noProof/>
          <w:lang w:eastAsia="bg-BG" w:bidi="bg-BG"/>
        </w:rPr>
        <w:t>4.</w:t>
      </w:r>
      <w:r>
        <w:rPr>
          <w:noProof/>
          <w:lang w:eastAsia="bg-BG" w:bidi="bg-BG"/>
        </w:rPr>
        <w:tab/>
        <w:t>Вс</w:t>
      </w:r>
      <w:r>
        <w:rPr>
          <w:noProof/>
          <w:lang w:eastAsia="bg-BG" w:bidi="bg-BG"/>
        </w:rPr>
        <w:t>ички разходи на Съюза, свързани с операциите по получаване и предоставяне на заем съгласно настоящото решение, се поемат от Тунис.</w:t>
      </w:r>
    </w:p>
    <w:p w:rsidR="005A6CB7" w:rsidRDefault="00C93832">
      <w:pPr>
        <w:pStyle w:val="ManualNumPar1"/>
        <w:rPr>
          <w:noProof/>
          <w:lang w:eastAsia="bg-BG" w:bidi="bg-BG"/>
        </w:rPr>
      </w:pPr>
      <w:r>
        <w:rPr>
          <w:noProof/>
          <w:lang w:eastAsia="bg-BG" w:bidi="bg-BG"/>
        </w:rPr>
        <w:t>5.</w:t>
      </w:r>
      <w:r>
        <w:rPr>
          <w:noProof/>
          <w:lang w:eastAsia="bg-BG" w:bidi="bg-BG"/>
        </w:rPr>
        <w:tab/>
        <w:t>Комисията информира Европейския парламент и Съвета за развитието на операциите, посочени в параграфи 2 и 3.</w:t>
      </w:r>
    </w:p>
    <w:p w:rsidR="005A6CB7" w:rsidRDefault="00C93832">
      <w:pPr>
        <w:pStyle w:val="Titrearticle"/>
        <w:rPr>
          <w:noProof/>
          <w:lang w:eastAsia="bg-BG" w:bidi="bg-BG"/>
        </w:rPr>
      </w:pPr>
      <w:r>
        <w:rPr>
          <w:noProof/>
          <w:lang w:eastAsia="bg-BG" w:bidi="bg-BG"/>
        </w:rPr>
        <w:t>Член 6</w:t>
      </w:r>
    </w:p>
    <w:p w:rsidR="005A6CB7" w:rsidRDefault="00C93832">
      <w:pPr>
        <w:pStyle w:val="ManualNumPar1"/>
        <w:rPr>
          <w:noProof/>
          <w:lang w:eastAsia="bg-BG" w:bidi="bg-BG"/>
        </w:rPr>
      </w:pPr>
      <w:r>
        <w:rPr>
          <w:noProof/>
          <w:lang w:eastAsia="bg-BG" w:bidi="bg-BG"/>
        </w:rPr>
        <w:t>1.</w:t>
      </w:r>
      <w:r>
        <w:rPr>
          <w:noProof/>
          <w:lang w:eastAsia="bg-BG" w:bidi="bg-BG"/>
        </w:rPr>
        <w:tab/>
        <w:t>Макр</w:t>
      </w:r>
      <w:r>
        <w:rPr>
          <w:noProof/>
          <w:lang w:eastAsia="bg-BG" w:bidi="bg-BG"/>
        </w:rPr>
        <w:t>офинансовата помощ от Съюза се предоставя в съответствие с Регламент (ЕС, Евратом) № 966/2012 на Европейския парламент и на Съвета</w:t>
      </w:r>
      <w:r>
        <w:rPr>
          <w:rStyle w:val="FootnoteReference"/>
          <w:noProof/>
        </w:rPr>
        <w:footnoteReference w:id="8"/>
      </w:r>
      <w:r>
        <w:rPr>
          <w:noProof/>
          <w:lang w:eastAsia="bg-BG" w:bidi="bg-BG"/>
        </w:rPr>
        <w:t xml:space="preserve"> и Делегиран регламент (ЕС) № 1268/2012 на Комисията</w:t>
      </w:r>
      <w:r>
        <w:rPr>
          <w:rStyle w:val="FootnoteReference"/>
          <w:noProof/>
        </w:rPr>
        <w:footnoteReference w:id="9"/>
      </w:r>
      <w:r>
        <w:rPr>
          <w:noProof/>
          <w:lang w:eastAsia="bg-BG" w:bidi="bg-BG"/>
        </w:rPr>
        <w:t>.</w:t>
      </w:r>
    </w:p>
    <w:p w:rsidR="005A6CB7" w:rsidRDefault="00C93832">
      <w:pPr>
        <w:ind w:left="850" w:hanging="850"/>
        <w:rPr>
          <w:noProof/>
          <w:lang w:eastAsia="bg-BG" w:bidi="bg-BG"/>
        </w:rPr>
      </w:pPr>
      <w:r>
        <w:rPr>
          <w:noProof/>
          <w:lang w:eastAsia="bg-BG" w:bidi="bg-BG"/>
        </w:rPr>
        <w:t>2.</w:t>
      </w:r>
      <w:r>
        <w:rPr>
          <w:noProof/>
          <w:lang w:eastAsia="bg-BG" w:bidi="bg-BG"/>
        </w:rPr>
        <w:tab/>
        <w:t>Усвояването на макрофинансовата помощ от Съюза се извършва чрез пря</w:t>
      </w:r>
      <w:r>
        <w:rPr>
          <w:noProof/>
          <w:lang w:eastAsia="bg-BG" w:bidi="bg-BG"/>
        </w:rPr>
        <w:t xml:space="preserve">ко управление. </w:t>
      </w:r>
    </w:p>
    <w:p w:rsidR="005A6CB7" w:rsidRDefault="00C93832">
      <w:pPr>
        <w:ind w:left="850" w:hanging="850"/>
        <w:rPr>
          <w:noProof/>
          <w:lang w:eastAsia="bg-BG" w:bidi="bg-BG"/>
        </w:rPr>
      </w:pPr>
      <w:r>
        <w:rPr>
          <w:noProof/>
          <w:lang w:eastAsia="bg-BG" w:bidi="bg-BG"/>
        </w:rPr>
        <w:t>3.</w:t>
      </w:r>
      <w:r>
        <w:rPr>
          <w:noProof/>
          <w:lang w:eastAsia="bg-BG" w:bidi="bg-BG"/>
        </w:rPr>
        <w:tab/>
        <w:t xml:space="preserve">Споразумението за заем, което ще бъде договорено с тунизийските органи, съдържа разпоредби, с които: </w:t>
      </w:r>
    </w:p>
    <w:p w:rsidR="005A6CB7" w:rsidRDefault="00C93832">
      <w:pPr>
        <w:pStyle w:val="Point1"/>
        <w:rPr>
          <w:noProof/>
          <w:lang w:eastAsia="bg-BG" w:bidi="bg-BG"/>
        </w:rPr>
      </w:pPr>
      <w:r>
        <w:rPr>
          <w:noProof/>
        </w:rPr>
        <w:t>а)</w:t>
      </w:r>
      <w:r>
        <w:rPr>
          <w:noProof/>
        </w:rPr>
        <w:tab/>
      </w:r>
      <w:r>
        <w:rPr>
          <w:noProof/>
          <w:lang w:eastAsia="bg-BG" w:bidi="bg-BG"/>
        </w:rPr>
        <w:t>се гарантира, че Тунис извършва редовни проверки за правилното използване на финансирането от бюджета на Съюза, предприема съответни</w:t>
      </w:r>
      <w:r>
        <w:rPr>
          <w:noProof/>
          <w:lang w:eastAsia="bg-BG" w:bidi="bg-BG"/>
        </w:rPr>
        <w:t>те мерки за предотвратяване на нередности и измами и ако е необходимо, предприема правни действия за възстановяването на средствата, предоставени съгласно настоящото решение, които са били незаконно присвоени;</w:t>
      </w:r>
    </w:p>
    <w:p w:rsidR="005A6CB7" w:rsidRDefault="00C93832">
      <w:pPr>
        <w:pStyle w:val="Point1"/>
        <w:rPr>
          <w:noProof/>
          <w:lang w:eastAsia="bg-BG" w:bidi="bg-BG"/>
        </w:rPr>
      </w:pPr>
      <w:r>
        <w:rPr>
          <w:noProof/>
        </w:rPr>
        <w:t>б)</w:t>
      </w:r>
      <w:r>
        <w:rPr>
          <w:noProof/>
        </w:rPr>
        <w:tab/>
      </w:r>
      <w:r>
        <w:rPr>
          <w:noProof/>
          <w:lang w:eastAsia="bg-BG" w:bidi="bg-BG"/>
        </w:rPr>
        <w:t xml:space="preserve">се осигурява защитата на финансовите </w:t>
      </w:r>
      <w:r>
        <w:rPr>
          <w:noProof/>
          <w:lang w:eastAsia="bg-BG" w:bidi="bg-BG"/>
        </w:rPr>
        <w:t>интереси на Съюза, по-конкретно като се предвиждат конкретни мерки във връзка с предотвратяването и борбата с измамите, корупцията и всички други нередности, засягащи макрофинансовата помощ от Съюза, в съответствие с Регламент (ЕО, Евратом) № 2988/95 на Съ</w:t>
      </w:r>
      <w:r>
        <w:rPr>
          <w:noProof/>
          <w:lang w:eastAsia="bg-BG" w:bidi="bg-BG"/>
        </w:rPr>
        <w:t>вета</w:t>
      </w:r>
      <w:r>
        <w:rPr>
          <w:rStyle w:val="FootnoteReference"/>
          <w:noProof/>
        </w:rPr>
        <w:footnoteReference w:id="10"/>
      </w:r>
      <w:r>
        <w:rPr>
          <w:noProof/>
          <w:lang w:eastAsia="bg-BG" w:bidi="bg-BG"/>
        </w:rPr>
        <w:t>, Регламент (Евратом, ЕО) № 2185/96 на Съвета</w:t>
      </w:r>
      <w:r>
        <w:rPr>
          <w:rStyle w:val="FootnoteReference"/>
          <w:noProof/>
        </w:rPr>
        <w:footnoteReference w:id="11"/>
      </w:r>
      <w:r>
        <w:rPr>
          <w:noProof/>
          <w:lang w:eastAsia="bg-BG" w:bidi="bg-BG"/>
        </w:rPr>
        <w:t xml:space="preserve"> и Регламент (ЕС, Евратом) № 883/2013 на Европейския парламент и на Съвета</w:t>
      </w:r>
      <w:r>
        <w:rPr>
          <w:rStyle w:val="FootnoteReference"/>
          <w:noProof/>
        </w:rPr>
        <w:footnoteReference w:id="12"/>
      </w:r>
      <w:r>
        <w:rPr>
          <w:noProof/>
          <w:lang w:eastAsia="bg-BG" w:bidi="bg-BG"/>
        </w:rPr>
        <w:t xml:space="preserve">; </w:t>
      </w:r>
    </w:p>
    <w:p w:rsidR="005A6CB7" w:rsidRDefault="00C93832">
      <w:pPr>
        <w:pStyle w:val="Point1"/>
        <w:rPr>
          <w:noProof/>
          <w:lang w:eastAsia="bg-BG" w:bidi="bg-BG"/>
        </w:rPr>
      </w:pPr>
      <w:r>
        <w:rPr>
          <w:noProof/>
        </w:rPr>
        <w:t>в)</w:t>
      </w:r>
      <w:r>
        <w:rPr>
          <w:noProof/>
        </w:rPr>
        <w:tab/>
      </w:r>
      <w:r>
        <w:rPr>
          <w:noProof/>
          <w:lang w:eastAsia="bg-BG" w:bidi="bg-BG"/>
        </w:rPr>
        <w:t>Комисията, включително Европейската служба за борба с измамите или нейните представители, се упълномощава изрично да провежд</w:t>
      </w:r>
      <w:r>
        <w:rPr>
          <w:noProof/>
          <w:lang w:eastAsia="bg-BG" w:bidi="bg-BG"/>
        </w:rPr>
        <w:t xml:space="preserve">а проверки, включително проверки на място; </w:t>
      </w:r>
    </w:p>
    <w:p w:rsidR="005A6CB7" w:rsidRDefault="00C93832">
      <w:pPr>
        <w:pStyle w:val="Point1"/>
        <w:rPr>
          <w:noProof/>
          <w:lang w:eastAsia="bg-BG" w:bidi="bg-BG"/>
        </w:rPr>
      </w:pPr>
      <w:r>
        <w:rPr>
          <w:noProof/>
        </w:rPr>
        <w:t>г)</w:t>
      </w:r>
      <w:r>
        <w:rPr>
          <w:noProof/>
        </w:rPr>
        <w:tab/>
      </w:r>
      <w:r>
        <w:rPr>
          <w:noProof/>
          <w:lang w:eastAsia="bg-BG" w:bidi="bg-BG"/>
        </w:rPr>
        <w:t xml:space="preserve">Комисията и Сметната палата се упълномощават изрично да извършват одити в периода на предоставяне на макрофинансовата помощ от Съюза и след него, включително одити на документи и одити на място, като например </w:t>
      </w:r>
      <w:r>
        <w:rPr>
          <w:noProof/>
          <w:lang w:eastAsia="bg-BG" w:bidi="bg-BG"/>
        </w:rPr>
        <w:t>оперативни оценки;</w:t>
      </w:r>
    </w:p>
    <w:p w:rsidR="005A6CB7" w:rsidRDefault="00C93832">
      <w:pPr>
        <w:pStyle w:val="Point1"/>
        <w:rPr>
          <w:noProof/>
          <w:lang w:eastAsia="bg-BG" w:bidi="bg-BG"/>
        </w:rPr>
      </w:pPr>
      <w:r>
        <w:rPr>
          <w:noProof/>
        </w:rPr>
        <w:t>д)</w:t>
      </w:r>
      <w:r>
        <w:rPr>
          <w:noProof/>
        </w:rPr>
        <w:tab/>
      </w:r>
      <w:r>
        <w:rPr>
          <w:noProof/>
          <w:lang w:eastAsia="bg-BG" w:bidi="bg-BG"/>
        </w:rPr>
        <w:t xml:space="preserve">се гарантира, че Съюзът има право на предсрочно погасяване на заема, когато е установено, че във връзка с управлението на макрофинансовата помощ от Съюза Тунис е участвал в измама или корупция или друга незаконна дейност, която вреди </w:t>
      </w:r>
      <w:r>
        <w:rPr>
          <w:noProof/>
          <w:lang w:eastAsia="bg-BG" w:bidi="bg-BG"/>
        </w:rPr>
        <w:t>на финансовите интереси на Съюза.</w:t>
      </w:r>
    </w:p>
    <w:p w:rsidR="005A6CB7" w:rsidRDefault="00C93832">
      <w:pPr>
        <w:ind w:left="850" w:hanging="850"/>
        <w:rPr>
          <w:noProof/>
          <w:lang w:eastAsia="bg-BG" w:bidi="bg-BG"/>
        </w:rPr>
      </w:pPr>
      <w:r>
        <w:rPr>
          <w:noProof/>
          <w:lang w:eastAsia="bg-BG" w:bidi="bg-BG"/>
        </w:rPr>
        <w:t>4.</w:t>
      </w:r>
      <w:r>
        <w:rPr>
          <w:noProof/>
          <w:lang w:eastAsia="bg-BG" w:bidi="bg-BG"/>
        </w:rPr>
        <w:tab/>
        <w:t>Преди изпълнението на макрофинансовата помощ от Съюза Комисията преценява в рамките на оперативна оценка надеждността на финансовата уредба на Тунис, административните процедури и механизмите за вътрешен и външен контро</w:t>
      </w:r>
      <w:r>
        <w:rPr>
          <w:noProof/>
          <w:lang w:eastAsia="bg-BG" w:bidi="bg-BG"/>
        </w:rPr>
        <w:t>л, които са от значение за помощта.</w:t>
      </w:r>
    </w:p>
    <w:p w:rsidR="005A6CB7" w:rsidRDefault="00C93832">
      <w:pPr>
        <w:pStyle w:val="Titrearticle"/>
        <w:rPr>
          <w:noProof/>
          <w:lang w:eastAsia="bg-BG" w:bidi="bg-BG"/>
        </w:rPr>
      </w:pPr>
      <w:r>
        <w:rPr>
          <w:noProof/>
          <w:lang w:eastAsia="bg-BG" w:bidi="bg-BG"/>
        </w:rPr>
        <w:t>Член 7</w:t>
      </w:r>
    </w:p>
    <w:p w:rsidR="005A6CB7" w:rsidRDefault="00C93832">
      <w:pPr>
        <w:pStyle w:val="ManualNumPar1"/>
        <w:rPr>
          <w:noProof/>
          <w:lang w:eastAsia="bg-BG" w:bidi="bg-BG"/>
        </w:rPr>
      </w:pPr>
      <w:r>
        <w:rPr>
          <w:noProof/>
          <w:lang w:eastAsia="bg-BG" w:bidi="bg-BG"/>
        </w:rPr>
        <w:t>1.</w:t>
      </w:r>
      <w:r>
        <w:rPr>
          <w:noProof/>
          <w:lang w:eastAsia="bg-BG" w:bidi="bg-BG"/>
        </w:rPr>
        <w:tab/>
        <w:t>Комисията се подпомага от комитет. Този комитет е комитет по смисъла на Регламент (ЕС) № 182/2011.</w:t>
      </w:r>
    </w:p>
    <w:p w:rsidR="005A6CB7" w:rsidRDefault="00C93832">
      <w:pPr>
        <w:pStyle w:val="ManualNumPar1"/>
        <w:rPr>
          <w:noProof/>
          <w:lang w:eastAsia="bg-BG" w:bidi="bg-BG"/>
        </w:rPr>
      </w:pPr>
      <w:r>
        <w:rPr>
          <w:noProof/>
          <w:lang w:eastAsia="bg-BG" w:bidi="bg-BG"/>
        </w:rPr>
        <w:t>2.</w:t>
      </w:r>
      <w:r>
        <w:rPr>
          <w:noProof/>
          <w:lang w:eastAsia="bg-BG" w:bidi="bg-BG"/>
        </w:rPr>
        <w:tab/>
        <w:t>При позоваване на настоящия параграф се прилага член 5 от Регламент (ЕС) № 182/2011.</w:t>
      </w:r>
    </w:p>
    <w:p w:rsidR="005A6CB7" w:rsidRDefault="00C93832">
      <w:pPr>
        <w:pStyle w:val="Titrearticle"/>
        <w:rPr>
          <w:noProof/>
          <w:lang w:eastAsia="bg-BG" w:bidi="bg-BG"/>
        </w:rPr>
      </w:pPr>
      <w:r>
        <w:rPr>
          <w:noProof/>
          <w:lang w:eastAsia="bg-BG" w:bidi="bg-BG"/>
        </w:rPr>
        <w:t>Член 8</w:t>
      </w:r>
    </w:p>
    <w:p w:rsidR="005A6CB7" w:rsidRDefault="00C93832">
      <w:pPr>
        <w:pStyle w:val="ManualNumPar1"/>
        <w:rPr>
          <w:noProof/>
          <w:lang w:eastAsia="bg-BG" w:bidi="bg-BG"/>
        </w:rPr>
      </w:pPr>
      <w:r>
        <w:rPr>
          <w:noProof/>
          <w:lang w:eastAsia="bg-BG" w:bidi="bg-BG"/>
        </w:rPr>
        <w:t>1.</w:t>
      </w:r>
      <w:r>
        <w:rPr>
          <w:noProof/>
          <w:lang w:eastAsia="bg-BG" w:bidi="bg-BG"/>
        </w:rPr>
        <w:tab/>
        <w:t xml:space="preserve">До 30 юни </w:t>
      </w:r>
      <w:r>
        <w:rPr>
          <w:noProof/>
          <w:lang w:eastAsia="bg-BG" w:bidi="bg-BG"/>
        </w:rPr>
        <w:t>всяка година Комисията представя на Европейския парламент и на Съвета доклад относно изпълнението на настоящото решение през предходната година, включващ оценка на изпълнението. В този доклад:</w:t>
      </w:r>
    </w:p>
    <w:p w:rsidR="005A6CB7" w:rsidRDefault="00C93832">
      <w:pPr>
        <w:pStyle w:val="Point1"/>
        <w:rPr>
          <w:noProof/>
          <w:lang w:eastAsia="bg-BG" w:bidi="bg-BG"/>
        </w:rPr>
      </w:pPr>
      <w:r>
        <w:rPr>
          <w:noProof/>
        </w:rPr>
        <w:t>а)</w:t>
      </w:r>
      <w:r>
        <w:rPr>
          <w:noProof/>
        </w:rPr>
        <w:tab/>
      </w:r>
      <w:r>
        <w:rPr>
          <w:noProof/>
          <w:lang w:eastAsia="bg-BG" w:bidi="bg-BG"/>
        </w:rPr>
        <w:t>се разглежда напредъкът по отношение на изпълнението на макр</w:t>
      </w:r>
      <w:r>
        <w:rPr>
          <w:noProof/>
          <w:lang w:eastAsia="bg-BG" w:bidi="bg-BG"/>
        </w:rPr>
        <w:t>офинансовата помощ от Съюза;</w:t>
      </w:r>
    </w:p>
    <w:p w:rsidR="005A6CB7" w:rsidRDefault="00C93832">
      <w:pPr>
        <w:pStyle w:val="Point1"/>
        <w:rPr>
          <w:noProof/>
          <w:lang w:eastAsia="bg-BG" w:bidi="bg-BG"/>
        </w:rPr>
      </w:pPr>
      <w:r>
        <w:rPr>
          <w:noProof/>
        </w:rPr>
        <w:t>б)</w:t>
      </w:r>
      <w:r>
        <w:rPr>
          <w:noProof/>
        </w:rPr>
        <w:tab/>
      </w:r>
      <w:r>
        <w:rPr>
          <w:noProof/>
          <w:lang w:eastAsia="bg-BG" w:bidi="bg-BG"/>
        </w:rPr>
        <w:t>се прави оценка на икономическото състояние и икономически перспективи на Тунис, както и на напредъка при изпълнението на мерките на политиката, посочени в член 3, параграф 1;</w:t>
      </w:r>
    </w:p>
    <w:p w:rsidR="005A6CB7" w:rsidRDefault="00C93832">
      <w:pPr>
        <w:pStyle w:val="Point1"/>
        <w:rPr>
          <w:noProof/>
          <w:lang w:eastAsia="bg-BG" w:bidi="bg-BG"/>
        </w:rPr>
      </w:pPr>
      <w:r>
        <w:rPr>
          <w:noProof/>
        </w:rPr>
        <w:t>в)</w:t>
      </w:r>
      <w:r>
        <w:rPr>
          <w:noProof/>
        </w:rPr>
        <w:tab/>
      </w:r>
      <w:r>
        <w:rPr>
          <w:noProof/>
          <w:lang w:eastAsia="bg-BG" w:bidi="bg-BG"/>
        </w:rPr>
        <w:t>се посочва връзката между условията на иконом</w:t>
      </w:r>
      <w:r>
        <w:rPr>
          <w:noProof/>
          <w:lang w:eastAsia="bg-BG" w:bidi="bg-BG"/>
        </w:rPr>
        <w:t>ическата политика, определени в Меморандума за разбирателство, текущите икономически и бюджетни показатели на Тунис и решенията на Комисията за изплащане на траншовете по макрофинансовата помощ от Съюза.</w:t>
      </w:r>
    </w:p>
    <w:p w:rsidR="005A6CB7" w:rsidRDefault="00C93832">
      <w:pPr>
        <w:pStyle w:val="ManualNumPar1"/>
        <w:rPr>
          <w:noProof/>
          <w:lang w:eastAsia="bg-BG" w:bidi="bg-BG"/>
        </w:rPr>
      </w:pPr>
      <w:r>
        <w:rPr>
          <w:noProof/>
          <w:lang w:eastAsia="bg-BG" w:bidi="bg-BG"/>
        </w:rPr>
        <w:t>2.</w:t>
      </w:r>
      <w:r>
        <w:rPr>
          <w:noProof/>
          <w:lang w:eastAsia="bg-BG" w:bidi="bg-BG"/>
        </w:rPr>
        <w:tab/>
        <w:t>Не по-късно от две години след изтичането на срок</w:t>
      </w:r>
      <w:r>
        <w:rPr>
          <w:noProof/>
          <w:lang w:eastAsia="bg-BG" w:bidi="bg-BG"/>
        </w:rPr>
        <w:t>а за предоставяне на помощта, посочен в член 1, параграф 4, Комисията представя пред Европейския парламент и на Съвета доклад за последваща оценка на резултатите и ефикасността на предоставената макрофинансова помощ от Съюза и на степента, до която тя е до</w:t>
      </w:r>
      <w:r>
        <w:rPr>
          <w:noProof/>
          <w:lang w:eastAsia="bg-BG" w:bidi="bg-BG"/>
        </w:rPr>
        <w:t>принесла за постигане на целите на помощта.</w:t>
      </w:r>
    </w:p>
    <w:p w:rsidR="005A6CB7" w:rsidRDefault="00C93832">
      <w:pPr>
        <w:pStyle w:val="Titrearticle"/>
        <w:rPr>
          <w:noProof/>
          <w:lang w:eastAsia="bg-BG" w:bidi="bg-BG"/>
        </w:rPr>
      </w:pPr>
      <w:r>
        <w:rPr>
          <w:noProof/>
          <w:lang w:eastAsia="bg-BG" w:bidi="bg-BG"/>
        </w:rPr>
        <w:br w:type="page"/>
      </w:r>
      <w:bookmarkStart w:id="0" w:name="_GoBack"/>
      <w:bookmarkEnd w:id="0"/>
      <w:r>
        <w:rPr>
          <w:noProof/>
          <w:lang w:eastAsia="bg-BG" w:bidi="bg-BG"/>
        </w:rPr>
        <w:t>Член 9</w:t>
      </w:r>
    </w:p>
    <w:p w:rsidR="005A6CB7" w:rsidRDefault="00C93832">
      <w:pPr>
        <w:rPr>
          <w:noProof/>
          <w:lang w:eastAsia="bg-BG" w:bidi="bg-BG"/>
        </w:rPr>
      </w:pPr>
      <w:r>
        <w:rPr>
          <w:noProof/>
          <w:lang w:eastAsia="bg-BG" w:bidi="bg-BG"/>
        </w:rPr>
        <w:t xml:space="preserve">Настоящото решение влиза в сила на третия ден след деня на публикуването му в </w:t>
      </w:r>
      <w:r>
        <w:rPr>
          <w:i/>
          <w:noProof/>
          <w:lang w:eastAsia="bg-BG" w:bidi="bg-BG"/>
        </w:rPr>
        <w:t>Официален вестник на Европейския съюз.</w:t>
      </w:r>
    </w:p>
    <w:p w:rsidR="005A6CB7" w:rsidRDefault="00C93832">
      <w:pPr>
        <w:pStyle w:val="Fait"/>
        <w:rPr>
          <w:noProof/>
          <w:lang w:eastAsia="bg-BG" w:bidi="bg-BG"/>
        </w:rPr>
      </w:pPr>
      <w:r>
        <w:rPr>
          <w:noProof/>
        </w:rPr>
        <w:t>Съставено в Брюксел на  година.</w:t>
      </w:r>
    </w:p>
    <w:p w:rsidR="005A6CB7" w:rsidRDefault="00C93832">
      <w:pPr>
        <w:pStyle w:val="Institutionquisigne"/>
        <w:rPr>
          <w:noProof/>
          <w:lang w:eastAsia="bg-BG" w:bidi="bg-BG"/>
        </w:rPr>
      </w:pPr>
      <w:r>
        <w:rPr>
          <w:noProof/>
          <w:lang w:eastAsia="bg-BG" w:bidi="bg-BG"/>
        </w:rPr>
        <w:t>За Европейския парламент</w:t>
      </w:r>
      <w:r>
        <w:rPr>
          <w:noProof/>
          <w:lang w:eastAsia="bg-BG" w:bidi="bg-BG"/>
        </w:rPr>
        <w:tab/>
      </w:r>
      <w:r>
        <w:rPr>
          <w:noProof/>
          <w:lang w:eastAsia="bg-BG" w:bidi="bg-BG"/>
        </w:rPr>
        <w:tab/>
      </w:r>
      <w:r>
        <w:rPr>
          <w:noProof/>
          <w:lang w:eastAsia="bg-BG" w:bidi="bg-BG"/>
        </w:rPr>
        <w:tab/>
      </w:r>
      <w:r>
        <w:rPr>
          <w:noProof/>
          <w:lang w:eastAsia="bg-BG" w:bidi="bg-BG"/>
        </w:rPr>
        <w:tab/>
        <w:t>За Съвета</w:t>
      </w:r>
    </w:p>
    <w:p w:rsidR="005A6CB7" w:rsidRDefault="00C93832">
      <w:pPr>
        <w:pStyle w:val="Personnequisigne"/>
        <w:rPr>
          <w:noProof/>
          <w:lang w:eastAsia="bg-BG" w:bidi="bg-BG"/>
        </w:rPr>
      </w:pPr>
      <w:r>
        <w:rPr>
          <w:noProof/>
          <w:lang w:eastAsia="bg-BG" w:bidi="bg-BG"/>
        </w:rPr>
        <w:t>Председател</w:t>
      </w:r>
      <w:r>
        <w:rPr>
          <w:noProof/>
          <w:lang w:eastAsia="bg-BG" w:bidi="bg-BG"/>
        </w:rPr>
        <w:tab/>
      </w:r>
      <w:r>
        <w:rPr>
          <w:noProof/>
          <w:lang w:eastAsia="bg-BG" w:bidi="bg-BG"/>
        </w:rPr>
        <w:tab/>
      </w:r>
      <w:r>
        <w:rPr>
          <w:noProof/>
          <w:lang w:eastAsia="bg-BG" w:bidi="bg-BG"/>
        </w:rPr>
        <w:tab/>
      </w:r>
      <w:r>
        <w:rPr>
          <w:noProof/>
          <w:lang w:eastAsia="bg-BG" w:bidi="bg-BG"/>
        </w:rPr>
        <w:tab/>
        <w:t>Пре</w:t>
      </w:r>
      <w:r>
        <w:rPr>
          <w:noProof/>
          <w:lang w:eastAsia="bg-BG" w:bidi="bg-BG"/>
        </w:rPr>
        <w:t>дседател</w:t>
      </w:r>
    </w:p>
    <w:p w:rsidR="005A6CB7" w:rsidRDefault="005A6CB7">
      <w:pPr>
        <w:pStyle w:val="Personnequisigne"/>
        <w:rPr>
          <w:noProof/>
          <w:lang w:eastAsia="bg-BG" w:bidi="bg-BG"/>
        </w:rPr>
        <w:sectPr w:rsidR="005A6CB7">
          <w:pgSz w:w="11907" w:h="16840" w:code="9"/>
          <w:pgMar w:top="1134" w:right="1418" w:bottom="1134" w:left="1418" w:header="709" w:footer="709" w:gutter="0"/>
          <w:cols w:space="708"/>
          <w:docGrid w:linePitch="360"/>
        </w:sectPr>
      </w:pPr>
    </w:p>
    <w:p w:rsidR="005A6CB7" w:rsidRDefault="00C93832">
      <w:pPr>
        <w:pStyle w:val="Fichefinanciretitre"/>
        <w:rPr>
          <w:noProof/>
          <w:lang w:eastAsia="bg-BG" w:bidi="bg-BG"/>
        </w:rPr>
      </w:pPr>
      <w:r>
        <w:rPr>
          <w:noProof/>
          <w:lang w:eastAsia="bg-BG" w:bidi="bg-BG"/>
        </w:rPr>
        <w:t>ЗАКОНОДАТЕЛНА ФИНАНСОВА ОБОСНОВКА</w:t>
      </w:r>
    </w:p>
    <w:p w:rsidR="005A6CB7" w:rsidRDefault="00C93832">
      <w:pPr>
        <w:pStyle w:val="ManualHeading1"/>
        <w:rPr>
          <w:noProof/>
          <w:lang w:eastAsia="bg-BG" w:bidi="bg-BG"/>
        </w:rPr>
      </w:pPr>
      <w:r>
        <w:rPr>
          <w:noProof/>
          <w:lang w:eastAsia="bg-BG" w:bidi="bg-BG"/>
        </w:rPr>
        <w:t>1.</w:t>
      </w:r>
      <w:r>
        <w:rPr>
          <w:noProof/>
          <w:lang w:eastAsia="bg-BG" w:bidi="bg-BG"/>
        </w:rPr>
        <w:tab/>
        <w:t xml:space="preserve">РАМКА НА ПРЕДЛОЖЕНИЕТО/ИНИЦИАТИВАТА </w:t>
      </w:r>
    </w:p>
    <w:p w:rsidR="005A6CB7" w:rsidRDefault="00C93832">
      <w:pPr>
        <w:pStyle w:val="ManualHeading2"/>
        <w:rPr>
          <w:b w:val="0"/>
          <w:noProof/>
          <w:lang w:eastAsia="bg-BG" w:bidi="bg-BG"/>
        </w:rPr>
      </w:pPr>
      <w:r>
        <w:rPr>
          <w:b w:val="0"/>
          <w:noProof/>
          <w:lang w:eastAsia="bg-BG" w:bidi="bg-BG"/>
        </w:rPr>
        <w:tab/>
        <w:t>1.1.</w:t>
      </w:r>
      <w:r>
        <w:rPr>
          <w:b w:val="0"/>
          <w:noProof/>
          <w:lang w:eastAsia="bg-BG" w:bidi="bg-BG"/>
        </w:rPr>
        <w:tab/>
        <w:t xml:space="preserve">Наименование на предложението/инициативата </w:t>
      </w:r>
    </w:p>
    <w:p w:rsidR="005A6CB7" w:rsidRDefault="00C93832">
      <w:pPr>
        <w:pStyle w:val="ManualHeading2"/>
        <w:rPr>
          <w:b w:val="0"/>
          <w:noProof/>
          <w:lang w:eastAsia="bg-BG" w:bidi="bg-BG"/>
        </w:rPr>
      </w:pPr>
      <w:r>
        <w:rPr>
          <w:b w:val="0"/>
          <w:noProof/>
          <w:lang w:eastAsia="bg-BG" w:bidi="bg-BG"/>
        </w:rPr>
        <w:tab/>
        <w:t>1.2.</w:t>
      </w:r>
      <w:r>
        <w:rPr>
          <w:b w:val="0"/>
          <w:noProof/>
          <w:lang w:eastAsia="bg-BG" w:bidi="bg-BG"/>
        </w:rPr>
        <w:tab/>
        <w:t>Съответни области на политиката в структурата на УД/БД</w:t>
      </w:r>
    </w:p>
    <w:p w:rsidR="005A6CB7" w:rsidRDefault="00C93832">
      <w:pPr>
        <w:pStyle w:val="ManualHeading2"/>
        <w:rPr>
          <w:b w:val="0"/>
          <w:noProof/>
          <w:lang w:eastAsia="bg-BG" w:bidi="bg-BG"/>
        </w:rPr>
      </w:pPr>
      <w:r>
        <w:rPr>
          <w:b w:val="0"/>
          <w:noProof/>
          <w:lang w:eastAsia="bg-BG" w:bidi="bg-BG"/>
        </w:rPr>
        <w:tab/>
        <w:t>1.3.</w:t>
      </w:r>
      <w:r>
        <w:rPr>
          <w:b w:val="0"/>
          <w:noProof/>
          <w:lang w:eastAsia="bg-BG" w:bidi="bg-BG"/>
        </w:rPr>
        <w:tab/>
        <w:t>Естество на предложението/инициа</w:t>
      </w:r>
      <w:r>
        <w:rPr>
          <w:b w:val="0"/>
          <w:noProof/>
          <w:lang w:eastAsia="bg-BG" w:bidi="bg-BG"/>
        </w:rPr>
        <w:t xml:space="preserve">тивата </w:t>
      </w:r>
    </w:p>
    <w:p w:rsidR="005A6CB7" w:rsidRDefault="00C93832">
      <w:pPr>
        <w:pStyle w:val="ManualHeading2"/>
        <w:rPr>
          <w:b w:val="0"/>
          <w:noProof/>
          <w:lang w:eastAsia="bg-BG" w:bidi="bg-BG"/>
        </w:rPr>
      </w:pPr>
      <w:r>
        <w:rPr>
          <w:b w:val="0"/>
          <w:noProof/>
          <w:lang w:eastAsia="bg-BG" w:bidi="bg-BG"/>
        </w:rPr>
        <w:tab/>
        <w:t>1.4.</w:t>
      </w:r>
      <w:r>
        <w:rPr>
          <w:b w:val="0"/>
          <w:noProof/>
          <w:lang w:eastAsia="bg-BG" w:bidi="bg-BG"/>
        </w:rPr>
        <w:tab/>
        <w:t xml:space="preserve">Цели </w:t>
      </w:r>
    </w:p>
    <w:p w:rsidR="005A6CB7" w:rsidRDefault="00C93832">
      <w:pPr>
        <w:pStyle w:val="ManualHeading2"/>
        <w:rPr>
          <w:b w:val="0"/>
          <w:noProof/>
          <w:lang w:eastAsia="bg-BG" w:bidi="bg-BG"/>
        </w:rPr>
      </w:pPr>
      <w:r>
        <w:rPr>
          <w:b w:val="0"/>
          <w:noProof/>
          <w:lang w:eastAsia="bg-BG" w:bidi="bg-BG"/>
        </w:rPr>
        <w:tab/>
        <w:t>1.5.</w:t>
      </w:r>
      <w:r>
        <w:rPr>
          <w:b w:val="0"/>
          <w:noProof/>
          <w:lang w:eastAsia="bg-BG" w:bidi="bg-BG"/>
        </w:rPr>
        <w:tab/>
        <w:t xml:space="preserve">Мотиви за предложението/инициативата </w:t>
      </w:r>
    </w:p>
    <w:p w:rsidR="005A6CB7" w:rsidRDefault="00C93832">
      <w:pPr>
        <w:pStyle w:val="ManualHeading2"/>
        <w:rPr>
          <w:b w:val="0"/>
          <w:noProof/>
          <w:lang w:eastAsia="bg-BG" w:bidi="bg-BG"/>
        </w:rPr>
      </w:pPr>
      <w:r>
        <w:rPr>
          <w:b w:val="0"/>
          <w:noProof/>
          <w:lang w:eastAsia="bg-BG" w:bidi="bg-BG"/>
        </w:rPr>
        <w:tab/>
        <w:t>1.6.</w:t>
      </w:r>
      <w:r>
        <w:rPr>
          <w:b w:val="0"/>
          <w:noProof/>
          <w:lang w:eastAsia="bg-BG" w:bidi="bg-BG"/>
        </w:rPr>
        <w:tab/>
        <w:t xml:space="preserve">Срок на действие и финансово отражение </w:t>
      </w:r>
    </w:p>
    <w:p w:rsidR="005A6CB7" w:rsidRDefault="00C93832">
      <w:pPr>
        <w:pStyle w:val="ManualHeading2"/>
        <w:rPr>
          <w:b w:val="0"/>
          <w:noProof/>
          <w:lang w:eastAsia="bg-BG" w:bidi="bg-BG"/>
        </w:rPr>
      </w:pPr>
      <w:r>
        <w:rPr>
          <w:b w:val="0"/>
          <w:noProof/>
          <w:lang w:eastAsia="bg-BG" w:bidi="bg-BG"/>
        </w:rPr>
        <w:tab/>
        <w:t>1.7.</w:t>
      </w:r>
      <w:r>
        <w:rPr>
          <w:b w:val="0"/>
          <w:noProof/>
          <w:lang w:eastAsia="bg-BG" w:bidi="bg-BG"/>
        </w:rPr>
        <w:tab/>
        <w:t xml:space="preserve">Предвидени методи на управление </w:t>
      </w:r>
    </w:p>
    <w:p w:rsidR="005A6CB7" w:rsidRDefault="00C93832">
      <w:pPr>
        <w:pStyle w:val="ManualHeading1"/>
        <w:rPr>
          <w:noProof/>
          <w:lang w:eastAsia="bg-BG" w:bidi="bg-BG"/>
        </w:rPr>
      </w:pPr>
      <w:r>
        <w:rPr>
          <w:noProof/>
          <w:lang w:eastAsia="bg-BG" w:bidi="bg-BG"/>
        </w:rPr>
        <w:t>2.</w:t>
      </w:r>
      <w:r>
        <w:rPr>
          <w:noProof/>
          <w:lang w:eastAsia="bg-BG" w:bidi="bg-BG"/>
        </w:rPr>
        <w:tab/>
        <w:t>МЕРКИ ЗА УПРАВЛЕНИЕ</w:t>
      </w:r>
    </w:p>
    <w:p w:rsidR="005A6CB7" w:rsidRDefault="00C93832">
      <w:pPr>
        <w:pStyle w:val="ManualHeading2"/>
        <w:rPr>
          <w:b w:val="0"/>
          <w:noProof/>
          <w:lang w:eastAsia="bg-BG" w:bidi="bg-BG"/>
        </w:rPr>
      </w:pPr>
      <w:r>
        <w:rPr>
          <w:b w:val="0"/>
          <w:noProof/>
          <w:lang w:eastAsia="bg-BG" w:bidi="bg-BG"/>
        </w:rPr>
        <w:tab/>
        <w:t>2.1.</w:t>
      </w:r>
      <w:r>
        <w:rPr>
          <w:b w:val="0"/>
          <w:noProof/>
          <w:lang w:eastAsia="bg-BG" w:bidi="bg-BG"/>
        </w:rPr>
        <w:tab/>
        <w:t xml:space="preserve">Правила за мониторинг и докладване </w:t>
      </w:r>
    </w:p>
    <w:p w:rsidR="005A6CB7" w:rsidRDefault="00C93832">
      <w:pPr>
        <w:pStyle w:val="ManualHeading2"/>
        <w:rPr>
          <w:b w:val="0"/>
          <w:noProof/>
          <w:lang w:eastAsia="bg-BG" w:bidi="bg-BG"/>
        </w:rPr>
      </w:pPr>
      <w:r>
        <w:rPr>
          <w:b w:val="0"/>
          <w:noProof/>
          <w:lang w:eastAsia="bg-BG" w:bidi="bg-BG"/>
        </w:rPr>
        <w:tab/>
        <w:t>2.2.</w:t>
      </w:r>
      <w:r>
        <w:rPr>
          <w:b w:val="0"/>
          <w:noProof/>
          <w:lang w:eastAsia="bg-BG" w:bidi="bg-BG"/>
        </w:rPr>
        <w:tab/>
        <w:t xml:space="preserve">Система за управление и контрол </w:t>
      </w:r>
    </w:p>
    <w:p w:rsidR="005A6CB7" w:rsidRDefault="00C93832">
      <w:pPr>
        <w:pStyle w:val="ManualHeading2"/>
        <w:rPr>
          <w:b w:val="0"/>
          <w:noProof/>
          <w:lang w:eastAsia="bg-BG" w:bidi="bg-BG"/>
        </w:rPr>
      </w:pPr>
      <w:r>
        <w:rPr>
          <w:b w:val="0"/>
          <w:noProof/>
          <w:lang w:eastAsia="bg-BG" w:bidi="bg-BG"/>
        </w:rPr>
        <w:tab/>
      </w:r>
      <w:r>
        <w:rPr>
          <w:b w:val="0"/>
          <w:noProof/>
          <w:lang w:eastAsia="bg-BG" w:bidi="bg-BG"/>
        </w:rPr>
        <w:t>2.3.</w:t>
      </w:r>
      <w:r>
        <w:rPr>
          <w:b w:val="0"/>
          <w:noProof/>
          <w:lang w:eastAsia="bg-BG" w:bidi="bg-BG"/>
        </w:rPr>
        <w:tab/>
        <w:t xml:space="preserve">Мерки за предотвратяване на измами и нередности </w:t>
      </w:r>
    </w:p>
    <w:p w:rsidR="005A6CB7" w:rsidRDefault="00C93832">
      <w:pPr>
        <w:pStyle w:val="ManualHeading1"/>
        <w:rPr>
          <w:noProof/>
          <w:lang w:eastAsia="bg-BG" w:bidi="bg-BG"/>
        </w:rPr>
      </w:pPr>
      <w:r>
        <w:rPr>
          <w:noProof/>
          <w:lang w:eastAsia="bg-BG" w:bidi="bg-BG"/>
        </w:rPr>
        <w:t>3.</w:t>
      </w:r>
      <w:r>
        <w:rPr>
          <w:noProof/>
          <w:lang w:eastAsia="bg-BG" w:bidi="bg-BG"/>
        </w:rPr>
        <w:tab/>
        <w:t xml:space="preserve">ОЧАКВАНО ФИНАНСОВО ОТРАЖЕНИЕ НА ПРЕДЛОЖЕНИЕТО/ИНИЦИАТИВАТА </w:t>
      </w:r>
    </w:p>
    <w:p w:rsidR="005A6CB7" w:rsidRDefault="00C93832">
      <w:pPr>
        <w:pStyle w:val="ManualHeading2"/>
        <w:rPr>
          <w:b w:val="0"/>
          <w:noProof/>
          <w:lang w:eastAsia="bg-BG" w:bidi="bg-BG"/>
        </w:rPr>
      </w:pPr>
      <w:r>
        <w:rPr>
          <w:b w:val="0"/>
          <w:noProof/>
          <w:lang w:eastAsia="bg-BG" w:bidi="bg-BG"/>
        </w:rPr>
        <w:tab/>
        <w:t>3.1.</w:t>
      </w:r>
      <w:r>
        <w:rPr>
          <w:b w:val="0"/>
          <w:noProof/>
          <w:lang w:eastAsia="bg-BG" w:bidi="bg-BG"/>
        </w:rPr>
        <w:tab/>
        <w:t xml:space="preserve">Съответни функции от многогодишната финансова рамка и разходни бюджетни редове </w:t>
      </w:r>
    </w:p>
    <w:p w:rsidR="005A6CB7" w:rsidRDefault="00C93832">
      <w:pPr>
        <w:pStyle w:val="ManualHeading2"/>
        <w:rPr>
          <w:b w:val="0"/>
          <w:noProof/>
          <w:lang w:eastAsia="bg-BG" w:bidi="bg-BG"/>
        </w:rPr>
      </w:pPr>
      <w:r>
        <w:rPr>
          <w:b w:val="0"/>
          <w:noProof/>
          <w:lang w:eastAsia="bg-BG" w:bidi="bg-BG"/>
        </w:rPr>
        <w:tab/>
        <w:t>3.2.</w:t>
      </w:r>
      <w:r>
        <w:rPr>
          <w:b w:val="0"/>
          <w:noProof/>
          <w:lang w:eastAsia="bg-BG" w:bidi="bg-BG"/>
        </w:rPr>
        <w:tab/>
        <w:t xml:space="preserve">Очаквано отражение върху разходите </w:t>
      </w:r>
    </w:p>
    <w:p w:rsidR="005A6CB7" w:rsidRDefault="00C93832">
      <w:pPr>
        <w:pStyle w:val="ManualHeading2"/>
        <w:rPr>
          <w:b w:val="0"/>
          <w:noProof/>
          <w:lang w:eastAsia="bg-BG" w:bidi="bg-BG"/>
        </w:rPr>
        <w:sectPr w:rsidR="005A6CB7">
          <w:pgSz w:w="11907" w:h="16840" w:code="9"/>
          <w:pgMar w:top="1134" w:right="1418" w:bottom="1134" w:left="1418" w:header="709" w:footer="709" w:gutter="0"/>
          <w:cols w:space="708"/>
          <w:docGrid w:linePitch="360"/>
        </w:sectPr>
      </w:pPr>
      <w:r>
        <w:rPr>
          <w:b w:val="0"/>
          <w:noProof/>
          <w:lang w:eastAsia="bg-BG" w:bidi="bg-BG"/>
        </w:rPr>
        <w:tab/>
        <w:t>3.3.</w:t>
      </w:r>
      <w:r>
        <w:rPr>
          <w:b w:val="0"/>
          <w:noProof/>
          <w:lang w:eastAsia="bg-BG" w:bidi="bg-BG"/>
        </w:rPr>
        <w:tab/>
        <w:t>Очаквано отражение върху приходите</w:t>
      </w:r>
      <w:r>
        <w:rPr>
          <w:b w:val="0"/>
          <w:noProof/>
          <w:lang w:eastAsia="bg-BG" w:bidi="bg-BG"/>
        </w:rPr>
        <w:tab/>
      </w:r>
    </w:p>
    <w:p w:rsidR="005A6CB7" w:rsidRDefault="00C93832">
      <w:pPr>
        <w:jc w:val="center"/>
        <w:rPr>
          <w:b/>
          <w:noProof/>
          <w:u w:val="single"/>
          <w:lang w:eastAsia="bg-BG" w:bidi="bg-BG"/>
        </w:rPr>
      </w:pPr>
      <w:r>
        <w:rPr>
          <w:b/>
          <w:noProof/>
          <w:u w:val="single"/>
          <w:lang w:eastAsia="bg-BG" w:bidi="bg-BG"/>
        </w:rPr>
        <w:t>ЗАКОНОДАТЕЛНА ФИНАНСОВА ОБОСНОВКА</w:t>
      </w:r>
    </w:p>
    <w:p w:rsidR="005A6CB7" w:rsidRDefault="00C93832">
      <w:pPr>
        <w:pStyle w:val="ManualHeading1"/>
        <w:rPr>
          <w:noProof/>
          <w:lang w:eastAsia="bg-BG" w:bidi="bg-BG"/>
        </w:rPr>
      </w:pPr>
      <w:r>
        <w:rPr>
          <w:noProof/>
          <w:lang w:eastAsia="bg-BG" w:bidi="bg-BG"/>
        </w:rPr>
        <w:t>1.</w:t>
      </w:r>
      <w:r>
        <w:rPr>
          <w:noProof/>
          <w:lang w:eastAsia="bg-BG" w:bidi="bg-BG"/>
        </w:rPr>
        <w:tab/>
        <w:t xml:space="preserve">РАМКА НА ПРЕДЛОЖЕНИЕТО/ИНИЦИАТИВАТА </w:t>
      </w:r>
    </w:p>
    <w:p w:rsidR="005A6CB7" w:rsidRDefault="00C93832">
      <w:pPr>
        <w:pStyle w:val="ManualHeading2"/>
        <w:rPr>
          <w:noProof/>
          <w:lang w:eastAsia="bg-BG" w:bidi="bg-BG"/>
        </w:rPr>
      </w:pPr>
      <w:r>
        <w:rPr>
          <w:noProof/>
          <w:lang w:eastAsia="bg-BG" w:bidi="bg-BG"/>
        </w:rPr>
        <w:t>1.1.</w:t>
      </w:r>
      <w:r>
        <w:rPr>
          <w:noProof/>
          <w:lang w:eastAsia="bg-BG" w:bidi="bg-BG"/>
        </w:rPr>
        <w:tab/>
        <w:t xml:space="preserve">Наименование на предложението/инициативата </w:t>
      </w:r>
    </w:p>
    <w:p w:rsidR="005A6CB7" w:rsidRDefault="00C93832">
      <w:pPr>
        <w:pStyle w:val="Text1"/>
        <w:rPr>
          <w:noProof/>
          <w:lang w:eastAsia="bg-BG" w:bidi="bg-BG"/>
        </w:rPr>
      </w:pPr>
      <w:r>
        <w:rPr>
          <w:noProof/>
          <w:lang w:eastAsia="bg-BG" w:bidi="bg-BG"/>
        </w:rPr>
        <w:t>Решение за предоставяне на допълнителна макрофинансова помощ на Реп</w:t>
      </w:r>
      <w:r>
        <w:rPr>
          <w:noProof/>
          <w:lang w:eastAsia="bg-BG" w:bidi="bg-BG"/>
        </w:rPr>
        <w:t xml:space="preserve">ублика Тунис </w:t>
      </w:r>
    </w:p>
    <w:p w:rsidR="005A6CB7" w:rsidRDefault="00C93832">
      <w:pPr>
        <w:pStyle w:val="ManualHeading2"/>
        <w:rPr>
          <w:noProof/>
          <w:lang w:eastAsia="bg-BG" w:bidi="bg-BG"/>
        </w:rPr>
      </w:pPr>
      <w:r>
        <w:rPr>
          <w:noProof/>
          <w:lang w:eastAsia="bg-BG" w:bidi="bg-BG"/>
        </w:rPr>
        <w:t>1.2.</w:t>
      </w:r>
      <w:r>
        <w:rPr>
          <w:noProof/>
          <w:lang w:eastAsia="bg-BG" w:bidi="bg-BG"/>
        </w:rPr>
        <w:tab/>
        <w:t>Съответни области на политиката в структурата на УД/БД</w:t>
      </w:r>
      <w:r>
        <w:rPr>
          <w:rStyle w:val="FootnoteReference"/>
          <w:noProof/>
        </w:rPr>
        <w:footnoteReference w:id="13"/>
      </w:r>
      <w:r>
        <w:rPr>
          <w:noProof/>
          <w:lang w:eastAsia="bg-BG" w:bidi="bg-BG"/>
        </w:rPr>
        <w:t xml:space="preserve"> </w:t>
      </w:r>
    </w:p>
    <w:p w:rsidR="005A6CB7" w:rsidRDefault="00C93832">
      <w:pPr>
        <w:pStyle w:val="Text1"/>
        <w:rPr>
          <w:noProof/>
          <w:lang w:eastAsia="bg-BG" w:bidi="bg-BG"/>
        </w:rPr>
      </w:pPr>
      <w:r>
        <w:rPr>
          <w:noProof/>
          <w:lang w:eastAsia="bg-BG" w:bidi="bg-BG"/>
        </w:rPr>
        <w:t>Област на политиката:</w:t>
      </w:r>
      <w:r>
        <w:rPr>
          <w:noProof/>
          <w:lang w:eastAsia="bg-BG" w:bidi="bg-BG"/>
        </w:rPr>
        <w:tab/>
        <w:t>Дял 01 — Икономически и финансови въпроси</w:t>
      </w:r>
    </w:p>
    <w:p w:rsidR="005A6CB7" w:rsidRDefault="00C93832">
      <w:pPr>
        <w:pStyle w:val="Text1"/>
        <w:rPr>
          <w:noProof/>
          <w:lang w:eastAsia="bg-BG" w:bidi="bg-BG"/>
        </w:rPr>
      </w:pPr>
      <w:r>
        <w:rPr>
          <w:noProof/>
          <w:lang w:eastAsia="bg-BG" w:bidi="bg-BG"/>
        </w:rPr>
        <w:t>Дейност:</w:t>
      </w:r>
      <w:r>
        <w:rPr>
          <w:noProof/>
          <w:lang w:eastAsia="bg-BG" w:bidi="bg-BG"/>
        </w:rPr>
        <w:tab/>
        <w:t>03 – Международни икономически и финансови въпроси.</w:t>
      </w:r>
    </w:p>
    <w:p w:rsidR="005A6CB7" w:rsidRDefault="00C93832">
      <w:pPr>
        <w:pStyle w:val="ManualHeading2"/>
        <w:rPr>
          <w:noProof/>
          <w:lang w:eastAsia="bg-BG" w:bidi="bg-BG"/>
        </w:rPr>
      </w:pPr>
      <w:r>
        <w:rPr>
          <w:noProof/>
          <w:lang w:eastAsia="bg-BG" w:bidi="bg-BG"/>
        </w:rPr>
        <w:t>1.3.</w:t>
      </w:r>
      <w:r>
        <w:rPr>
          <w:noProof/>
          <w:lang w:eastAsia="bg-BG" w:bidi="bg-BG"/>
        </w:rPr>
        <w:tab/>
        <w:t xml:space="preserve">Естество на предложението/инициативата </w:t>
      </w:r>
    </w:p>
    <w:p w:rsidR="005A6CB7" w:rsidRDefault="00C93832">
      <w:pPr>
        <w:pStyle w:val="Text1"/>
        <w:rPr>
          <w:noProof/>
          <w:lang w:eastAsia="bg-BG" w:bidi="bg-BG"/>
        </w:rPr>
      </w:pPr>
      <w:r>
        <w:rPr>
          <w:noProof/>
          <w:lang w:eastAsia="bg-BG" w:bidi="bg-BG"/>
        </w:rPr>
        <w:t xml:space="preserve">X Предложението/инициативата е във връзка с нова дейност </w:t>
      </w:r>
    </w:p>
    <w:p w:rsidR="005A6CB7" w:rsidRDefault="00C93832">
      <w:pPr>
        <w:pStyle w:val="ManualHeading2"/>
        <w:rPr>
          <w:noProof/>
          <w:lang w:eastAsia="bg-BG" w:bidi="bg-BG"/>
        </w:rPr>
      </w:pPr>
      <w:r>
        <w:rPr>
          <w:noProof/>
          <w:lang w:eastAsia="bg-BG" w:bidi="bg-BG"/>
        </w:rPr>
        <w:t>1.4.</w:t>
      </w:r>
      <w:r>
        <w:rPr>
          <w:noProof/>
          <w:lang w:eastAsia="bg-BG" w:bidi="bg-BG"/>
        </w:rPr>
        <w:tab/>
        <w:t>Цели</w:t>
      </w:r>
    </w:p>
    <w:p w:rsidR="005A6CB7" w:rsidRDefault="00C93832">
      <w:pPr>
        <w:pStyle w:val="ManualHeading3"/>
        <w:rPr>
          <w:b/>
          <w:noProof/>
          <w:lang w:eastAsia="bg-BG" w:bidi="bg-BG"/>
        </w:rPr>
      </w:pPr>
      <w:r>
        <w:rPr>
          <w:noProof/>
          <w:lang w:eastAsia="bg-BG" w:bidi="bg-BG"/>
        </w:rPr>
        <w:t>1.4.1.</w:t>
      </w:r>
      <w:r>
        <w:rPr>
          <w:noProof/>
          <w:lang w:eastAsia="bg-BG" w:bidi="bg-BG"/>
        </w:rPr>
        <w:tab/>
        <w:t>Многогодишни стратегически цели на Комисията, за чието изпълнение е предназначено предложението/инициативата</w:t>
      </w:r>
      <w:r>
        <w:rPr>
          <w:b/>
          <w:noProof/>
          <w:lang w:eastAsia="bg-BG" w:bidi="bg-BG"/>
        </w:rPr>
        <w:t xml:space="preserve"> </w:t>
      </w:r>
    </w:p>
    <w:p w:rsidR="005A6CB7" w:rsidRDefault="00C93832">
      <w:pPr>
        <w:pStyle w:val="Text1"/>
        <w:rPr>
          <w:noProof/>
          <w:lang w:eastAsia="bg-BG" w:bidi="bg-BG"/>
        </w:rPr>
      </w:pPr>
      <w:r>
        <w:rPr>
          <w:noProof/>
          <w:lang w:eastAsia="bg-BG" w:bidi="bg-BG"/>
        </w:rPr>
        <w:t>„Насърчаване на просперитета извън границите на ЕС“</w:t>
      </w:r>
    </w:p>
    <w:p w:rsidR="005A6CB7" w:rsidRDefault="00C93832">
      <w:pPr>
        <w:pStyle w:val="Text1"/>
        <w:rPr>
          <w:noProof/>
          <w:lang w:eastAsia="bg-BG" w:bidi="bg-BG"/>
        </w:rPr>
      </w:pPr>
      <w:r>
        <w:rPr>
          <w:noProof/>
          <w:lang w:eastAsia="bg-BG" w:bidi="bg-BG"/>
        </w:rPr>
        <w:t>Основната област, п</w:t>
      </w:r>
      <w:r>
        <w:rPr>
          <w:noProof/>
          <w:lang w:eastAsia="bg-BG" w:bidi="bg-BG"/>
        </w:rPr>
        <w:t xml:space="preserve">опадаща в компетентността на ГД „Икономически и финансови въпроси“, е: </w:t>
      </w:r>
    </w:p>
    <w:p w:rsidR="005A6CB7" w:rsidRDefault="00C93832">
      <w:pPr>
        <w:pStyle w:val="Text1"/>
        <w:rPr>
          <w:noProof/>
          <w:lang w:eastAsia="bg-BG" w:bidi="bg-BG"/>
        </w:rPr>
      </w:pPr>
      <w:r>
        <w:rPr>
          <w:noProof/>
          <w:lang w:eastAsia="bg-BG" w:bidi="bg-BG"/>
        </w:rPr>
        <w:t>1. Насърчаване на прилагането на Европейската политика за съседство чрез задълбочени икономически анализи, укрепване на политическия диалог и консултации относно икономическите аспекти</w:t>
      </w:r>
      <w:r>
        <w:rPr>
          <w:noProof/>
          <w:lang w:eastAsia="bg-BG" w:bidi="bg-BG"/>
        </w:rPr>
        <w:t xml:space="preserve"> на плановете за действие.</w:t>
      </w:r>
    </w:p>
    <w:p w:rsidR="005A6CB7" w:rsidRDefault="00C93832">
      <w:pPr>
        <w:pStyle w:val="Text1"/>
        <w:rPr>
          <w:noProof/>
          <w:lang w:eastAsia="bg-BG" w:bidi="bg-BG"/>
        </w:rPr>
      </w:pPr>
      <w:r>
        <w:rPr>
          <w:noProof/>
          <w:lang w:eastAsia="bg-BG" w:bidi="bg-BG"/>
        </w:rPr>
        <w:t xml:space="preserve">2. Планиране, мониторинг и изпълнение на макрофинансова помощ за трети страни партньори в сътрудничество със съответните международни финансови институции. </w:t>
      </w:r>
    </w:p>
    <w:p w:rsidR="005A6CB7" w:rsidRDefault="00C93832">
      <w:pPr>
        <w:pStyle w:val="ManualHeading3"/>
        <w:rPr>
          <w:noProof/>
          <w:lang w:eastAsia="bg-BG" w:bidi="bg-BG"/>
        </w:rPr>
      </w:pPr>
      <w:r>
        <w:rPr>
          <w:noProof/>
          <w:lang w:eastAsia="bg-BG" w:bidi="bg-BG"/>
        </w:rPr>
        <w:t>1.4.2.</w:t>
      </w:r>
      <w:r>
        <w:rPr>
          <w:noProof/>
          <w:lang w:eastAsia="bg-BG" w:bidi="bg-BG"/>
        </w:rPr>
        <w:tab/>
        <w:t>Конкретни цели и съответни дейности във връзка с УД/БД</w:t>
      </w:r>
    </w:p>
    <w:p w:rsidR="005A6CB7" w:rsidRDefault="00C93832">
      <w:pPr>
        <w:pStyle w:val="Text1"/>
        <w:rPr>
          <w:noProof/>
          <w:lang w:eastAsia="bg-BG" w:bidi="bg-BG"/>
        </w:rPr>
      </w:pPr>
      <w:r>
        <w:rPr>
          <w:noProof/>
          <w:u w:val="single"/>
          <w:lang w:eastAsia="bg-BG" w:bidi="bg-BG"/>
        </w:rPr>
        <w:t xml:space="preserve">Конкретна </w:t>
      </w:r>
      <w:r>
        <w:rPr>
          <w:noProof/>
          <w:u w:val="single"/>
          <w:lang w:eastAsia="bg-BG" w:bidi="bg-BG"/>
        </w:rPr>
        <w:t>цел № 1:</w:t>
      </w:r>
      <w:r>
        <w:rPr>
          <w:noProof/>
          <w:lang w:eastAsia="bg-BG" w:bidi="bg-BG"/>
        </w:rPr>
        <w:t xml:space="preserve"> „Предоставяне на макрофинансова помощ на трети страни за преодоляване на затрудненията с техните платежни баланси и възстановяване на устойчивостта на външния дълг“</w:t>
      </w:r>
    </w:p>
    <w:p w:rsidR="005A6CB7" w:rsidRDefault="00C93832">
      <w:pPr>
        <w:pStyle w:val="Text1"/>
        <w:rPr>
          <w:noProof/>
          <w:lang w:eastAsia="bg-BG" w:bidi="bg-BG"/>
        </w:rPr>
      </w:pPr>
      <w:r>
        <w:rPr>
          <w:noProof/>
          <w:u w:val="single"/>
          <w:lang w:eastAsia="bg-BG" w:bidi="bg-BG"/>
        </w:rPr>
        <w:t>Съответни дейности във връзка с УД/БД:</w:t>
      </w:r>
      <w:r>
        <w:rPr>
          <w:noProof/>
          <w:lang w:eastAsia="bg-BG" w:bidi="bg-BG"/>
        </w:rPr>
        <w:t xml:space="preserve"> Международни икономически и финансови отношения, глобално икономическо управление. </w:t>
      </w:r>
    </w:p>
    <w:p w:rsidR="005A6CB7" w:rsidRDefault="00C93832">
      <w:pPr>
        <w:pStyle w:val="ManualHeading3"/>
        <w:rPr>
          <w:noProof/>
          <w:lang w:eastAsia="bg-BG" w:bidi="bg-BG"/>
        </w:rPr>
      </w:pPr>
      <w:r>
        <w:rPr>
          <w:noProof/>
          <w:lang w:eastAsia="bg-BG" w:bidi="bg-BG"/>
        </w:rPr>
        <w:t>1.4.3.</w:t>
      </w:r>
      <w:r>
        <w:rPr>
          <w:noProof/>
          <w:lang w:eastAsia="bg-BG" w:bidi="bg-BG"/>
        </w:rPr>
        <w:tab/>
        <w:t>Очаквани резултати и отражение</w:t>
      </w:r>
    </w:p>
    <w:p w:rsidR="005A6CB7" w:rsidRDefault="00C93832">
      <w:pPr>
        <w:pStyle w:val="Text1"/>
        <w:rPr>
          <w:noProof/>
          <w:lang w:eastAsia="bg-BG" w:bidi="bg-BG"/>
        </w:rPr>
      </w:pPr>
      <w:r>
        <w:rPr>
          <w:noProof/>
          <w:lang w:eastAsia="bg-BG" w:bidi="bg-BG"/>
        </w:rPr>
        <w:t>Предложената помощ включва заем на ЕС в размер на 500 милиона евро за Република Тунис (наричана по-долу „Тунис“), чиято цел е да допр</w:t>
      </w:r>
      <w:r>
        <w:rPr>
          <w:noProof/>
          <w:lang w:eastAsia="bg-BG" w:bidi="bg-BG"/>
        </w:rPr>
        <w:t>инесе за повишаване на устойчивостта на платежния баланс. Помощта, която ще бъде изплатена на три транша, ще помогне на страната да преодолее затрудненията в нейната икономика и платежен баланс, които се изостриха след терористични нападения през 2015 г. и</w:t>
      </w:r>
      <w:r>
        <w:rPr>
          <w:noProof/>
          <w:lang w:eastAsia="bg-BG" w:bidi="bg-BG"/>
        </w:rPr>
        <w:t xml:space="preserve"> вследствие на продължаващите вътрешни и регионални размирици. Чрез нея също така ще се насърчават структурните реформи, насочени към увеличаване на устойчивия икономически растеж и подобряване на управлението на публичните финанси. </w:t>
      </w:r>
    </w:p>
    <w:p w:rsidR="005A6CB7" w:rsidRDefault="00C93832">
      <w:pPr>
        <w:pStyle w:val="ManualHeading3"/>
        <w:rPr>
          <w:noProof/>
          <w:lang w:eastAsia="bg-BG" w:bidi="bg-BG"/>
        </w:rPr>
      </w:pPr>
      <w:r>
        <w:rPr>
          <w:noProof/>
          <w:lang w:eastAsia="bg-BG" w:bidi="bg-BG"/>
        </w:rPr>
        <w:t>1.4.4.</w:t>
      </w:r>
      <w:r>
        <w:rPr>
          <w:noProof/>
          <w:lang w:eastAsia="bg-BG" w:bidi="bg-BG"/>
        </w:rPr>
        <w:tab/>
        <w:t>Показатели за р</w:t>
      </w:r>
      <w:r>
        <w:rPr>
          <w:noProof/>
          <w:lang w:eastAsia="bg-BG" w:bidi="bg-BG"/>
        </w:rPr>
        <w:t xml:space="preserve">езултатите и за отражението </w:t>
      </w:r>
    </w:p>
    <w:p w:rsidR="005A6CB7" w:rsidRDefault="00C93832">
      <w:pPr>
        <w:pStyle w:val="Text1"/>
        <w:rPr>
          <w:noProof/>
          <w:lang w:eastAsia="bg-BG" w:bidi="bg-BG"/>
        </w:rPr>
      </w:pPr>
      <w:r>
        <w:rPr>
          <w:noProof/>
          <w:lang w:eastAsia="bg-BG" w:bidi="bg-BG"/>
        </w:rPr>
        <w:t>Органите на Тунис ще бъдат задължени редовно да докладват по набор от показатели пред службите на Комисията и да предоставят подробен доклад за спазването на договорените условия на политиката преди изплащането на втория и трет</w:t>
      </w:r>
      <w:r>
        <w:rPr>
          <w:noProof/>
          <w:lang w:eastAsia="bg-BG" w:bidi="bg-BG"/>
        </w:rPr>
        <w:t xml:space="preserve">ия транш от помощта. </w:t>
      </w:r>
    </w:p>
    <w:p w:rsidR="005A6CB7" w:rsidRDefault="00C93832">
      <w:pPr>
        <w:pStyle w:val="Text1"/>
        <w:rPr>
          <w:noProof/>
          <w:lang w:eastAsia="bg-BG" w:bidi="bg-BG"/>
        </w:rPr>
      </w:pPr>
      <w:r>
        <w:rPr>
          <w:noProof/>
          <w:lang w:eastAsia="bg-BG" w:bidi="bg-BG"/>
        </w:rPr>
        <w:t>Службите на Комисията ще продължават да наблюдават управлението на публичните финанси след оперативната оценка на финансовите процеси и административните процедури, която ще бъде извършена в Тунис в процеса на подготовка на настоящата</w:t>
      </w:r>
      <w:r>
        <w:rPr>
          <w:noProof/>
          <w:lang w:eastAsia="bg-BG" w:bidi="bg-BG"/>
        </w:rPr>
        <w:t xml:space="preserve"> операция. Делегацията на ЕС в Тунис също ще предоставя редовни доклади по проблеми, свързани с мониторинга на помощта. Службите на Комисията ще продължат да поддържат тесни връзки с МВФ и Световната банка, за да се възползват от техния опит, натрупан в ра</w:t>
      </w:r>
      <w:r>
        <w:rPr>
          <w:noProof/>
          <w:lang w:eastAsia="bg-BG" w:bidi="bg-BG"/>
        </w:rPr>
        <w:t xml:space="preserve">мките на текущата им дейност в Тунис. </w:t>
      </w:r>
    </w:p>
    <w:p w:rsidR="005A6CB7" w:rsidRDefault="00C93832">
      <w:pPr>
        <w:pStyle w:val="Text1"/>
        <w:rPr>
          <w:noProof/>
          <w:lang w:eastAsia="bg-BG" w:bidi="bg-BG"/>
        </w:rPr>
      </w:pPr>
      <w:r>
        <w:rPr>
          <w:noProof/>
          <w:lang w:eastAsia="bg-BG" w:bidi="bg-BG"/>
        </w:rPr>
        <w:t>В предложеното законодателно решение се предвижда да бъде изготвен годишен доклад до Европейския парламент и Съвета, който да съдържа оценка на изпълнението на тази операция. Планира се извършването на независима посл</w:t>
      </w:r>
      <w:r>
        <w:rPr>
          <w:noProof/>
          <w:lang w:eastAsia="bg-BG" w:bidi="bg-BG"/>
        </w:rPr>
        <w:t>едваща оценка на помощта в рамките на две години след края на периода за изпълнение.</w:t>
      </w:r>
    </w:p>
    <w:p w:rsidR="005A6CB7" w:rsidRDefault="00C93832">
      <w:pPr>
        <w:pStyle w:val="ManualHeading2"/>
        <w:rPr>
          <w:noProof/>
          <w:lang w:eastAsia="bg-BG" w:bidi="bg-BG"/>
        </w:rPr>
      </w:pPr>
      <w:r>
        <w:rPr>
          <w:noProof/>
          <w:lang w:eastAsia="bg-BG" w:bidi="bg-BG"/>
        </w:rPr>
        <w:t>1.5.</w:t>
      </w:r>
      <w:r>
        <w:rPr>
          <w:noProof/>
          <w:lang w:eastAsia="bg-BG" w:bidi="bg-BG"/>
        </w:rPr>
        <w:tab/>
        <w:t xml:space="preserve">Мотиви за предложението/инициативата </w:t>
      </w:r>
    </w:p>
    <w:p w:rsidR="005A6CB7" w:rsidRDefault="00C93832">
      <w:pPr>
        <w:pStyle w:val="ManualHeading3"/>
        <w:rPr>
          <w:b/>
          <w:noProof/>
          <w:lang w:eastAsia="bg-BG" w:bidi="bg-BG"/>
        </w:rPr>
      </w:pPr>
      <w:r>
        <w:rPr>
          <w:noProof/>
          <w:lang w:eastAsia="bg-BG" w:bidi="bg-BG"/>
        </w:rPr>
        <w:t>1.5.1.</w:t>
      </w:r>
      <w:r>
        <w:rPr>
          <w:noProof/>
          <w:lang w:eastAsia="bg-BG" w:bidi="bg-BG"/>
        </w:rPr>
        <w:tab/>
        <w:t>Нужди, които трябва да бъдат задоволени в краткосрочен или дългосрочен план</w:t>
      </w:r>
      <w:r>
        <w:rPr>
          <w:b/>
          <w:noProof/>
          <w:lang w:eastAsia="bg-BG" w:bidi="bg-BG"/>
        </w:rPr>
        <w:t xml:space="preserve"> </w:t>
      </w:r>
    </w:p>
    <w:p w:rsidR="005A6CB7" w:rsidRDefault="00C93832">
      <w:pPr>
        <w:pStyle w:val="Text1"/>
        <w:rPr>
          <w:noProof/>
          <w:lang w:eastAsia="bg-BG" w:bidi="bg-BG"/>
        </w:rPr>
      </w:pPr>
      <w:r>
        <w:rPr>
          <w:noProof/>
          <w:lang w:eastAsia="bg-BG" w:bidi="bg-BG"/>
        </w:rPr>
        <w:t>Изплащането на помощта ще зависи от постиган</w:t>
      </w:r>
      <w:r>
        <w:rPr>
          <w:noProof/>
          <w:lang w:eastAsia="bg-BG" w:bidi="bg-BG"/>
        </w:rPr>
        <w:t>ето на задоволителни резултати при изпълнението на бъдещата икономическа програма между Тунис и МВФ, която се очаква да влезе в сила до месец март 2016 г. Освен това Комисията ще договори с тунизийските органи конкретни условия на политиката, които са избр</w:t>
      </w:r>
      <w:r>
        <w:rPr>
          <w:noProof/>
          <w:lang w:eastAsia="bg-BG" w:bidi="bg-BG"/>
        </w:rPr>
        <w:t xml:space="preserve">оени в Меморандума за разбирателство и които трябва да бъдат изпълнени преди Комисията да отпусне втория и третия транш. </w:t>
      </w:r>
    </w:p>
    <w:p w:rsidR="005A6CB7" w:rsidRDefault="00C93832">
      <w:pPr>
        <w:pStyle w:val="ManualHeading3"/>
        <w:rPr>
          <w:noProof/>
          <w:lang w:eastAsia="bg-BG" w:bidi="bg-BG"/>
        </w:rPr>
      </w:pPr>
      <w:r>
        <w:rPr>
          <w:noProof/>
          <w:lang w:eastAsia="bg-BG" w:bidi="bg-BG"/>
        </w:rPr>
        <w:t>1.5.2.</w:t>
      </w:r>
      <w:r>
        <w:rPr>
          <w:noProof/>
          <w:lang w:eastAsia="bg-BG" w:bidi="bg-BG"/>
        </w:rPr>
        <w:tab/>
        <w:t>Добавена стойност от намесата на ЕС</w:t>
      </w:r>
    </w:p>
    <w:p w:rsidR="005A6CB7" w:rsidRDefault="00C93832">
      <w:pPr>
        <w:pStyle w:val="Text1"/>
        <w:rPr>
          <w:noProof/>
          <w:lang w:eastAsia="bg-BG" w:bidi="bg-BG"/>
        </w:rPr>
      </w:pPr>
      <w:r>
        <w:rPr>
          <w:noProof/>
          <w:lang w:eastAsia="bg-BG" w:bidi="bg-BG"/>
        </w:rPr>
        <w:t>Като помага на страната да преодолее икономическото сътресение, причинено от терористичните</w:t>
      </w:r>
      <w:r>
        <w:rPr>
          <w:noProof/>
          <w:lang w:eastAsia="bg-BG" w:bidi="bg-BG"/>
        </w:rPr>
        <w:t xml:space="preserve"> атаки през 2015 г. и вътрешните и регионалните размирици, предложената МФП ще допринесе за насърчаване на макроикономическата стабилност и икономическите реформи, като в същото време спомогне за консолидацията на политическия преход в страната. В допълнен</w:t>
      </w:r>
      <w:r>
        <w:rPr>
          <w:noProof/>
          <w:lang w:eastAsia="bg-BG" w:bidi="bg-BG"/>
        </w:rPr>
        <w:t xml:space="preserve">ие към средствата, осигурени от международните финансови институции, ЕС и други донори, помощта ще повиши цялостната ефективност на пакета от мерки за финансова подкрепа, предоставен от международната донорска общност. </w:t>
      </w:r>
    </w:p>
    <w:p w:rsidR="005A6CB7" w:rsidRDefault="00C93832">
      <w:pPr>
        <w:pStyle w:val="Text1"/>
        <w:rPr>
          <w:noProof/>
          <w:lang w:eastAsia="bg-BG" w:bidi="bg-BG"/>
        </w:rPr>
      </w:pPr>
      <w:r>
        <w:rPr>
          <w:noProof/>
          <w:lang w:eastAsia="bg-BG" w:bidi="bg-BG"/>
        </w:rPr>
        <w:t>Предложената програма ще засили също</w:t>
      </w:r>
      <w:r>
        <w:rPr>
          <w:noProof/>
          <w:lang w:eastAsia="bg-BG" w:bidi="bg-BG"/>
        </w:rPr>
        <w:t xml:space="preserve"> така ангажимента на правителството за провеждане на реформи и неговия стремеж към по-близки отношения с ЕС. Този резултат ще бъде постигнат, наред с другото, чрез съответните условия за изплащането на помощта. В по-широк контекст програмата ще бъде сигнал</w:t>
      </w:r>
      <w:r>
        <w:rPr>
          <w:noProof/>
          <w:lang w:eastAsia="bg-BG" w:bidi="bg-BG"/>
        </w:rPr>
        <w:t xml:space="preserve"> за другите държави в региона, че ЕС продължава да подкрепя страни, които ясно са поели по пътя на политически реформи, във времена на икономически трудности.</w:t>
      </w:r>
    </w:p>
    <w:p w:rsidR="005A6CB7" w:rsidRDefault="00C93832">
      <w:pPr>
        <w:pStyle w:val="ManualHeading3"/>
        <w:rPr>
          <w:noProof/>
          <w:lang w:eastAsia="bg-BG" w:bidi="bg-BG"/>
        </w:rPr>
      </w:pPr>
      <w:r>
        <w:rPr>
          <w:noProof/>
          <w:lang w:eastAsia="bg-BG" w:bidi="bg-BG"/>
        </w:rPr>
        <w:t>1.5.3.</w:t>
      </w:r>
      <w:r>
        <w:rPr>
          <w:noProof/>
          <w:lang w:eastAsia="bg-BG" w:bidi="bg-BG"/>
        </w:rPr>
        <w:tab/>
        <w:t>Поуки от подобен опит в миналото</w:t>
      </w:r>
    </w:p>
    <w:p w:rsidR="005A6CB7" w:rsidRDefault="00C93832">
      <w:pPr>
        <w:pStyle w:val="Text1"/>
        <w:rPr>
          <w:noProof/>
          <w:lang w:eastAsia="bg-BG" w:bidi="bg-BG"/>
        </w:rPr>
      </w:pPr>
      <w:r>
        <w:rPr>
          <w:noProof/>
          <w:lang w:eastAsia="bg-BG" w:bidi="bg-BG"/>
        </w:rPr>
        <w:t>От 2004 г. насам бяха извършени общо шестнадесет последва</w:t>
      </w:r>
      <w:r>
        <w:rPr>
          <w:noProof/>
          <w:lang w:eastAsia="bg-BG" w:bidi="bg-BG"/>
        </w:rPr>
        <w:t>щи оценки по отношение на операции за макрофинансова помощ. Изводът от тези оценки е, че операциите по предоставяне на МФП действително допринасят, макар и понякога умерено и непряко, за подобряване на външната устойчивост, макроикономическата стабилност и</w:t>
      </w:r>
      <w:r>
        <w:rPr>
          <w:noProof/>
          <w:lang w:eastAsia="bg-BG" w:bidi="bg-BG"/>
        </w:rPr>
        <w:t xml:space="preserve"> осъществяването на структурни реформи в държавата получател. В повечето случаи операциите за предоставяне на МФП са имали положителен ефект върху платежния баланс на държавата получател и са помогнали за облекчаване на нейните бюджетни затруднения. Те са </w:t>
      </w:r>
      <w:r>
        <w:rPr>
          <w:noProof/>
          <w:lang w:eastAsia="bg-BG" w:bidi="bg-BG"/>
        </w:rPr>
        <w:t>довели и до леко повишение на икономическия растеж.</w:t>
      </w:r>
    </w:p>
    <w:p w:rsidR="005A6CB7" w:rsidRDefault="00C93832">
      <w:pPr>
        <w:pStyle w:val="ManualHeading3"/>
        <w:rPr>
          <w:noProof/>
          <w:lang w:eastAsia="bg-BG" w:bidi="bg-BG"/>
        </w:rPr>
      </w:pPr>
      <w:r>
        <w:rPr>
          <w:noProof/>
          <w:lang w:eastAsia="bg-BG" w:bidi="bg-BG"/>
        </w:rPr>
        <w:t>1.5.4.</w:t>
      </w:r>
      <w:r>
        <w:rPr>
          <w:noProof/>
          <w:lang w:eastAsia="bg-BG" w:bidi="bg-BG"/>
        </w:rPr>
        <w:tab/>
        <w:t>Съвместимост и евентуална синергия с други подходящи инструменти</w:t>
      </w:r>
    </w:p>
    <w:p w:rsidR="005A6CB7" w:rsidRDefault="00C93832">
      <w:pPr>
        <w:pStyle w:val="Text1"/>
        <w:rPr>
          <w:noProof/>
          <w:lang w:eastAsia="bg-BG" w:bidi="bg-BG"/>
        </w:rPr>
      </w:pPr>
      <w:r>
        <w:rPr>
          <w:noProof/>
          <w:lang w:eastAsia="bg-BG" w:bidi="bg-BG"/>
        </w:rPr>
        <w:t>ЕС е сред основните донори на Тунис. Финансовата помощ, предоставена в рамките на Европейския инструмент за съседство (ЕИС), и преди</w:t>
      </w:r>
      <w:r>
        <w:rPr>
          <w:noProof/>
          <w:lang w:eastAsia="bg-BG" w:bidi="bg-BG"/>
        </w:rPr>
        <w:t xml:space="preserve"> това в рамките на Европейския инструмент за съседство и партньорство (ЕИСП), възлиза на 801 милиона евро за периода 2011—2015 г., което включва 277 милиона евро по линия на програма SPRING и Общата програма (съответно 155 милиона евро и 122 милиона евро).</w:t>
      </w:r>
      <w:r>
        <w:rPr>
          <w:noProof/>
          <w:lang w:eastAsia="bg-BG" w:bidi="bg-BG"/>
        </w:rPr>
        <w:t xml:space="preserve"> Тези средства бяха допълнени с финансиране от други инструменти на ЕС, като например Инструмента за стабилност (ИС), Европейския инструмент за демокрация и права на човека (ЕИДПЧ), Инструмента за инвестиции в рамките на ЕПС (NIF) и тематичните програми по</w:t>
      </w:r>
      <w:r>
        <w:rPr>
          <w:noProof/>
          <w:lang w:eastAsia="bg-BG" w:bidi="bg-BG"/>
        </w:rPr>
        <w:t xml:space="preserve"> Инструмента за сътрудничество за развитие (ИСР). Европейската инвестиционна банка също е предоставила заеми в размер на 1 338 милиона евро от 2011 г. насам, от които 200 милиона евро през 2015 г. И накрая, МФП-I в размер на 300 милиона евро, която беше од</w:t>
      </w:r>
      <w:r>
        <w:rPr>
          <w:noProof/>
          <w:lang w:eastAsia="bg-BG" w:bidi="bg-BG"/>
        </w:rPr>
        <w:t>обрена през 2014 г., се изпълнява задоволително и по нея остава да бъде изплатен само последният транш от 100 милиона евро.</w:t>
      </w:r>
    </w:p>
    <w:p w:rsidR="005A6CB7" w:rsidRDefault="00C93832">
      <w:pPr>
        <w:pStyle w:val="Text1"/>
        <w:rPr>
          <w:noProof/>
          <w:lang w:eastAsia="bg-BG" w:bidi="bg-BG"/>
        </w:rPr>
      </w:pPr>
      <w:r>
        <w:rPr>
          <w:noProof/>
          <w:lang w:eastAsia="bg-BG" w:bidi="bg-BG"/>
        </w:rPr>
        <w:t>В сравнение с другите инструменти на ЕС основната добавена стойност на МФП ще бъде приноса ѝ за създаването на стабилна макроикономи</w:t>
      </w:r>
      <w:r>
        <w:rPr>
          <w:noProof/>
          <w:lang w:eastAsia="bg-BG" w:bidi="bg-BG"/>
        </w:rPr>
        <w:t>ческа рамка, включително чрез насърчаване на стабилността на платежния баланс и бюджетната ситуация, както и на целесъобразна рамка за структурни реформи. МФП не представлява редовна финансова помощ и няма за цел подпомагането на икономическото или социалн</w:t>
      </w:r>
      <w:r>
        <w:rPr>
          <w:noProof/>
          <w:lang w:eastAsia="bg-BG" w:bidi="bg-BG"/>
        </w:rPr>
        <w:t>ото развитие на държавите получатели. Тя трябва да бъде преустановена, когато състоянието на външните финанси на страната се стабилизира. След това се предвижда да бъдат използвани редовните инструменти на ЕС за сътрудничество и финансова помощ .</w:t>
      </w:r>
    </w:p>
    <w:p w:rsidR="005A6CB7" w:rsidRDefault="00C93832">
      <w:pPr>
        <w:pStyle w:val="Text1"/>
        <w:rPr>
          <w:noProof/>
          <w:lang w:eastAsia="bg-BG" w:bidi="bg-BG"/>
        </w:rPr>
      </w:pPr>
      <w:r>
        <w:rPr>
          <w:noProof/>
          <w:lang w:eastAsia="bg-BG" w:bidi="bg-BG"/>
        </w:rPr>
        <w:t>Освен тов</w:t>
      </w:r>
      <w:r>
        <w:rPr>
          <w:noProof/>
          <w:lang w:eastAsia="bg-BG" w:bidi="bg-BG"/>
        </w:rPr>
        <w:t>а целта на МФП е да допълва намесите на международните финансови институции, по-специално програмата за приспособяване и реформи, подкрепена от ИПП на МВФ, и заемите за развитие от Световната банка.</w:t>
      </w:r>
    </w:p>
    <w:p w:rsidR="005A6CB7" w:rsidRDefault="00C93832">
      <w:pPr>
        <w:pStyle w:val="ManualHeading2"/>
        <w:rPr>
          <w:noProof/>
          <w:lang w:eastAsia="bg-BG" w:bidi="bg-BG"/>
        </w:rPr>
      </w:pPr>
      <w:r>
        <w:rPr>
          <w:noProof/>
          <w:lang w:eastAsia="bg-BG" w:bidi="bg-BG"/>
        </w:rPr>
        <w:t>1.6.</w:t>
      </w:r>
      <w:r>
        <w:rPr>
          <w:noProof/>
          <w:lang w:eastAsia="bg-BG" w:bidi="bg-BG"/>
        </w:rPr>
        <w:tab/>
        <w:t xml:space="preserve">Срок на действие и финансово отражение </w:t>
      </w:r>
    </w:p>
    <w:p w:rsidR="005A6CB7" w:rsidRDefault="00C93832">
      <w:pPr>
        <w:pStyle w:val="Text1"/>
        <w:rPr>
          <w:noProof/>
          <w:lang w:eastAsia="bg-BG" w:bidi="bg-BG"/>
        </w:rPr>
      </w:pPr>
      <w:r>
        <w:rPr>
          <w:noProof/>
          <w:lang w:eastAsia="bg-BG" w:bidi="bg-BG"/>
        </w:rPr>
        <w:t>X Предложени</w:t>
      </w:r>
      <w:r>
        <w:rPr>
          <w:noProof/>
          <w:lang w:eastAsia="bg-BG" w:bidi="bg-BG"/>
        </w:rPr>
        <w:t xml:space="preserve">е/инициатива с </w:t>
      </w:r>
      <w:r>
        <w:rPr>
          <w:b/>
          <w:noProof/>
          <w:lang w:eastAsia="bg-BG" w:bidi="bg-BG"/>
        </w:rPr>
        <w:t>ограничен срок на действие</w:t>
      </w:r>
      <w:r>
        <w:rPr>
          <w:noProof/>
          <w:lang w:eastAsia="bg-BG" w:bidi="bg-BG"/>
        </w:rPr>
        <w:t xml:space="preserve"> </w:t>
      </w:r>
    </w:p>
    <w:p w:rsidR="005A6CB7" w:rsidRDefault="00C93832">
      <w:pPr>
        <w:pStyle w:val="Text1"/>
        <w:rPr>
          <w:noProof/>
          <w:lang w:eastAsia="bg-BG" w:bidi="bg-BG"/>
        </w:rPr>
      </w:pPr>
      <w:r>
        <w:rPr>
          <w:noProof/>
          <w:lang w:eastAsia="bg-BG" w:bidi="bg-BG"/>
        </w:rPr>
        <w:t xml:space="preserve">X Предложение/инициатива в сила за срок от 2,5 години, считано от влизането в сила на Меморандума за разбирателство, както е посочено в член 1.4 от Решението </w:t>
      </w:r>
    </w:p>
    <w:p w:rsidR="005A6CB7" w:rsidRDefault="00C93832">
      <w:pPr>
        <w:pStyle w:val="Text1"/>
        <w:rPr>
          <w:noProof/>
          <w:lang w:eastAsia="bg-BG" w:bidi="bg-BG"/>
        </w:rPr>
      </w:pPr>
      <w:r>
        <w:rPr>
          <w:noProof/>
          <w:lang w:eastAsia="bg-BG" w:bidi="bg-BG"/>
        </w:rPr>
        <w:t>X Финансовото отражение се очаква да настъпи от 2016 д</w:t>
      </w:r>
      <w:r>
        <w:rPr>
          <w:noProof/>
          <w:lang w:eastAsia="bg-BG" w:bidi="bg-BG"/>
        </w:rPr>
        <w:t xml:space="preserve">о 2019 г. </w:t>
      </w:r>
    </w:p>
    <w:p w:rsidR="005A6CB7" w:rsidRDefault="00C93832">
      <w:pPr>
        <w:pStyle w:val="ManualHeading2"/>
        <w:rPr>
          <w:noProof/>
          <w:lang w:eastAsia="bg-BG" w:bidi="bg-BG"/>
        </w:rPr>
      </w:pPr>
      <w:r>
        <w:rPr>
          <w:noProof/>
          <w:lang w:eastAsia="bg-BG" w:bidi="bg-BG"/>
        </w:rPr>
        <w:t>1.7.</w:t>
      </w:r>
      <w:r>
        <w:rPr>
          <w:noProof/>
          <w:lang w:eastAsia="bg-BG" w:bidi="bg-BG"/>
        </w:rPr>
        <w:tab/>
        <w:t>Предвидени методи на управление</w:t>
      </w:r>
      <w:r>
        <w:rPr>
          <w:rStyle w:val="FootnoteReference"/>
          <w:noProof/>
        </w:rPr>
        <w:footnoteReference w:id="14"/>
      </w:r>
      <w:r>
        <w:rPr>
          <w:noProof/>
          <w:lang w:eastAsia="bg-BG" w:bidi="bg-BG"/>
        </w:rPr>
        <w:t xml:space="preserve"> </w:t>
      </w:r>
    </w:p>
    <w:p w:rsidR="005A6CB7" w:rsidRDefault="00C93832">
      <w:pPr>
        <w:ind w:left="850"/>
        <w:rPr>
          <w:noProof/>
          <w:lang w:eastAsia="bg-BG" w:bidi="bg-BG"/>
        </w:rPr>
      </w:pPr>
      <w:r>
        <w:rPr>
          <w:noProof/>
          <w:lang w:eastAsia="bg-BG" w:bidi="bg-BG"/>
        </w:rPr>
        <w:t xml:space="preserve">X </w:t>
      </w:r>
      <w:r>
        <w:rPr>
          <w:b/>
          <w:noProof/>
          <w:lang w:eastAsia="bg-BG" w:bidi="bg-BG"/>
        </w:rPr>
        <w:t>Пряко централизирано управление</w:t>
      </w:r>
      <w:r>
        <w:rPr>
          <w:noProof/>
          <w:lang w:eastAsia="bg-BG" w:bidi="bg-BG"/>
        </w:rPr>
        <w:t xml:space="preserve"> от Комисията </w:t>
      </w:r>
    </w:p>
    <w:p w:rsidR="005A6CB7" w:rsidRDefault="00C93832">
      <w:pPr>
        <w:keepNext/>
        <w:tabs>
          <w:tab w:val="left" w:pos="850"/>
        </w:tabs>
        <w:spacing w:before="360"/>
        <w:ind w:left="850" w:hanging="850"/>
        <w:outlineLvl w:val="0"/>
        <w:rPr>
          <w:b/>
          <w:smallCaps/>
          <w:noProof/>
          <w:lang w:eastAsia="bg-BG" w:bidi="bg-BG"/>
        </w:rPr>
      </w:pPr>
      <w:r>
        <w:rPr>
          <w:b/>
          <w:smallCaps/>
          <w:noProof/>
          <w:lang w:eastAsia="bg-BG" w:bidi="bg-BG"/>
        </w:rPr>
        <w:t>2.</w:t>
      </w:r>
      <w:r>
        <w:rPr>
          <w:b/>
          <w:smallCaps/>
          <w:noProof/>
          <w:lang w:eastAsia="bg-BG" w:bidi="bg-BG"/>
        </w:rPr>
        <w:tab/>
        <w:t xml:space="preserve">МЕРКИ ЗА УПРАВЛЕНИЕ </w:t>
      </w:r>
    </w:p>
    <w:p w:rsidR="005A6CB7" w:rsidRDefault="00C93832">
      <w:pPr>
        <w:pStyle w:val="ManualHeading2"/>
        <w:rPr>
          <w:noProof/>
          <w:lang w:eastAsia="bg-BG" w:bidi="bg-BG"/>
        </w:rPr>
      </w:pPr>
      <w:r>
        <w:rPr>
          <w:noProof/>
          <w:lang w:eastAsia="bg-BG" w:bidi="bg-BG"/>
        </w:rPr>
        <w:t>2.1.</w:t>
      </w:r>
      <w:r>
        <w:rPr>
          <w:noProof/>
          <w:lang w:eastAsia="bg-BG" w:bidi="bg-BG"/>
        </w:rPr>
        <w:tab/>
        <w:t xml:space="preserve">Правила за мониторинг и докладване </w:t>
      </w:r>
    </w:p>
    <w:p w:rsidR="005A6CB7" w:rsidRDefault="00C93832">
      <w:pPr>
        <w:pStyle w:val="Text1"/>
        <w:rPr>
          <w:noProof/>
          <w:lang w:eastAsia="bg-BG" w:bidi="bg-BG"/>
        </w:rPr>
      </w:pPr>
      <w:r>
        <w:rPr>
          <w:noProof/>
          <w:lang w:eastAsia="bg-BG" w:bidi="bg-BG"/>
        </w:rPr>
        <w:t>Финансовата помощ е от макроикономическо естество и е планирана в съответствие с бъдещата икономическа програма, подкрепяна от МВФ. Службите на Комисията извършват мониторинг върху дейността въз основа на напредъка при изпълнението на програмата на МВФ и к</w:t>
      </w:r>
      <w:r>
        <w:rPr>
          <w:noProof/>
          <w:lang w:eastAsia="bg-BG" w:bidi="bg-BG"/>
        </w:rPr>
        <w:t xml:space="preserve">онкретни мерки за реформи, които предстои да бъдат договорени с органите на Тунис в Меморандум за разбирателство (вж. също точка 1.4.4). </w:t>
      </w:r>
    </w:p>
    <w:p w:rsidR="005A6CB7" w:rsidRDefault="00C93832">
      <w:pPr>
        <w:pStyle w:val="ManualHeading2"/>
        <w:rPr>
          <w:noProof/>
          <w:lang w:eastAsia="bg-BG" w:bidi="bg-BG"/>
        </w:rPr>
      </w:pPr>
      <w:r>
        <w:rPr>
          <w:noProof/>
          <w:lang w:eastAsia="bg-BG" w:bidi="bg-BG"/>
        </w:rPr>
        <w:t>2.2.</w:t>
      </w:r>
      <w:r>
        <w:rPr>
          <w:noProof/>
          <w:lang w:eastAsia="bg-BG" w:bidi="bg-BG"/>
        </w:rPr>
        <w:tab/>
        <w:t xml:space="preserve">Система за управление и контрол </w:t>
      </w:r>
    </w:p>
    <w:p w:rsidR="005A6CB7" w:rsidRDefault="00C93832">
      <w:pPr>
        <w:pStyle w:val="ManualHeading3"/>
        <w:rPr>
          <w:noProof/>
          <w:lang w:eastAsia="bg-BG" w:bidi="bg-BG"/>
        </w:rPr>
      </w:pPr>
      <w:r>
        <w:rPr>
          <w:noProof/>
          <w:lang w:eastAsia="bg-BG" w:bidi="bg-BG"/>
        </w:rPr>
        <w:t>2.2.1.</w:t>
      </w:r>
      <w:r>
        <w:rPr>
          <w:noProof/>
          <w:lang w:eastAsia="bg-BG" w:bidi="bg-BG"/>
        </w:rPr>
        <w:tab/>
        <w:t xml:space="preserve">Установени рискове </w:t>
      </w:r>
    </w:p>
    <w:p w:rsidR="005A6CB7" w:rsidRDefault="00C93832">
      <w:pPr>
        <w:pStyle w:val="Text1"/>
        <w:rPr>
          <w:noProof/>
          <w:lang w:eastAsia="bg-BG" w:bidi="bg-BG"/>
        </w:rPr>
      </w:pPr>
      <w:r>
        <w:rPr>
          <w:noProof/>
          <w:lang w:eastAsia="bg-BG" w:bidi="bg-BG"/>
        </w:rPr>
        <w:t>Предложената операция за предоставяне на МФП е свърза</w:t>
      </w:r>
      <w:r>
        <w:rPr>
          <w:noProof/>
          <w:lang w:eastAsia="bg-BG" w:bidi="bg-BG"/>
        </w:rPr>
        <w:t xml:space="preserve">на с фидуциарни, стратегически и политически рискове. </w:t>
      </w:r>
    </w:p>
    <w:p w:rsidR="005A6CB7" w:rsidRDefault="00C93832">
      <w:pPr>
        <w:pStyle w:val="Text1"/>
        <w:rPr>
          <w:noProof/>
          <w:lang w:eastAsia="bg-BG" w:bidi="bg-BG"/>
        </w:rPr>
      </w:pPr>
      <w:r>
        <w:rPr>
          <w:noProof/>
          <w:lang w:eastAsia="bg-BG" w:bidi="bg-BG"/>
        </w:rPr>
        <w:t>Съществува опасност макрофинансовата помощ, която не е предназначена за покриване на конкретни разходи, да бъде използвана по неправомерен начин. Като цяло този риск е свързан с фактори като например к</w:t>
      </w:r>
      <w:r>
        <w:rPr>
          <w:noProof/>
          <w:lang w:eastAsia="bg-BG" w:bidi="bg-BG"/>
        </w:rPr>
        <w:t xml:space="preserve">ачеството на системите за управление на Централната банка и Министерството на финансите, както и наличието на подходящи структури за вътрешен и външен одит. </w:t>
      </w:r>
    </w:p>
    <w:p w:rsidR="005A6CB7" w:rsidRDefault="00C93832">
      <w:pPr>
        <w:pStyle w:val="Text1"/>
        <w:rPr>
          <w:noProof/>
          <w:lang w:eastAsia="bg-BG" w:bidi="bg-BG"/>
        </w:rPr>
      </w:pPr>
      <w:r>
        <w:rPr>
          <w:noProof/>
          <w:lang w:eastAsia="bg-BG" w:bidi="bg-BG"/>
        </w:rPr>
        <w:t>Друг основен риск за операцията произтича от вътрешното положение в областта на сигурността, по-сп</w:t>
      </w:r>
      <w:r>
        <w:rPr>
          <w:noProof/>
          <w:lang w:eastAsia="bg-BG" w:bidi="bg-BG"/>
        </w:rPr>
        <w:t xml:space="preserve">ециално във връзка с евентуални терористични нападения, които биха могли допълнително да дестабилизират ключови икономически сектори, да отслабят политическата решимост на органите за провеждане на необходимите икономически реформи и да засилят социалното </w:t>
      </w:r>
      <w:r>
        <w:rPr>
          <w:noProof/>
          <w:lang w:eastAsia="bg-BG" w:bidi="bg-BG"/>
        </w:rPr>
        <w:t>напрежение. Нарушението на процеса на корекции може да изложи на опасност целите на подкрепяната от МВФ програма, да застраши макроикономическата стабилност и да предотврати ефективното отпускане на средствата по МФП-II. Съществуват също така значителни ри</w:t>
      </w:r>
      <w:r>
        <w:rPr>
          <w:noProof/>
          <w:lang w:eastAsia="bg-BG" w:bidi="bg-BG"/>
        </w:rPr>
        <w:t>скове, свързани с регионални политически конфликти, по-специално конфликта в Либия, който има негативно отражение върху икономическата и социална ситуация в Тунис, включително чрез притока на либийски бежанци.</w:t>
      </w:r>
    </w:p>
    <w:p w:rsidR="005A6CB7" w:rsidRDefault="00C93832">
      <w:pPr>
        <w:pStyle w:val="Text1"/>
        <w:rPr>
          <w:noProof/>
          <w:lang w:eastAsia="bg-BG" w:bidi="bg-BG"/>
        </w:rPr>
      </w:pPr>
      <w:r>
        <w:rPr>
          <w:noProof/>
          <w:lang w:eastAsia="bg-BG" w:bidi="bg-BG"/>
        </w:rPr>
        <w:t xml:space="preserve">И накрая, съществуват рискове, произтичащи от </w:t>
      </w:r>
      <w:r>
        <w:rPr>
          <w:noProof/>
          <w:lang w:eastAsia="bg-BG" w:bidi="bg-BG"/>
        </w:rPr>
        <w:t>евентуалното отслабване на европейската и световната икономическа среда (като се има предвид силната зависимост на Тунис от пазара на ЕС) и от увеличението на международните цени на енергията и на хранителните продукти, което би имало съществен ефект върху</w:t>
      </w:r>
      <w:r>
        <w:rPr>
          <w:noProof/>
          <w:lang w:eastAsia="bg-BG" w:bidi="bg-BG"/>
        </w:rPr>
        <w:t xml:space="preserve"> фискалната ситуация и платежния баланс на Тунис.</w:t>
      </w:r>
    </w:p>
    <w:p w:rsidR="005A6CB7" w:rsidRDefault="00C93832">
      <w:pPr>
        <w:pStyle w:val="ManualHeading3"/>
        <w:rPr>
          <w:noProof/>
          <w:lang w:eastAsia="bg-BG" w:bidi="bg-BG"/>
        </w:rPr>
      </w:pPr>
      <w:r>
        <w:rPr>
          <w:noProof/>
          <w:lang w:eastAsia="bg-BG" w:bidi="bg-BG"/>
        </w:rPr>
        <w:t>2.2.2.</w:t>
      </w:r>
      <w:r>
        <w:rPr>
          <w:noProof/>
          <w:lang w:eastAsia="bg-BG" w:bidi="bg-BG"/>
        </w:rPr>
        <w:tab/>
        <w:t xml:space="preserve">Предвидени методи на контрол </w:t>
      </w:r>
    </w:p>
    <w:p w:rsidR="005A6CB7" w:rsidRDefault="00C93832">
      <w:pPr>
        <w:pStyle w:val="Text1"/>
        <w:rPr>
          <w:noProof/>
          <w:lang w:eastAsia="bg-BG" w:bidi="bg-BG"/>
        </w:rPr>
      </w:pPr>
      <w:r>
        <w:rPr>
          <w:noProof/>
          <w:lang w:eastAsia="bg-BG" w:bidi="bg-BG"/>
        </w:rPr>
        <w:t>Макрофинансовата помощ подлежи на процедури по проверка, контрол и одит, за чието извършване е отговорна Комисията, включително Европейската служба за борба с измамите (</w:t>
      </w:r>
      <w:r>
        <w:rPr>
          <w:noProof/>
          <w:lang w:eastAsia="bg-BG" w:bidi="bg-BG"/>
        </w:rPr>
        <w:t xml:space="preserve">OLAF) и Европейската сметна палата. </w:t>
      </w:r>
    </w:p>
    <w:p w:rsidR="005A6CB7" w:rsidRDefault="00C93832">
      <w:pPr>
        <w:pStyle w:val="ManualHeading3"/>
        <w:rPr>
          <w:noProof/>
          <w:lang w:eastAsia="bg-BG" w:bidi="bg-BG"/>
        </w:rPr>
      </w:pPr>
      <w:r>
        <w:rPr>
          <w:noProof/>
          <w:lang w:eastAsia="bg-BG" w:bidi="bg-BG"/>
        </w:rPr>
        <w:t>2.2.3.</w:t>
      </w:r>
      <w:r>
        <w:rPr>
          <w:noProof/>
          <w:lang w:eastAsia="bg-BG" w:bidi="bg-BG"/>
        </w:rPr>
        <w:tab/>
        <w:t>Разходи за контрола и ползи от него и вероятен процент на нарушенията</w:t>
      </w:r>
    </w:p>
    <w:p w:rsidR="005A6CB7" w:rsidRDefault="00C93832">
      <w:pPr>
        <w:pStyle w:val="Text1"/>
        <w:rPr>
          <w:noProof/>
          <w:lang w:eastAsia="bg-BG" w:bidi="bg-BG"/>
        </w:rPr>
      </w:pPr>
      <w:r>
        <w:rPr>
          <w:noProof/>
          <w:lang w:eastAsia="bg-BG" w:bidi="bg-BG"/>
        </w:rPr>
        <w:t>Основните разходи за Комисията, свързани с методите за проверка и контрол, са описани в таблица 3.2.1. Освен това съществуват и разходи за Евр</w:t>
      </w:r>
      <w:r>
        <w:rPr>
          <w:noProof/>
          <w:lang w:eastAsia="bg-BG" w:bidi="bg-BG"/>
        </w:rPr>
        <w:t>опейската сметна палата и за евентуалните намеси на OLAF. Оперативната оценка, извършена от службите на Комисията през 2015</w:t>
      </w:r>
      <w:r>
        <w:rPr>
          <w:noProof/>
          <w:lang w:val="fr-FR" w:eastAsia="bg-BG" w:bidi="bg-BG"/>
        </w:rPr>
        <w:t> </w:t>
      </w:r>
      <w:r>
        <w:rPr>
          <w:noProof/>
          <w:lang w:eastAsia="bg-BG" w:bidi="bg-BG"/>
        </w:rPr>
        <w:t>г., не само помага за оценката на риска от неправомерно използване на средствата, но като допълнителна полза тя предоставя полезна и</w:t>
      </w:r>
      <w:r>
        <w:rPr>
          <w:noProof/>
          <w:lang w:eastAsia="bg-BG" w:bidi="bg-BG"/>
        </w:rPr>
        <w:t xml:space="preserve">нформация относно необходимите реформи в областта на управлението на публичните финанси, която впоследствие може да бъде отразена в условията на политиката на операцията. По отношение на вероятния процент на нарушенията, рискът (под формата на неизплащане </w:t>
      </w:r>
      <w:r>
        <w:rPr>
          <w:noProof/>
          <w:lang w:eastAsia="bg-BG" w:bidi="bg-BG"/>
        </w:rPr>
        <w:t xml:space="preserve">на заема или злоупотреба със средства) се оценява като нисък въз основа на опита, натрупан от създаването на инструмента за МФП. </w:t>
      </w:r>
    </w:p>
    <w:p w:rsidR="005A6CB7" w:rsidRDefault="00C93832">
      <w:pPr>
        <w:pStyle w:val="ManualHeading2"/>
        <w:rPr>
          <w:noProof/>
          <w:lang w:eastAsia="bg-BG" w:bidi="bg-BG"/>
        </w:rPr>
      </w:pPr>
      <w:r>
        <w:rPr>
          <w:noProof/>
          <w:lang w:eastAsia="bg-BG" w:bidi="bg-BG"/>
        </w:rPr>
        <w:t>2.3.</w:t>
      </w:r>
      <w:r>
        <w:rPr>
          <w:noProof/>
          <w:lang w:eastAsia="bg-BG" w:bidi="bg-BG"/>
        </w:rPr>
        <w:tab/>
        <w:t xml:space="preserve">Мерки за предотвратяване на измами и нередности </w:t>
      </w:r>
    </w:p>
    <w:p w:rsidR="005A6CB7" w:rsidRDefault="00C93832">
      <w:pPr>
        <w:pStyle w:val="Text1"/>
        <w:rPr>
          <w:noProof/>
          <w:lang w:eastAsia="bg-BG" w:bidi="bg-BG"/>
        </w:rPr>
      </w:pPr>
      <w:r>
        <w:rPr>
          <w:noProof/>
          <w:lang w:eastAsia="bg-BG" w:bidi="bg-BG"/>
        </w:rPr>
        <w:t>За намаляване на риска от неправомерно използване ще бъдат предприети ня</w:t>
      </w:r>
      <w:r>
        <w:rPr>
          <w:noProof/>
          <w:lang w:eastAsia="bg-BG" w:bidi="bg-BG"/>
        </w:rPr>
        <w:t xml:space="preserve">колко мерки: </w:t>
      </w:r>
    </w:p>
    <w:p w:rsidR="005A6CB7" w:rsidRDefault="00C93832">
      <w:pPr>
        <w:pStyle w:val="Text1"/>
        <w:rPr>
          <w:noProof/>
          <w:lang w:eastAsia="bg-BG" w:bidi="bg-BG"/>
        </w:rPr>
      </w:pPr>
      <w:r>
        <w:rPr>
          <w:noProof/>
          <w:lang w:eastAsia="bg-BG" w:bidi="bg-BG"/>
        </w:rPr>
        <w:t>На първо място, Меморандумът за разбирателство и Споразумението за заем ще обхващат набор от разпоредби, свързани с провеждането на проверки, предотвратяването на измами, одитите и възстановяването на средства в случай на измама или корупция.</w:t>
      </w:r>
      <w:r>
        <w:rPr>
          <w:noProof/>
          <w:lang w:eastAsia="bg-BG" w:bidi="bg-BG"/>
        </w:rPr>
        <w:t xml:space="preserve"> Освен това помощта ще се изплаща по специална сметка в Централната банка на Тунис. </w:t>
      </w:r>
    </w:p>
    <w:p w:rsidR="005A6CB7" w:rsidRDefault="00C93832">
      <w:pPr>
        <w:pStyle w:val="Text1"/>
        <w:rPr>
          <w:noProof/>
          <w:lang w:eastAsia="bg-BG" w:bidi="bg-BG"/>
        </w:rPr>
      </w:pPr>
      <w:r>
        <w:rPr>
          <w:noProof/>
          <w:lang w:eastAsia="bg-BG" w:bidi="bg-BG"/>
        </w:rPr>
        <w:t>Нещо повече, през януари 2014 г. с помощта на външни консултанти службите на Комисията извършиха оперативна оценка, с цел да се прецени надеждността на финансовите процеси</w:t>
      </w:r>
      <w:r>
        <w:rPr>
          <w:noProof/>
          <w:lang w:eastAsia="bg-BG" w:bidi="bg-BG"/>
        </w:rPr>
        <w:t xml:space="preserve"> и административните процедури, свързани с този вид помощ. Заключението в тази оценка гласеше, че рамката за добро финансово управление на макрофинансовата помощ в Тунис е достатъчно ефективна. Комисията отрази някои от препоръките в оперативната оценка в </w:t>
      </w:r>
      <w:r>
        <w:rPr>
          <w:noProof/>
          <w:lang w:eastAsia="bg-BG" w:bidi="bg-BG"/>
        </w:rPr>
        <w:t>условията, свързани с реформата в управлението на публичните финанси, включени в програмата за МФП-I, и възнамерява да ги вземе предвид в условията, свързани с предложената нова МФП. Комисията също така използва други операции за бюджетна подкрепа, за да п</w:t>
      </w:r>
      <w:r>
        <w:rPr>
          <w:noProof/>
          <w:lang w:eastAsia="bg-BG" w:bidi="bg-BG"/>
        </w:rPr>
        <w:t xml:space="preserve">омогне на тунизийските органи да подобрят техните системи за управление на публичните финанси, като тези усилия са подкрепени също така и от други донори. </w:t>
      </w:r>
    </w:p>
    <w:p w:rsidR="005A6CB7" w:rsidRDefault="00C93832">
      <w:pPr>
        <w:pStyle w:val="Text1"/>
        <w:rPr>
          <w:noProof/>
          <w:lang w:eastAsia="bg-BG" w:bidi="bg-BG"/>
        </w:rPr>
      </w:pPr>
      <w:r>
        <w:rPr>
          <w:noProof/>
          <w:lang w:eastAsia="bg-BG" w:bidi="bg-BG"/>
        </w:rPr>
        <w:t>Накрая, макрофинансовата помощ ще подлежи на процедурите по проверка, контрол и одит, за чието извър</w:t>
      </w:r>
      <w:r>
        <w:rPr>
          <w:noProof/>
          <w:lang w:eastAsia="bg-BG" w:bidi="bg-BG"/>
        </w:rPr>
        <w:t>шване е отговорна Комисията, включително Европейската служба за борба с измамите (OLAF) и Европейската сметна палата.</w:t>
      </w:r>
    </w:p>
    <w:p w:rsidR="005A6CB7" w:rsidRDefault="00C93832">
      <w:pPr>
        <w:keepNext/>
        <w:tabs>
          <w:tab w:val="left" w:pos="850"/>
        </w:tabs>
        <w:spacing w:before="360"/>
        <w:ind w:left="850" w:hanging="850"/>
        <w:outlineLvl w:val="0"/>
        <w:rPr>
          <w:b/>
          <w:smallCaps/>
          <w:noProof/>
          <w:lang w:eastAsia="bg-BG" w:bidi="bg-BG"/>
        </w:rPr>
      </w:pPr>
      <w:r>
        <w:rPr>
          <w:b/>
          <w:smallCaps/>
          <w:noProof/>
          <w:lang w:eastAsia="bg-BG" w:bidi="bg-BG"/>
        </w:rPr>
        <w:t>3.</w:t>
      </w:r>
      <w:r>
        <w:rPr>
          <w:b/>
          <w:smallCaps/>
          <w:noProof/>
          <w:lang w:eastAsia="bg-BG" w:bidi="bg-BG"/>
        </w:rPr>
        <w:tab/>
        <w:t xml:space="preserve">ОЧАКВАНО ФИНАНСОВО ОТРАЖЕНИЕ НА ПРЕДЛОЖЕНИЕТО/ИНИЦИАТИВАТА </w:t>
      </w:r>
    </w:p>
    <w:p w:rsidR="005A6CB7" w:rsidRDefault="00C93832">
      <w:pPr>
        <w:pStyle w:val="ManualHeading2"/>
        <w:rPr>
          <w:noProof/>
          <w:lang w:eastAsia="bg-BG" w:bidi="bg-BG"/>
        </w:rPr>
      </w:pPr>
      <w:r>
        <w:rPr>
          <w:noProof/>
          <w:lang w:eastAsia="bg-BG" w:bidi="bg-BG"/>
        </w:rPr>
        <w:t>3.1.</w:t>
      </w:r>
      <w:r>
        <w:rPr>
          <w:noProof/>
          <w:lang w:eastAsia="bg-BG" w:bidi="bg-BG"/>
        </w:rPr>
        <w:tab/>
        <w:t>Съответни функции от многогодишната финансова рамка и разходни бюджетн</w:t>
      </w:r>
      <w:r>
        <w:rPr>
          <w:noProof/>
          <w:lang w:eastAsia="bg-BG" w:bidi="bg-BG"/>
        </w:rPr>
        <w:t xml:space="preserve">и редове </w:t>
      </w:r>
    </w:p>
    <w:p w:rsidR="005A6CB7" w:rsidRDefault="00C93832">
      <w:pPr>
        <w:pStyle w:val="ListBullet1"/>
        <w:rPr>
          <w:noProof/>
          <w:lang w:eastAsia="bg-BG" w:bidi="bg-BG"/>
        </w:rPr>
      </w:pPr>
      <w:r>
        <w:rPr>
          <w:noProof/>
          <w:lang w:eastAsia="bg-BG" w:bidi="bg-BG"/>
        </w:rPr>
        <w:t>Съществуващи бюджетни редове</w:t>
      </w:r>
    </w:p>
    <w:p w:rsidR="005A6CB7" w:rsidRDefault="00C93832">
      <w:pPr>
        <w:pStyle w:val="Text1"/>
        <w:rPr>
          <w:noProof/>
          <w:lang w:eastAsia="bg-BG" w:bidi="bg-BG"/>
        </w:rPr>
      </w:pPr>
      <w:r>
        <w:rPr>
          <w:noProof/>
          <w:lang w:eastAsia="bg-BG" w:bidi="bg-BG"/>
        </w:rPr>
        <w:t>01 03 02: Макрофинансова помощ</w:t>
      </w:r>
    </w:p>
    <w:p w:rsidR="005A6CB7" w:rsidRDefault="00C93832">
      <w:pPr>
        <w:pStyle w:val="Text1"/>
        <w:rPr>
          <w:noProof/>
          <w:lang w:eastAsia="bg-BG" w:bidi="bg-BG"/>
        </w:rPr>
      </w:pPr>
      <w:r>
        <w:rPr>
          <w:noProof/>
          <w:lang w:eastAsia="bg-BG" w:bidi="bg-BG"/>
        </w:rPr>
        <w:t>01 04 01 14 ― Обезпечаване на Гаранционния фонд</w:t>
      </w:r>
    </w:p>
    <w:p w:rsidR="005A6CB7" w:rsidRDefault="00C93832">
      <w:pPr>
        <w:pStyle w:val="Text1"/>
        <w:rPr>
          <w:noProof/>
          <w:lang w:eastAsia="bg-BG" w:bidi="bg-BG"/>
        </w:rPr>
      </w:pPr>
      <w:r>
        <w:rPr>
          <w:noProof/>
          <w:u w:val="single"/>
          <w:lang w:eastAsia="bg-BG" w:bidi="bg-BG"/>
        </w:rPr>
        <w:t>По реда</w:t>
      </w:r>
      <w:r>
        <w:rPr>
          <w:noProof/>
          <w:lang w:eastAsia="bg-BG" w:bidi="bg-BG"/>
        </w:rPr>
        <w:t xml:space="preserve"> на функциите от многогодишната финансова рамка и на бюджетните редове.</w:t>
      </w:r>
    </w:p>
    <w:p w:rsidR="005A6CB7" w:rsidRDefault="005A6CB7">
      <w:pPr>
        <w:ind w:left="850"/>
        <w:rPr>
          <w:noProof/>
          <w:lang w:eastAsia="bg-BG" w:bidi="bg-B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rsidR="005A6CB7">
        <w:tc>
          <w:tcPr>
            <w:tcW w:w="1134" w:type="dxa"/>
            <w:vMerge w:val="restart"/>
            <w:vAlign w:val="center"/>
          </w:tcPr>
          <w:p w:rsidR="005A6CB7" w:rsidRDefault="00C93832">
            <w:pPr>
              <w:spacing w:before="60" w:after="60"/>
              <w:jc w:val="center"/>
              <w:rPr>
                <w:noProof/>
                <w:lang w:eastAsia="bg-BG" w:bidi="bg-BG"/>
              </w:rPr>
            </w:pPr>
            <w:r>
              <w:rPr>
                <w:noProof/>
                <w:sz w:val="18"/>
                <w:lang w:eastAsia="bg-BG" w:bidi="bg-BG"/>
              </w:rPr>
              <w:t>Функция от многогодишната финансова рамка</w:t>
            </w:r>
          </w:p>
        </w:tc>
        <w:tc>
          <w:tcPr>
            <w:tcW w:w="1985" w:type="dxa"/>
            <w:vAlign w:val="center"/>
          </w:tcPr>
          <w:p w:rsidR="005A6CB7" w:rsidRDefault="00C93832">
            <w:pPr>
              <w:spacing w:before="60" w:after="60"/>
              <w:jc w:val="center"/>
              <w:rPr>
                <w:noProof/>
                <w:lang w:eastAsia="bg-BG" w:bidi="bg-BG"/>
              </w:rPr>
            </w:pPr>
            <w:r>
              <w:rPr>
                <w:noProof/>
                <w:sz w:val="20"/>
                <w:lang w:eastAsia="bg-BG" w:bidi="bg-BG"/>
              </w:rPr>
              <w:t>Бюджетен ред</w:t>
            </w:r>
          </w:p>
        </w:tc>
        <w:tc>
          <w:tcPr>
            <w:tcW w:w="1276" w:type="dxa"/>
            <w:vAlign w:val="center"/>
          </w:tcPr>
          <w:p w:rsidR="005A6CB7" w:rsidRDefault="00C93832">
            <w:pPr>
              <w:spacing w:before="60" w:after="60"/>
              <w:jc w:val="center"/>
              <w:rPr>
                <w:noProof/>
                <w:lang w:eastAsia="bg-BG" w:bidi="bg-BG"/>
              </w:rPr>
            </w:pPr>
            <w:r>
              <w:rPr>
                <w:noProof/>
                <w:sz w:val="18"/>
                <w:lang w:eastAsia="bg-BG" w:bidi="bg-BG"/>
              </w:rPr>
              <w:t>Вид</w:t>
            </w:r>
            <w:r>
              <w:rPr>
                <w:noProof/>
                <w:sz w:val="18"/>
                <w:lang w:eastAsia="bg-BG" w:bidi="bg-BG"/>
              </w:rPr>
              <w:t xml:space="preserve"> разход</w:t>
            </w:r>
          </w:p>
        </w:tc>
        <w:tc>
          <w:tcPr>
            <w:tcW w:w="4677" w:type="dxa"/>
            <w:gridSpan w:val="4"/>
            <w:vAlign w:val="center"/>
          </w:tcPr>
          <w:p w:rsidR="005A6CB7" w:rsidRDefault="00C93832">
            <w:pPr>
              <w:spacing w:before="60" w:after="60"/>
              <w:jc w:val="center"/>
              <w:rPr>
                <w:noProof/>
                <w:lang w:eastAsia="bg-BG" w:bidi="bg-BG"/>
              </w:rPr>
            </w:pPr>
            <w:r>
              <w:rPr>
                <w:noProof/>
                <w:sz w:val="20"/>
                <w:lang w:eastAsia="bg-BG" w:bidi="bg-BG"/>
              </w:rPr>
              <w:t xml:space="preserve">Вноска </w:t>
            </w:r>
          </w:p>
        </w:tc>
      </w:tr>
      <w:tr w:rsidR="005A6CB7">
        <w:tc>
          <w:tcPr>
            <w:tcW w:w="1134" w:type="dxa"/>
            <w:vMerge/>
            <w:vAlign w:val="center"/>
          </w:tcPr>
          <w:p w:rsidR="005A6CB7" w:rsidRDefault="005A6CB7">
            <w:pPr>
              <w:jc w:val="center"/>
              <w:rPr>
                <w:noProof/>
                <w:lang w:eastAsia="bg-BG" w:bidi="bg-BG"/>
              </w:rPr>
            </w:pPr>
          </w:p>
        </w:tc>
        <w:tc>
          <w:tcPr>
            <w:tcW w:w="1985" w:type="dxa"/>
            <w:vAlign w:val="center"/>
          </w:tcPr>
          <w:p w:rsidR="005A6CB7" w:rsidRDefault="00C93832">
            <w:pPr>
              <w:rPr>
                <w:noProof/>
                <w:lang w:eastAsia="bg-BG" w:bidi="bg-BG"/>
              </w:rPr>
            </w:pPr>
            <w:r>
              <w:rPr>
                <w:noProof/>
                <w:sz w:val="20"/>
                <w:lang w:eastAsia="bg-BG" w:bidi="bg-BG"/>
              </w:rPr>
              <w:t xml:space="preserve">Номер </w:t>
            </w:r>
            <w:r>
              <w:rPr>
                <w:noProof/>
                <w:sz w:val="20"/>
                <w:lang w:eastAsia="bg-BG" w:bidi="bg-BG"/>
              </w:rPr>
              <w:br/>
              <w:t>[Описание………………...……….]</w:t>
            </w:r>
          </w:p>
        </w:tc>
        <w:tc>
          <w:tcPr>
            <w:tcW w:w="1276" w:type="dxa"/>
            <w:vAlign w:val="center"/>
          </w:tcPr>
          <w:p w:rsidR="005A6CB7" w:rsidRDefault="00C93832">
            <w:pPr>
              <w:jc w:val="center"/>
              <w:rPr>
                <w:noProof/>
                <w:lang w:eastAsia="bg-BG" w:bidi="bg-BG"/>
              </w:rPr>
            </w:pPr>
            <w:r>
              <w:rPr>
                <w:noProof/>
                <w:sz w:val="18"/>
                <w:lang w:eastAsia="bg-BG" w:bidi="bg-BG"/>
              </w:rPr>
              <w:t>Многогод./</w:t>
            </w:r>
            <w:r>
              <w:rPr>
                <w:noProof/>
                <w:sz w:val="18"/>
                <w:lang w:eastAsia="bg-BG" w:bidi="bg-BG"/>
              </w:rPr>
              <w:br/>
              <w:t>едногод.</w:t>
            </w:r>
            <w:r>
              <w:rPr>
                <w:noProof/>
                <w:sz w:val="18"/>
                <w:vertAlign w:val="superscript"/>
                <w:lang w:eastAsia="bg-BG" w:bidi="bg-BG"/>
              </w:rPr>
              <w:t>(</w:t>
            </w:r>
            <w:r>
              <w:rPr>
                <w:rStyle w:val="FootnoteReference"/>
                <w:noProof/>
              </w:rPr>
              <w:footnoteReference w:id="15"/>
            </w:r>
            <w:r>
              <w:rPr>
                <w:noProof/>
                <w:sz w:val="18"/>
                <w:vertAlign w:val="superscript"/>
                <w:lang w:eastAsia="bg-BG" w:bidi="bg-BG"/>
              </w:rPr>
              <w:t>)</w:t>
            </w:r>
          </w:p>
          <w:p w:rsidR="005A6CB7" w:rsidRDefault="005A6CB7">
            <w:pPr>
              <w:jc w:val="center"/>
              <w:rPr>
                <w:noProof/>
                <w:lang w:eastAsia="bg-BG" w:bidi="bg-BG"/>
              </w:rPr>
            </w:pPr>
          </w:p>
        </w:tc>
        <w:tc>
          <w:tcPr>
            <w:tcW w:w="1134" w:type="dxa"/>
            <w:vAlign w:val="center"/>
          </w:tcPr>
          <w:p w:rsidR="005A6CB7" w:rsidRDefault="00C93832">
            <w:pPr>
              <w:jc w:val="center"/>
              <w:rPr>
                <w:noProof/>
                <w:lang w:eastAsia="bg-BG" w:bidi="bg-BG"/>
              </w:rPr>
            </w:pPr>
            <w:r>
              <w:rPr>
                <w:noProof/>
                <w:sz w:val="18"/>
                <w:lang w:eastAsia="bg-BG" w:bidi="bg-BG"/>
              </w:rPr>
              <w:t>от държави от ЕАСТ</w:t>
            </w:r>
            <w:r>
              <w:rPr>
                <w:rStyle w:val="FootnoteReference"/>
                <w:noProof/>
              </w:rPr>
              <w:footnoteReference w:id="16"/>
            </w:r>
          </w:p>
          <w:p w:rsidR="005A6CB7" w:rsidRDefault="005A6CB7">
            <w:pPr>
              <w:jc w:val="center"/>
              <w:rPr>
                <w:b/>
                <w:noProof/>
                <w:sz w:val="18"/>
                <w:lang w:eastAsia="bg-BG" w:bidi="bg-BG"/>
              </w:rPr>
            </w:pPr>
          </w:p>
        </w:tc>
        <w:tc>
          <w:tcPr>
            <w:tcW w:w="1275" w:type="dxa"/>
            <w:vAlign w:val="center"/>
          </w:tcPr>
          <w:p w:rsidR="005A6CB7" w:rsidRDefault="00C93832">
            <w:pPr>
              <w:jc w:val="center"/>
              <w:rPr>
                <w:noProof/>
                <w:lang w:eastAsia="bg-BG" w:bidi="bg-BG"/>
              </w:rPr>
            </w:pPr>
            <w:r>
              <w:rPr>
                <w:noProof/>
                <w:sz w:val="18"/>
                <w:lang w:eastAsia="bg-BG" w:bidi="bg-BG"/>
              </w:rPr>
              <w:t>от държави кандидатки</w:t>
            </w:r>
            <w:r>
              <w:rPr>
                <w:rStyle w:val="FootnoteReference"/>
                <w:noProof/>
              </w:rPr>
              <w:footnoteReference w:id="17"/>
            </w:r>
          </w:p>
          <w:p w:rsidR="005A6CB7" w:rsidRDefault="005A6CB7">
            <w:pPr>
              <w:jc w:val="center"/>
              <w:rPr>
                <w:noProof/>
                <w:sz w:val="18"/>
                <w:lang w:eastAsia="bg-BG" w:bidi="bg-BG"/>
              </w:rPr>
            </w:pPr>
          </w:p>
        </w:tc>
        <w:tc>
          <w:tcPr>
            <w:tcW w:w="1134" w:type="dxa"/>
            <w:vAlign w:val="center"/>
          </w:tcPr>
          <w:p w:rsidR="005A6CB7" w:rsidRDefault="00C93832">
            <w:pPr>
              <w:jc w:val="center"/>
              <w:rPr>
                <w:noProof/>
                <w:lang w:eastAsia="bg-BG" w:bidi="bg-BG"/>
              </w:rPr>
            </w:pPr>
            <w:r>
              <w:rPr>
                <w:noProof/>
                <w:sz w:val="18"/>
                <w:lang w:eastAsia="bg-BG" w:bidi="bg-BG"/>
              </w:rPr>
              <w:t>от трети държави</w:t>
            </w:r>
          </w:p>
        </w:tc>
        <w:tc>
          <w:tcPr>
            <w:tcW w:w="1134" w:type="dxa"/>
            <w:vAlign w:val="center"/>
          </w:tcPr>
          <w:p w:rsidR="005A6CB7" w:rsidRDefault="00C93832">
            <w:pPr>
              <w:jc w:val="center"/>
              <w:rPr>
                <w:noProof/>
                <w:lang w:eastAsia="bg-BG" w:bidi="bg-BG"/>
              </w:rPr>
            </w:pPr>
            <w:r>
              <w:rPr>
                <w:noProof/>
                <w:sz w:val="16"/>
                <w:lang w:eastAsia="bg-BG" w:bidi="bg-BG"/>
              </w:rPr>
              <w:t xml:space="preserve">по смисъла на член 18, параграф 1, буква аа) от Финансовия регламент </w:t>
            </w:r>
          </w:p>
        </w:tc>
      </w:tr>
      <w:tr w:rsidR="005A6CB7">
        <w:tc>
          <w:tcPr>
            <w:tcW w:w="1134" w:type="dxa"/>
            <w:vAlign w:val="center"/>
          </w:tcPr>
          <w:p w:rsidR="005A6CB7" w:rsidRDefault="00C93832">
            <w:pPr>
              <w:jc w:val="center"/>
              <w:rPr>
                <w:noProof/>
                <w:lang w:eastAsia="bg-BG" w:bidi="bg-BG"/>
              </w:rPr>
            </w:pPr>
            <w:r>
              <w:rPr>
                <w:noProof/>
                <w:lang w:eastAsia="bg-BG" w:bidi="bg-BG"/>
              </w:rPr>
              <w:t>4</w:t>
            </w:r>
          </w:p>
        </w:tc>
        <w:tc>
          <w:tcPr>
            <w:tcW w:w="1985" w:type="dxa"/>
            <w:vAlign w:val="center"/>
          </w:tcPr>
          <w:p w:rsidR="005A6CB7" w:rsidRDefault="00C93832">
            <w:pPr>
              <w:autoSpaceDE w:val="0"/>
              <w:autoSpaceDN w:val="0"/>
              <w:adjustRightInd w:val="0"/>
              <w:spacing w:before="0" w:after="0"/>
              <w:jc w:val="left"/>
              <w:rPr>
                <w:rFonts w:ascii="TimesNewRoman" w:hAnsi="TimesNewRoman" w:cs="TimesNewRoman"/>
                <w:noProof/>
                <w:sz w:val="23"/>
                <w:szCs w:val="23"/>
                <w:lang w:eastAsia="bg-BG" w:bidi="bg-BG"/>
              </w:rPr>
            </w:pPr>
            <w:r>
              <w:rPr>
                <w:rFonts w:ascii="TimesNewRoman" w:hAnsi="TimesNewRoman"/>
                <w:noProof/>
                <w:sz w:val="23"/>
                <w:lang w:eastAsia="bg-BG" w:bidi="bg-BG"/>
              </w:rPr>
              <w:t>01 03 02 01</w:t>
            </w:r>
          </w:p>
          <w:p w:rsidR="005A6CB7" w:rsidRDefault="00C93832">
            <w:pPr>
              <w:spacing w:after="60"/>
              <w:rPr>
                <w:noProof/>
                <w:lang w:eastAsia="bg-BG" w:bidi="bg-BG"/>
              </w:rPr>
            </w:pPr>
            <w:r>
              <w:rPr>
                <w:noProof/>
                <w:spacing w:val="-6"/>
                <w:lang w:eastAsia="bg-BG" w:bidi="bg-BG"/>
              </w:rPr>
              <w:t>Макрофинансова помощ</w:t>
            </w:r>
          </w:p>
        </w:tc>
        <w:tc>
          <w:tcPr>
            <w:tcW w:w="1276" w:type="dxa"/>
            <w:vAlign w:val="center"/>
          </w:tcPr>
          <w:p w:rsidR="005A6CB7" w:rsidRDefault="00C93832">
            <w:pPr>
              <w:jc w:val="center"/>
              <w:rPr>
                <w:noProof/>
                <w:spacing w:val="-6"/>
                <w:lang w:eastAsia="bg-BG" w:bidi="bg-BG"/>
              </w:rPr>
            </w:pPr>
            <w:r>
              <w:rPr>
                <w:noProof/>
                <w:spacing w:val="-6"/>
                <w:lang w:eastAsia="bg-BG" w:bidi="bg-BG"/>
              </w:rPr>
              <w:t>Многогод.</w:t>
            </w:r>
          </w:p>
        </w:tc>
        <w:tc>
          <w:tcPr>
            <w:tcW w:w="1134" w:type="dxa"/>
            <w:vAlign w:val="center"/>
          </w:tcPr>
          <w:p w:rsidR="005A6CB7" w:rsidRDefault="00C93832">
            <w:pPr>
              <w:jc w:val="center"/>
              <w:rPr>
                <w:noProof/>
                <w:lang w:eastAsia="bg-BG" w:bidi="bg-BG"/>
              </w:rPr>
            </w:pPr>
            <w:r>
              <w:rPr>
                <w:noProof/>
                <w:lang w:eastAsia="bg-BG" w:bidi="bg-BG"/>
              </w:rPr>
              <w:t>НЕ</w:t>
            </w:r>
          </w:p>
        </w:tc>
        <w:tc>
          <w:tcPr>
            <w:tcW w:w="1275" w:type="dxa"/>
            <w:vAlign w:val="center"/>
          </w:tcPr>
          <w:p w:rsidR="005A6CB7" w:rsidRDefault="00C93832">
            <w:pPr>
              <w:jc w:val="center"/>
              <w:rPr>
                <w:noProof/>
                <w:lang w:eastAsia="bg-BG" w:bidi="bg-BG"/>
              </w:rPr>
            </w:pPr>
            <w:r>
              <w:rPr>
                <w:noProof/>
                <w:lang w:eastAsia="bg-BG" w:bidi="bg-BG"/>
              </w:rPr>
              <w:t>НЕ</w:t>
            </w:r>
          </w:p>
        </w:tc>
        <w:tc>
          <w:tcPr>
            <w:tcW w:w="1134" w:type="dxa"/>
            <w:vAlign w:val="center"/>
          </w:tcPr>
          <w:p w:rsidR="005A6CB7" w:rsidRDefault="00C93832">
            <w:pPr>
              <w:jc w:val="center"/>
              <w:rPr>
                <w:noProof/>
                <w:lang w:eastAsia="bg-BG" w:bidi="bg-BG"/>
              </w:rPr>
            </w:pPr>
            <w:r>
              <w:rPr>
                <w:noProof/>
                <w:lang w:eastAsia="bg-BG" w:bidi="bg-BG"/>
              </w:rPr>
              <w:t>НЕ</w:t>
            </w:r>
          </w:p>
        </w:tc>
        <w:tc>
          <w:tcPr>
            <w:tcW w:w="1134" w:type="dxa"/>
            <w:vAlign w:val="center"/>
          </w:tcPr>
          <w:p w:rsidR="005A6CB7" w:rsidRDefault="00C93832">
            <w:pPr>
              <w:jc w:val="center"/>
              <w:rPr>
                <w:noProof/>
                <w:lang w:eastAsia="bg-BG" w:bidi="bg-BG"/>
              </w:rPr>
            </w:pPr>
            <w:r>
              <w:rPr>
                <w:noProof/>
                <w:lang w:eastAsia="bg-BG" w:bidi="bg-BG"/>
              </w:rPr>
              <w:t>НЕ</w:t>
            </w:r>
          </w:p>
        </w:tc>
      </w:tr>
      <w:tr w:rsidR="005A6CB7">
        <w:tc>
          <w:tcPr>
            <w:tcW w:w="1134" w:type="dxa"/>
            <w:vAlign w:val="center"/>
          </w:tcPr>
          <w:p w:rsidR="005A6CB7" w:rsidRDefault="00C93832">
            <w:pPr>
              <w:jc w:val="center"/>
              <w:rPr>
                <w:noProof/>
                <w:lang w:eastAsia="bg-BG" w:bidi="bg-BG"/>
              </w:rPr>
            </w:pPr>
            <w:r>
              <w:rPr>
                <w:noProof/>
                <w:lang w:eastAsia="bg-BG" w:bidi="bg-BG"/>
              </w:rPr>
              <w:t>4</w:t>
            </w:r>
          </w:p>
        </w:tc>
        <w:tc>
          <w:tcPr>
            <w:tcW w:w="1985" w:type="dxa"/>
            <w:vAlign w:val="center"/>
          </w:tcPr>
          <w:p w:rsidR="005A6CB7" w:rsidRDefault="00C93832">
            <w:pPr>
              <w:spacing w:before="60"/>
              <w:jc w:val="left"/>
              <w:rPr>
                <w:noProof/>
                <w:lang w:eastAsia="bg-BG" w:bidi="bg-BG"/>
              </w:rPr>
            </w:pPr>
            <w:r>
              <w:rPr>
                <w:noProof/>
                <w:lang w:eastAsia="bg-BG" w:bidi="bg-BG"/>
              </w:rPr>
              <w:t xml:space="preserve">01 04 01 14 </w:t>
            </w:r>
          </w:p>
          <w:p w:rsidR="005A6CB7" w:rsidRDefault="00C93832">
            <w:pPr>
              <w:spacing w:before="60"/>
              <w:jc w:val="left"/>
              <w:rPr>
                <w:noProof/>
                <w:lang w:eastAsia="bg-BG" w:bidi="bg-BG"/>
              </w:rPr>
            </w:pPr>
            <w:r>
              <w:rPr>
                <w:noProof/>
                <w:lang w:eastAsia="bg-BG" w:bidi="bg-BG"/>
              </w:rPr>
              <w:t>Обезпечаване на Гаранционния фонд</w:t>
            </w:r>
          </w:p>
        </w:tc>
        <w:tc>
          <w:tcPr>
            <w:tcW w:w="1276" w:type="dxa"/>
            <w:vAlign w:val="center"/>
          </w:tcPr>
          <w:p w:rsidR="005A6CB7" w:rsidRDefault="00C93832">
            <w:pPr>
              <w:jc w:val="center"/>
              <w:rPr>
                <w:noProof/>
                <w:spacing w:val="-6"/>
                <w:lang w:eastAsia="bg-BG" w:bidi="bg-BG"/>
              </w:rPr>
            </w:pPr>
            <w:r>
              <w:rPr>
                <w:noProof/>
                <w:spacing w:val="-6"/>
                <w:lang w:eastAsia="bg-BG" w:bidi="bg-BG"/>
              </w:rPr>
              <w:t>Многогод.</w:t>
            </w:r>
          </w:p>
        </w:tc>
        <w:tc>
          <w:tcPr>
            <w:tcW w:w="1134" w:type="dxa"/>
            <w:vAlign w:val="center"/>
          </w:tcPr>
          <w:p w:rsidR="005A6CB7" w:rsidRDefault="00C93832">
            <w:pPr>
              <w:jc w:val="center"/>
              <w:rPr>
                <w:noProof/>
                <w:lang w:eastAsia="bg-BG" w:bidi="bg-BG"/>
              </w:rPr>
            </w:pPr>
            <w:r>
              <w:rPr>
                <w:noProof/>
                <w:lang w:eastAsia="bg-BG" w:bidi="bg-BG"/>
              </w:rPr>
              <w:t>НЕ</w:t>
            </w:r>
          </w:p>
        </w:tc>
        <w:tc>
          <w:tcPr>
            <w:tcW w:w="1275" w:type="dxa"/>
            <w:vAlign w:val="center"/>
          </w:tcPr>
          <w:p w:rsidR="005A6CB7" w:rsidRDefault="00C93832">
            <w:pPr>
              <w:jc w:val="center"/>
              <w:rPr>
                <w:noProof/>
                <w:lang w:eastAsia="bg-BG" w:bidi="bg-BG"/>
              </w:rPr>
            </w:pPr>
            <w:r>
              <w:rPr>
                <w:noProof/>
                <w:lang w:eastAsia="bg-BG" w:bidi="bg-BG"/>
              </w:rPr>
              <w:t>НЕ</w:t>
            </w:r>
          </w:p>
        </w:tc>
        <w:tc>
          <w:tcPr>
            <w:tcW w:w="1134" w:type="dxa"/>
            <w:vAlign w:val="center"/>
          </w:tcPr>
          <w:p w:rsidR="005A6CB7" w:rsidRDefault="00C93832">
            <w:pPr>
              <w:jc w:val="center"/>
              <w:rPr>
                <w:noProof/>
                <w:lang w:eastAsia="bg-BG" w:bidi="bg-BG"/>
              </w:rPr>
            </w:pPr>
            <w:r>
              <w:rPr>
                <w:noProof/>
                <w:lang w:eastAsia="bg-BG" w:bidi="bg-BG"/>
              </w:rPr>
              <w:t>НЕ</w:t>
            </w:r>
          </w:p>
        </w:tc>
        <w:tc>
          <w:tcPr>
            <w:tcW w:w="1134" w:type="dxa"/>
            <w:vAlign w:val="center"/>
          </w:tcPr>
          <w:p w:rsidR="005A6CB7" w:rsidRDefault="00C93832">
            <w:pPr>
              <w:jc w:val="center"/>
              <w:rPr>
                <w:noProof/>
                <w:lang w:eastAsia="bg-BG" w:bidi="bg-BG"/>
              </w:rPr>
            </w:pPr>
            <w:r>
              <w:rPr>
                <w:noProof/>
                <w:lang w:eastAsia="bg-BG" w:bidi="bg-BG"/>
              </w:rPr>
              <w:t>НЕ</w:t>
            </w:r>
          </w:p>
        </w:tc>
      </w:tr>
    </w:tbl>
    <w:p w:rsidR="005A6CB7" w:rsidRDefault="00C93832">
      <w:pPr>
        <w:autoSpaceDE w:val="0"/>
        <w:autoSpaceDN w:val="0"/>
        <w:adjustRightInd w:val="0"/>
        <w:spacing w:before="240"/>
        <w:rPr>
          <w:noProof/>
          <w:lang w:eastAsia="bg-BG" w:bidi="bg-BG"/>
        </w:rPr>
      </w:pPr>
      <w:r>
        <w:rPr>
          <w:noProof/>
          <w:lang w:eastAsia="bg-BG" w:bidi="bg-BG"/>
        </w:rPr>
        <w:t>01 04 01 04 ― Гаранция на Европейския съюз за заеми на ЕС, отпуснати за макрофинансова помощ на трети държави: Финансирането на Гаранционния фонд за външни дейности следва да се извърши съгласно изменения регламент за Фонда. В съответствие с този регламент</w:t>
      </w:r>
      <w:r>
        <w:rPr>
          <w:noProof/>
          <w:lang w:eastAsia="bg-BG" w:bidi="bg-BG"/>
        </w:rPr>
        <w:t xml:space="preserve"> заемите се определят въз основа на неизплатените суми в края на годината. Гаранционният фонд трябва да се осигури, като се използват средствата по бюджетен ред 01 04 01 14 („Обезпечаване на Гаранционния фонд“), в размер на 9 % от общите непогасени задълже</w:t>
      </w:r>
      <w:r>
        <w:rPr>
          <w:noProof/>
          <w:lang w:eastAsia="bg-BG" w:bidi="bg-BG"/>
        </w:rPr>
        <w:t>ния. Размерът на финансирането се изчислява в началото на година „n“ като разликата между целевата сума и нетните активи на Фонда в края на годината „n-1“. Тази сума се въвежда в година „n“ към предварителния бюджет за „n+1“ и се изплаща реално в рамките н</w:t>
      </w:r>
      <w:r>
        <w:rPr>
          <w:noProof/>
          <w:lang w:eastAsia="bg-BG" w:bidi="bg-BG"/>
        </w:rPr>
        <w:t xml:space="preserve">а една операция в началото на година „n+1“ от бюджетен ред „Обезпечаване на Гаранционния фонд“ (бюджетен ред 01 04 01 14). В резултат на това 9 % (не повече от 45 милиона евро) от реално платената сума се отчитат в целевия размер в края на година „n-1“ за </w:t>
      </w:r>
      <w:r>
        <w:rPr>
          <w:noProof/>
          <w:lang w:eastAsia="bg-BG" w:bidi="bg-BG"/>
        </w:rPr>
        <w:t xml:space="preserve">изчисляване на финансирането на Фонда. </w:t>
      </w:r>
    </w:p>
    <w:p w:rsidR="005A6CB7" w:rsidRDefault="00C93832">
      <w:pPr>
        <w:autoSpaceDE w:val="0"/>
        <w:autoSpaceDN w:val="0"/>
        <w:adjustRightInd w:val="0"/>
        <w:rPr>
          <w:noProof/>
          <w:lang w:eastAsia="bg-BG" w:bidi="bg-BG"/>
        </w:rPr>
      </w:pPr>
      <w:r>
        <w:rPr>
          <w:noProof/>
          <w:lang w:eastAsia="bg-BG" w:bidi="bg-BG"/>
        </w:rPr>
        <w:t>Символичният запис („p.m.“), отразяващ бюджетната гаранция за заема, ще бъде използван само в случай на искане за реално задействане на тази гаранция. Не се очаква искане за активиране на бюджетната гаранция.</w:t>
      </w:r>
    </w:p>
    <w:p w:rsidR="005A6CB7" w:rsidRDefault="00C93832">
      <w:pPr>
        <w:pStyle w:val="ManualHeading2"/>
        <w:rPr>
          <w:noProof/>
          <w:lang w:eastAsia="bg-BG" w:bidi="bg-BG"/>
        </w:rPr>
      </w:pPr>
      <w:r>
        <w:rPr>
          <w:noProof/>
          <w:lang w:eastAsia="bg-BG" w:bidi="bg-BG"/>
        </w:rPr>
        <w:sym w:font="Wingdings" w:char="F0A8"/>
      </w:r>
      <w:r>
        <w:rPr>
          <w:noProof/>
          <w:lang w:eastAsia="bg-BG" w:bidi="bg-BG"/>
        </w:rPr>
        <w:sym w:font="Wingdings" w:char="F0A8"/>
      </w:r>
      <w:r>
        <w:rPr>
          <w:noProof/>
          <w:lang w:eastAsia="bg-BG" w:bidi="bg-BG"/>
        </w:rPr>
        <w:t>Необх</w:t>
      </w:r>
      <w:r>
        <w:rPr>
          <w:noProof/>
          <w:lang w:eastAsia="bg-BG" w:bidi="bg-BG"/>
        </w:rPr>
        <w:t>одимост от нови бюджетни редове: не се прилага.</w:t>
      </w:r>
    </w:p>
    <w:p w:rsidR="005A6CB7" w:rsidRDefault="005A6CB7">
      <w:pPr>
        <w:keepNext/>
        <w:tabs>
          <w:tab w:val="left" w:pos="850"/>
        </w:tabs>
        <w:spacing w:before="0" w:after="0"/>
        <w:ind w:left="851" w:hanging="851"/>
        <w:outlineLvl w:val="1"/>
        <w:rPr>
          <w:b/>
          <w:noProof/>
          <w:lang w:eastAsia="bg-BG" w:bidi="bg-BG"/>
        </w:rPr>
      </w:pPr>
    </w:p>
    <w:p w:rsidR="005A6CB7" w:rsidRDefault="00C93832">
      <w:pPr>
        <w:pStyle w:val="ManualHeading2"/>
        <w:spacing w:before="0"/>
        <w:ind w:left="851" w:hanging="851"/>
        <w:rPr>
          <w:noProof/>
          <w:lang w:eastAsia="bg-BG" w:bidi="bg-BG"/>
        </w:rPr>
      </w:pPr>
      <w:r>
        <w:rPr>
          <w:noProof/>
          <w:lang w:eastAsia="bg-BG" w:bidi="bg-BG"/>
        </w:rPr>
        <w:t>3.2.</w:t>
      </w:r>
      <w:r>
        <w:rPr>
          <w:noProof/>
          <w:lang w:eastAsia="bg-BG" w:bidi="bg-BG"/>
        </w:rPr>
        <w:tab/>
        <w:t xml:space="preserve">Очаквано отражение върху разходите </w:t>
      </w:r>
    </w:p>
    <w:p w:rsidR="005A6CB7" w:rsidRDefault="00C93832">
      <w:pPr>
        <w:pStyle w:val="ManualHeading3"/>
        <w:rPr>
          <w:noProof/>
          <w:lang w:eastAsia="bg-BG" w:bidi="bg-BG"/>
        </w:rPr>
      </w:pPr>
      <w:r>
        <w:rPr>
          <w:noProof/>
          <w:lang w:eastAsia="bg-BG" w:bidi="bg-BG"/>
        </w:rPr>
        <w:t>3.2.1.</w:t>
      </w:r>
      <w:r>
        <w:rPr>
          <w:noProof/>
          <w:lang w:eastAsia="bg-BG" w:bidi="bg-BG"/>
        </w:rPr>
        <w:tab/>
        <w:t xml:space="preserve">Обобщение на очакваното отражение върху разходите </w:t>
      </w:r>
    </w:p>
    <w:p w:rsidR="005A6CB7" w:rsidRDefault="00C93832">
      <w:pPr>
        <w:spacing w:before="0"/>
        <w:jc w:val="right"/>
        <w:rPr>
          <w:noProof/>
          <w:sz w:val="4"/>
          <w:szCs w:val="4"/>
          <w:lang w:eastAsia="bg-BG" w:bidi="bg-BG"/>
        </w:rPr>
      </w:pPr>
      <w:r>
        <w:rPr>
          <w:noProof/>
          <w:sz w:val="20"/>
          <w:lang w:eastAsia="bg-BG" w:bidi="bg-BG"/>
        </w:rPr>
        <w:t>млн. EUR (до третия знак след десетичната запетая)</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rsidR="005A6CB7">
        <w:trPr>
          <w:gridAfter w:val="5"/>
          <w:wAfter w:w="3645" w:type="dxa"/>
        </w:trPr>
        <w:tc>
          <w:tcPr>
            <w:tcW w:w="3960" w:type="dxa"/>
          </w:tcPr>
          <w:p w:rsidR="005A6CB7" w:rsidRDefault="00C93832">
            <w:pPr>
              <w:jc w:val="center"/>
              <w:rPr>
                <w:noProof/>
                <w:lang w:eastAsia="bg-BG" w:bidi="bg-BG"/>
              </w:rPr>
            </w:pPr>
            <w:r>
              <w:rPr>
                <w:b/>
                <w:noProof/>
                <w:lang w:eastAsia="bg-BG" w:bidi="bg-BG"/>
              </w:rPr>
              <w:t>Функция от многогодишната финансова рамка:</w:t>
            </w:r>
          </w:p>
        </w:tc>
        <w:tc>
          <w:tcPr>
            <w:tcW w:w="1560" w:type="dxa"/>
            <w:gridSpan w:val="2"/>
          </w:tcPr>
          <w:p w:rsidR="005A6CB7" w:rsidRDefault="00C93832">
            <w:pPr>
              <w:jc w:val="center"/>
              <w:rPr>
                <w:b/>
                <w:noProof/>
                <w:sz w:val="20"/>
                <w:lang w:eastAsia="bg-BG" w:bidi="bg-BG"/>
              </w:rPr>
            </w:pPr>
            <w:r>
              <w:rPr>
                <w:b/>
                <w:noProof/>
                <w:sz w:val="20"/>
                <w:lang w:eastAsia="bg-BG" w:bidi="bg-BG"/>
              </w:rPr>
              <w:br/>
              <w:t>4</w:t>
            </w:r>
          </w:p>
        </w:tc>
        <w:tc>
          <w:tcPr>
            <w:tcW w:w="534" w:type="dxa"/>
          </w:tcPr>
          <w:p w:rsidR="005A6CB7" w:rsidRDefault="005A6CB7">
            <w:pPr>
              <w:jc w:val="center"/>
              <w:rPr>
                <w:noProof/>
                <w:sz w:val="20"/>
                <w:lang w:eastAsia="bg-BG" w:bidi="bg-BG"/>
              </w:rPr>
            </w:pPr>
          </w:p>
        </w:tc>
        <w:tc>
          <w:tcPr>
            <w:tcW w:w="757" w:type="dxa"/>
          </w:tcPr>
          <w:p w:rsidR="005A6CB7" w:rsidRDefault="005A6CB7">
            <w:pPr>
              <w:jc w:val="center"/>
              <w:rPr>
                <w:noProof/>
                <w:lang w:eastAsia="bg-BG" w:bidi="bg-BG"/>
              </w:rPr>
            </w:pP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rsidR="005A6CB7" w:rsidRDefault="00C93832">
            <w:pPr>
              <w:jc w:val="center"/>
              <w:rPr>
                <w:noProof/>
                <w:lang w:eastAsia="bg-BG" w:bidi="bg-BG"/>
              </w:rPr>
            </w:pPr>
            <w:r>
              <w:rPr>
                <w:noProof/>
                <w:sz w:val="22"/>
                <w:lang w:eastAsia="bg-BG" w:bidi="bg-BG"/>
              </w:rPr>
              <w:t xml:space="preserve">ГД: </w:t>
            </w:r>
            <w:r>
              <w:rPr>
                <w:noProof/>
                <w:lang w:eastAsia="bg-BG" w:bidi="bg-BG"/>
              </w:rPr>
              <w:t xml:space="preserve">ГД </w:t>
            </w:r>
            <w:r>
              <w:rPr>
                <w:noProof/>
                <w:lang w:eastAsia="bg-BG" w:bidi="bg-BG"/>
              </w:rPr>
              <w:t>„Икономически и финансови въпроси“</w:t>
            </w:r>
          </w:p>
        </w:tc>
        <w:tc>
          <w:tcPr>
            <w:tcW w:w="1560" w:type="dxa"/>
            <w:gridSpan w:val="2"/>
          </w:tcPr>
          <w:p w:rsidR="005A6CB7" w:rsidRDefault="005A6CB7">
            <w:pPr>
              <w:rPr>
                <w:noProof/>
                <w:sz w:val="20"/>
                <w:lang w:eastAsia="bg-BG" w:bidi="bg-BG"/>
              </w:rPr>
            </w:pPr>
          </w:p>
        </w:tc>
        <w:tc>
          <w:tcPr>
            <w:tcW w:w="534" w:type="dxa"/>
          </w:tcPr>
          <w:p w:rsidR="005A6CB7" w:rsidRDefault="005A6CB7">
            <w:pPr>
              <w:jc w:val="center"/>
              <w:rPr>
                <w:noProof/>
                <w:sz w:val="20"/>
                <w:lang w:eastAsia="bg-BG" w:bidi="bg-BG"/>
              </w:rPr>
            </w:pPr>
          </w:p>
        </w:tc>
        <w:tc>
          <w:tcPr>
            <w:tcW w:w="868" w:type="dxa"/>
            <w:gridSpan w:val="2"/>
            <w:vAlign w:val="center"/>
          </w:tcPr>
          <w:p w:rsidR="005A6CB7" w:rsidRDefault="00C93832">
            <w:pPr>
              <w:jc w:val="center"/>
              <w:rPr>
                <w:noProof/>
                <w:sz w:val="20"/>
                <w:lang w:eastAsia="bg-BG" w:bidi="bg-BG"/>
              </w:rPr>
            </w:pPr>
            <w:r>
              <w:rPr>
                <w:noProof/>
                <w:sz w:val="20"/>
                <w:lang w:eastAsia="bg-BG" w:bidi="bg-BG"/>
              </w:rPr>
              <w:t>Година</w:t>
            </w:r>
            <w:r>
              <w:rPr>
                <w:noProof/>
                <w:sz w:val="20"/>
                <w:lang w:eastAsia="bg-BG" w:bidi="bg-BG"/>
              </w:rPr>
              <w:br/>
            </w:r>
            <w:r>
              <w:rPr>
                <w:b/>
                <w:noProof/>
                <w:sz w:val="20"/>
                <w:lang w:eastAsia="bg-BG" w:bidi="bg-BG"/>
              </w:rPr>
              <w:t>2016</w:t>
            </w:r>
            <w:r>
              <w:rPr>
                <w:rStyle w:val="FootnoteReference"/>
                <w:noProof/>
              </w:rPr>
              <w:footnoteReference w:id="18"/>
            </w:r>
          </w:p>
        </w:tc>
        <w:tc>
          <w:tcPr>
            <w:tcW w:w="868"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2017</w:t>
            </w:r>
          </w:p>
        </w:tc>
        <w:tc>
          <w:tcPr>
            <w:tcW w:w="868"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2018</w:t>
            </w:r>
          </w:p>
        </w:tc>
        <w:tc>
          <w:tcPr>
            <w:tcW w:w="868"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2019</w:t>
            </w:r>
          </w:p>
        </w:tc>
        <w:tc>
          <w:tcPr>
            <w:tcW w:w="930" w:type="dxa"/>
            <w:vAlign w:val="center"/>
          </w:tcPr>
          <w:p w:rsidR="005A6CB7" w:rsidRDefault="00C93832">
            <w:pPr>
              <w:jc w:val="center"/>
              <w:rPr>
                <w:b/>
                <w:noProof/>
                <w:sz w:val="20"/>
                <w:lang w:eastAsia="bg-BG" w:bidi="bg-BG"/>
              </w:rPr>
            </w:pPr>
            <w:r>
              <w:rPr>
                <w:b/>
                <w:noProof/>
                <w:sz w:val="20"/>
                <w:lang w:eastAsia="bg-BG" w:bidi="bg-BG"/>
              </w:rPr>
              <w:t>ОБЩО</w:t>
            </w: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rsidR="005A6CB7" w:rsidRDefault="00C93832">
            <w:pPr>
              <w:spacing w:before="20" w:after="20"/>
              <w:rPr>
                <w:noProof/>
                <w:lang w:eastAsia="bg-BG" w:bidi="bg-BG"/>
              </w:rPr>
            </w:pPr>
            <w:r>
              <w:rPr>
                <w:noProof/>
                <w:sz w:val="21"/>
                <w:szCs w:val="20"/>
                <w:lang w:eastAsia="bg-BG" w:bidi="bg-BG"/>
              </w:rPr>
              <w:sym w:font="Wingdings" w:char="F09F"/>
            </w:r>
            <w:r>
              <w:rPr>
                <w:noProof/>
                <w:sz w:val="21"/>
                <w:lang w:eastAsia="bg-BG" w:bidi="bg-BG"/>
              </w:rPr>
              <w:t xml:space="preserve"> Бюджетни кредити за оперативни разходи</w:t>
            </w:r>
          </w:p>
        </w:tc>
        <w:tc>
          <w:tcPr>
            <w:tcW w:w="868" w:type="dxa"/>
            <w:gridSpan w:val="2"/>
            <w:vAlign w:val="center"/>
          </w:tcPr>
          <w:p w:rsidR="005A6CB7" w:rsidRDefault="005A6CB7">
            <w:pPr>
              <w:rPr>
                <w:noProof/>
                <w:sz w:val="20"/>
                <w:lang w:eastAsia="bg-BG" w:bidi="bg-BG"/>
              </w:rPr>
            </w:pPr>
          </w:p>
        </w:tc>
        <w:tc>
          <w:tcPr>
            <w:tcW w:w="868" w:type="dxa"/>
            <w:vAlign w:val="center"/>
          </w:tcPr>
          <w:p w:rsidR="005A6CB7" w:rsidRDefault="005A6CB7">
            <w:pPr>
              <w:rPr>
                <w:noProof/>
                <w:sz w:val="20"/>
                <w:lang w:eastAsia="bg-BG" w:bidi="bg-BG"/>
              </w:rPr>
            </w:pPr>
          </w:p>
        </w:tc>
        <w:tc>
          <w:tcPr>
            <w:tcW w:w="868" w:type="dxa"/>
            <w:vAlign w:val="center"/>
          </w:tcPr>
          <w:p w:rsidR="005A6CB7" w:rsidRDefault="005A6CB7">
            <w:pPr>
              <w:rPr>
                <w:noProof/>
                <w:sz w:val="20"/>
                <w:lang w:eastAsia="bg-BG" w:bidi="bg-BG"/>
              </w:rPr>
            </w:pPr>
          </w:p>
        </w:tc>
        <w:tc>
          <w:tcPr>
            <w:tcW w:w="868" w:type="dxa"/>
            <w:vAlign w:val="center"/>
          </w:tcPr>
          <w:p w:rsidR="005A6CB7" w:rsidRDefault="005A6CB7">
            <w:pPr>
              <w:rPr>
                <w:noProof/>
                <w:sz w:val="20"/>
                <w:lang w:eastAsia="bg-BG" w:bidi="bg-BG"/>
              </w:rPr>
            </w:pPr>
          </w:p>
        </w:tc>
        <w:tc>
          <w:tcPr>
            <w:tcW w:w="930" w:type="dxa"/>
            <w:vAlign w:val="center"/>
          </w:tcPr>
          <w:p w:rsidR="005A6CB7" w:rsidRDefault="005A6CB7">
            <w:pPr>
              <w:jc w:val="right"/>
              <w:rPr>
                <w:b/>
                <w:noProof/>
                <w:sz w:val="20"/>
                <w:lang w:eastAsia="bg-BG" w:bidi="bg-BG"/>
              </w:rPr>
            </w:pP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rsidR="005A6CB7" w:rsidRDefault="00C93832">
            <w:pPr>
              <w:jc w:val="left"/>
              <w:rPr>
                <w:noProof/>
                <w:sz w:val="20"/>
                <w:szCs w:val="20"/>
                <w:lang w:eastAsia="bg-BG" w:bidi="bg-BG"/>
              </w:rPr>
            </w:pPr>
            <w:r>
              <w:rPr>
                <w:noProof/>
                <w:sz w:val="20"/>
                <w:szCs w:val="20"/>
                <w:lang w:eastAsia="bg-BG" w:bidi="bg-BG"/>
              </w:rPr>
              <w:t>Бюджетен ред 01 04 01 14 Обезпечаване на Гаранционния фонд</w:t>
            </w:r>
          </w:p>
        </w:tc>
        <w:tc>
          <w:tcPr>
            <w:tcW w:w="1440" w:type="dxa"/>
            <w:vAlign w:val="center"/>
          </w:tcPr>
          <w:p w:rsidR="005A6CB7" w:rsidRDefault="00C93832">
            <w:pPr>
              <w:spacing w:before="20" w:after="20"/>
              <w:rPr>
                <w:noProof/>
                <w:lang w:eastAsia="bg-BG" w:bidi="bg-BG"/>
              </w:rPr>
            </w:pPr>
            <w:r>
              <w:rPr>
                <w:noProof/>
                <w:sz w:val="18"/>
                <w:lang w:eastAsia="bg-BG" w:bidi="bg-BG"/>
              </w:rPr>
              <w:t>Поети задължения</w:t>
            </w:r>
          </w:p>
        </w:tc>
        <w:tc>
          <w:tcPr>
            <w:tcW w:w="654" w:type="dxa"/>
            <w:gridSpan w:val="2"/>
            <w:vAlign w:val="center"/>
          </w:tcPr>
          <w:p w:rsidR="005A6CB7" w:rsidRDefault="00C93832">
            <w:pPr>
              <w:spacing w:before="20" w:after="20"/>
              <w:jc w:val="center"/>
              <w:rPr>
                <w:noProof/>
                <w:sz w:val="14"/>
                <w:lang w:eastAsia="bg-BG" w:bidi="bg-BG"/>
              </w:rPr>
            </w:pPr>
            <w:r>
              <w:rPr>
                <w:noProof/>
                <w:sz w:val="14"/>
                <w:lang w:eastAsia="bg-BG" w:bidi="bg-BG"/>
              </w:rPr>
              <w:t>(1a)</w:t>
            </w:r>
          </w:p>
        </w:tc>
        <w:tc>
          <w:tcPr>
            <w:tcW w:w="868" w:type="dxa"/>
            <w:gridSpan w:val="2"/>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31,5</w:t>
            </w: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13,5</w:t>
            </w:r>
          </w:p>
        </w:tc>
        <w:tc>
          <w:tcPr>
            <w:tcW w:w="930" w:type="dxa"/>
            <w:vAlign w:val="center"/>
          </w:tcPr>
          <w:p w:rsidR="005A6CB7" w:rsidRDefault="00C93832">
            <w:pPr>
              <w:spacing w:before="20" w:after="20"/>
              <w:jc w:val="right"/>
              <w:rPr>
                <w:b/>
                <w:noProof/>
                <w:sz w:val="20"/>
                <w:szCs w:val="20"/>
                <w:lang w:eastAsia="bg-BG" w:bidi="bg-BG"/>
              </w:rPr>
            </w:pPr>
            <w:r>
              <w:rPr>
                <w:b/>
                <w:noProof/>
                <w:sz w:val="20"/>
                <w:lang w:eastAsia="bg-BG" w:bidi="bg-BG"/>
              </w:rPr>
              <w:t>45</w:t>
            </w: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rsidR="005A6CB7" w:rsidRDefault="005A6CB7">
            <w:pPr>
              <w:jc w:val="center"/>
              <w:rPr>
                <w:noProof/>
                <w:sz w:val="20"/>
                <w:szCs w:val="20"/>
                <w:lang w:eastAsia="bg-BG" w:bidi="bg-BG"/>
              </w:rPr>
            </w:pPr>
          </w:p>
        </w:tc>
        <w:tc>
          <w:tcPr>
            <w:tcW w:w="1440" w:type="dxa"/>
            <w:vAlign w:val="center"/>
          </w:tcPr>
          <w:p w:rsidR="005A6CB7" w:rsidRDefault="00C93832">
            <w:pPr>
              <w:spacing w:before="20" w:after="20"/>
              <w:rPr>
                <w:noProof/>
                <w:lang w:eastAsia="bg-BG" w:bidi="bg-BG"/>
              </w:rPr>
            </w:pPr>
            <w:r>
              <w:rPr>
                <w:noProof/>
                <w:sz w:val="18"/>
                <w:lang w:eastAsia="bg-BG" w:bidi="bg-BG"/>
              </w:rPr>
              <w:t>Плащания</w:t>
            </w:r>
          </w:p>
        </w:tc>
        <w:tc>
          <w:tcPr>
            <w:tcW w:w="654" w:type="dxa"/>
            <w:gridSpan w:val="2"/>
            <w:vAlign w:val="center"/>
          </w:tcPr>
          <w:p w:rsidR="005A6CB7" w:rsidRDefault="00C93832">
            <w:pPr>
              <w:spacing w:before="20" w:after="20"/>
              <w:jc w:val="center"/>
              <w:rPr>
                <w:noProof/>
                <w:sz w:val="14"/>
                <w:lang w:eastAsia="bg-BG" w:bidi="bg-BG"/>
              </w:rPr>
            </w:pPr>
            <w:r>
              <w:rPr>
                <w:noProof/>
                <w:sz w:val="14"/>
                <w:lang w:eastAsia="bg-BG" w:bidi="bg-BG"/>
              </w:rPr>
              <w:t>(2 a)</w:t>
            </w:r>
          </w:p>
        </w:tc>
        <w:tc>
          <w:tcPr>
            <w:tcW w:w="868" w:type="dxa"/>
            <w:gridSpan w:val="2"/>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31,5</w:t>
            </w: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13,5</w:t>
            </w:r>
          </w:p>
        </w:tc>
        <w:tc>
          <w:tcPr>
            <w:tcW w:w="930" w:type="dxa"/>
            <w:vAlign w:val="center"/>
          </w:tcPr>
          <w:p w:rsidR="005A6CB7" w:rsidRDefault="00C93832">
            <w:pPr>
              <w:spacing w:before="20" w:after="20"/>
              <w:jc w:val="right"/>
              <w:rPr>
                <w:b/>
                <w:noProof/>
                <w:sz w:val="20"/>
                <w:szCs w:val="20"/>
                <w:lang w:eastAsia="bg-BG" w:bidi="bg-BG"/>
              </w:rPr>
            </w:pPr>
            <w:r>
              <w:rPr>
                <w:b/>
                <w:noProof/>
                <w:sz w:val="20"/>
                <w:lang w:eastAsia="bg-BG" w:bidi="bg-BG"/>
              </w:rPr>
              <w:t>45</w:t>
            </w: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rsidR="005A6CB7" w:rsidRDefault="00C93832">
            <w:pPr>
              <w:spacing w:before="20" w:after="20"/>
              <w:rPr>
                <w:noProof/>
                <w:sz w:val="20"/>
                <w:szCs w:val="20"/>
                <w:lang w:eastAsia="bg-BG" w:bidi="bg-BG"/>
              </w:rPr>
            </w:pPr>
            <w:r>
              <w:rPr>
                <w:noProof/>
                <w:sz w:val="20"/>
                <w:szCs w:val="20"/>
                <w:lang w:eastAsia="bg-BG" w:bidi="bg-BG"/>
              </w:rPr>
              <w:t>Бюджетни кредити за административни разходи, финансирани от пакета за определени програми</w:t>
            </w:r>
            <w:r>
              <w:rPr>
                <w:rStyle w:val="FootnoteReference"/>
                <w:noProof/>
                <w:sz w:val="20"/>
                <w:szCs w:val="20"/>
              </w:rPr>
              <w:footnoteReference w:id="19"/>
            </w:r>
            <w:r>
              <w:rPr>
                <w:noProof/>
                <w:sz w:val="20"/>
                <w:szCs w:val="20"/>
                <w:lang w:eastAsia="bg-BG" w:bidi="bg-BG"/>
              </w:rPr>
              <w:t xml:space="preserve"> </w:t>
            </w:r>
          </w:p>
          <w:p w:rsidR="005A6CB7" w:rsidRDefault="00C93832">
            <w:pPr>
              <w:autoSpaceDE w:val="0"/>
              <w:autoSpaceDN w:val="0"/>
              <w:adjustRightInd w:val="0"/>
              <w:spacing w:before="0" w:after="0"/>
              <w:jc w:val="left"/>
              <w:rPr>
                <w:noProof/>
                <w:sz w:val="20"/>
                <w:szCs w:val="20"/>
                <w:lang w:eastAsia="bg-BG" w:bidi="bg-BG"/>
              </w:rPr>
            </w:pPr>
            <w:r>
              <w:rPr>
                <w:noProof/>
                <w:sz w:val="20"/>
                <w:szCs w:val="20"/>
                <w:lang w:eastAsia="bg-BG" w:bidi="bg-BG"/>
              </w:rPr>
              <w:t>(оперативна оценка и последваща оценка)</w:t>
            </w:r>
          </w:p>
        </w:tc>
        <w:tc>
          <w:tcPr>
            <w:tcW w:w="868" w:type="dxa"/>
            <w:gridSpan w:val="2"/>
            <w:vAlign w:val="center"/>
          </w:tcPr>
          <w:p w:rsidR="005A6CB7" w:rsidRDefault="005A6CB7">
            <w:pPr>
              <w:rPr>
                <w:noProof/>
                <w:sz w:val="20"/>
                <w:szCs w:val="20"/>
                <w:lang w:eastAsia="bg-BG" w:bidi="bg-BG"/>
              </w:rPr>
            </w:pPr>
          </w:p>
        </w:tc>
        <w:tc>
          <w:tcPr>
            <w:tcW w:w="868" w:type="dxa"/>
            <w:vAlign w:val="center"/>
          </w:tcPr>
          <w:p w:rsidR="005A6CB7" w:rsidRDefault="005A6CB7">
            <w:pPr>
              <w:rPr>
                <w:noProof/>
                <w:sz w:val="20"/>
                <w:szCs w:val="20"/>
                <w:lang w:eastAsia="bg-BG" w:bidi="bg-BG"/>
              </w:rPr>
            </w:pPr>
          </w:p>
        </w:tc>
        <w:tc>
          <w:tcPr>
            <w:tcW w:w="868" w:type="dxa"/>
            <w:vAlign w:val="center"/>
          </w:tcPr>
          <w:p w:rsidR="005A6CB7" w:rsidRDefault="005A6CB7">
            <w:pPr>
              <w:rPr>
                <w:noProof/>
                <w:sz w:val="20"/>
                <w:szCs w:val="20"/>
                <w:lang w:eastAsia="bg-BG" w:bidi="bg-BG"/>
              </w:rPr>
            </w:pPr>
          </w:p>
        </w:tc>
        <w:tc>
          <w:tcPr>
            <w:tcW w:w="868" w:type="dxa"/>
            <w:vAlign w:val="center"/>
          </w:tcPr>
          <w:p w:rsidR="005A6CB7" w:rsidRDefault="005A6CB7">
            <w:pPr>
              <w:rPr>
                <w:noProof/>
                <w:sz w:val="20"/>
                <w:szCs w:val="20"/>
                <w:lang w:eastAsia="bg-BG" w:bidi="bg-BG"/>
              </w:rPr>
            </w:pPr>
          </w:p>
        </w:tc>
        <w:tc>
          <w:tcPr>
            <w:tcW w:w="930" w:type="dxa"/>
            <w:vAlign w:val="center"/>
          </w:tcPr>
          <w:p w:rsidR="005A6CB7" w:rsidRDefault="005A6CB7">
            <w:pPr>
              <w:jc w:val="right"/>
              <w:rPr>
                <w:b/>
                <w:noProof/>
                <w:sz w:val="20"/>
                <w:szCs w:val="20"/>
                <w:lang w:eastAsia="bg-BG" w:bidi="bg-BG"/>
              </w:rPr>
            </w:pP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rsidR="005A6CB7" w:rsidRDefault="00C93832">
            <w:pPr>
              <w:spacing w:before="60" w:after="60"/>
              <w:rPr>
                <w:noProof/>
                <w:sz w:val="20"/>
                <w:szCs w:val="20"/>
                <w:lang w:eastAsia="bg-BG" w:bidi="bg-BG"/>
              </w:rPr>
            </w:pPr>
            <w:r>
              <w:rPr>
                <w:noProof/>
                <w:sz w:val="20"/>
                <w:lang w:eastAsia="bg-BG" w:bidi="bg-BG"/>
              </w:rPr>
              <w:t>Бюджетен ред 01 03 02</w:t>
            </w:r>
          </w:p>
        </w:tc>
        <w:tc>
          <w:tcPr>
            <w:tcW w:w="1440" w:type="dxa"/>
            <w:vAlign w:val="center"/>
          </w:tcPr>
          <w:p w:rsidR="005A6CB7" w:rsidRDefault="00C93832">
            <w:pPr>
              <w:spacing w:before="40" w:after="40"/>
              <w:jc w:val="left"/>
              <w:rPr>
                <w:noProof/>
                <w:sz w:val="18"/>
                <w:lang w:eastAsia="bg-BG" w:bidi="bg-BG"/>
              </w:rPr>
            </w:pPr>
            <w:r>
              <w:rPr>
                <w:noProof/>
                <w:sz w:val="18"/>
                <w:lang w:eastAsia="bg-BG" w:bidi="bg-BG"/>
              </w:rPr>
              <w:t>Поети задължения</w:t>
            </w:r>
          </w:p>
        </w:tc>
        <w:tc>
          <w:tcPr>
            <w:tcW w:w="654" w:type="dxa"/>
            <w:gridSpan w:val="2"/>
            <w:vAlign w:val="center"/>
          </w:tcPr>
          <w:p w:rsidR="005A6CB7" w:rsidRDefault="00C93832">
            <w:pPr>
              <w:spacing w:before="40" w:after="40"/>
              <w:jc w:val="center"/>
              <w:rPr>
                <w:noProof/>
                <w:sz w:val="14"/>
                <w:lang w:eastAsia="bg-BG" w:bidi="bg-BG"/>
              </w:rPr>
            </w:pPr>
            <w:r>
              <w:rPr>
                <w:noProof/>
                <w:sz w:val="14"/>
                <w:lang w:eastAsia="bg-BG" w:bidi="bg-BG"/>
              </w:rPr>
              <w:t>(3)</w:t>
            </w:r>
          </w:p>
        </w:tc>
        <w:tc>
          <w:tcPr>
            <w:tcW w:w="868" w:type="dxa"/>
            <w:gridSpan w:val="2"/>
            <w:vAlign w:val="center"/>
          </w:tcPr>
          <w:p w:rsidR="005A6CB7" w:rsidRDefault="005A6CB7">
            <w:pPr>
              <w:spacing w:before="40" w:after="40"/>
              <w:jc w:val="right"/>
              <w:rPr>
                <w:noProof/>
                <w:sz w:val="20"/>
                <w:szCs w:val="20"/>
                <w:lang w:eastAsia="bg-BG" w:bidi="bg-BG"/>
              </w:rPr>
            </w:pPr>
          </w:p>
        </w:tc>
        <w:tc>
          <w:tcPr>
            <w:tcW w:w="868" w:type="dxa"/>
            <w:vAlign w:val="center"/>
          </w:tcPr>
          <w:p w:rsidR="005A6CB7" w:rsidRDefault="005A6CB7">
            <w:pPr>
              <w:spacing w:before="40" w:after="40"/>
              <w:jc w:val="right"/>
              <w:rPr>
                <w:noProof/>
                <w:sz w:val="20"/>
                <w:szCs w:val="20"/>
                <w:lang w:eastAsia="bg-BG" w:bidi="bg-BG"/>
              </w:rPr>
            </w:pPr>
          </w:p>
        </w:tc>
        <w:tc>
          <w:tcPr>
            <w:tcW w:w="868" w:type="dxa"/>
            <w:vAlign w:val="center"/>
          </w:tcPr>
          <w:p w:rsidR="005A6CB7" w:rsidRDefault="00C93832">
            <w:pPr>
              <w:spacing w:before="40" w:after="40"/>
              <w:jc w:val="right"/>
              <w:rPr>
                <w:noProof/>
                <w:sz w:val="20"/>
                <w:szCs w:val="20"/>
                <w:lang w:eastAsia="bg-BG" w:bidi="bg-BG"/>
              </w:rPr>
            </w:pPr>
            <w:r>
              <w:rPr>
                <w:noProof/>
                <w:sz w:val="20"/>
                <w:lang w:eastAsia="bg-BG" w:bidi="bg-BG"/>
              </w:rPr>
              <w:t>0,15</w:t>
            </w:r>
          </w:p>
        </w:tc>
        <w:tc>
          <w:tcPr>
            <w:tcW w:w="868" w:type="dxa"/>
            <w:vAlign w:val="center"/>
          </w:tcPr>
          <w:p w:rsidR="005A6CB7" w:rsidRDefault="005A6CB7">
            <w:pPr>
              <w:spacing w:before="40" w:after="40"/>
              <w:jc w:val="right"/>
              <w:rPr>
                <w:noProof/>
                <w:sz w:val="20"/>
                <w:szCs w:val="20"/>
                <w:lang w:eastAsia="bg-BG" w:bidi="bg-BG"/>
              </w:rPr>
            </w:pPr>
          </w:p>
        </w:tc>
        <w:tc>
          <w:tcPr>
            <w:tcW w:w="930" w:type="dxa"/>
            <w:vAlign w:val="center"/>
          </w:tcPr>
          <w:p w:rsidR="005A6CB7" w:rsidRDefault="00C93832">
            <w:pPr>
              <w:spacing w:before="40" w:after="40"/>
              <w:jc w:val="right"/>
              <w:rPr>
                <w:b/>
                <w:noProof/>
                <w:sz w:val="20"/>
                <w:szCs w:val="20"/>
                <w:lang w:eastAsia="bg-BG" w:bidi="bg-BG"/>
              </w:rPr>
            </w:pPr>
            <w:r>
              <w:rPr>
                <w:b/>
                <w:noProof/>
                <w:sz w:val="20"/>
                <w:lang w:eastAsia="bg-BG" w:bidi="bg-BG"/>
              </w:rPr>
              <w:t>0,15</w:t>
            </w: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rsidR="005A6CB7" w:rsidRDefault="005A6CB7">
            <w:pPr>
              <w:spacing w:before="60" w:after="60"/>
              <w:rPr>
                <w:noProof/>
                <w:sz w:val="20"/>
                <w:lang w:eastAsia="bg-BG" w:bidi="bg-BG"/>
              </w:rPr>
            </w:pPr>
          </w:p>
        </w:tc>
        <w:tc>
          <w:tcPr>
            <w:tcW w:w="1440" w:type="dxa"/>
            <w:vAlign w:val="center"/>
          </w:tcPr>
          <w:p w:rsidR="005A6CB7" w:rsidRDefault="00C93832">
            <w:pPr>
              <w:spacing w:before="40" w:after="40"/>
              <w:jc w:val="left"/>
              <w:rPr>
                <w:noProof/>
                <w:sz w:val="18"/>
                <w:lang w:eastAsia="bg-BG" w:bidi="bg-BG"/>
              </w:rPr>
            </w:pPr>
            <w:r>
              <w:rPr>
                <w:noProof/>
                <w:sz w:val="18"/>
                <w:lang w:eastAsia="bg-BG" w:bidi="bg-BG"/>
              </w:rPr>
              <w:t>Плащания</w:t>
            </w:r>
          </w:p>
        </w:tc>
        <w:tc>
          <w:tcPr>
            <w:tcW w:w="654" w:type="dxa"/>
            <w:gridSpan w:val="2"/>
            <w:vAlign w:val="center"/>
          </w:tcPr>
          <w:p w:rsidR="005A6CB7" w:rsidRDefault="00C93832">
            <w:pPr>
              <w:spacing w:before="40" w:after="40"/>
              <w:jc w:val="center"/>
              <w:rPr>
                <w:noProof/>
                <w:sz w:val="14"/>
                <w:lang w:eastAsia="bg-BG" w:bidi="bg-BG"/>
              </w:rPr>
            </w:pPr>
            <w:r>
              <w:rPr>
                <w:noProof/>
                <w:sz w:val="14"/>
                <w:lang w:eastAsia="bg-BG" w:bidi="bg-BG"/>
              </w:rPr>
              <w:t>(3 a)</w:t>
            </w:r>
          </w:p>
        </w:tc>
        <w:tc>
          <w:tcPr>
            <w:tcW w:w="868" w:type="dxa"/>
            <w:gridSpan w:val="2"/>
            <w:vAlign w:val="center"/>
          </w:tcPr>
          <w:p w:rsidR="005A6CB7" w:rsidRDefault="005A6CB7">
            <w:pPr>
              <w:spacing w:before="40" w:after="40"/>
              <w:jc w:val="right"/>
              <w:rPr>
                <w:noProof/>
                <w:sz w:val="20"/>
                <w:szCs w:val="20"/>
                <w:lang w:eastAsia="bg-BG" w:bidi="bg-BG"/>
              </w:rPr>
            </w:pPr>
          </w:p>
        </w:tc>
        <w:tc>
          <w:tcPr>
            <w:tcW w:w="868" w:type="dxa"/>
            <w:vAlign w:val="center"/>
          </w:tcPr>
          <w:p w:rsidR="005A6CB7" w:rsidRDefault="005A6CB7">
            <w:pPr>
              <w:spacing w:before="40" w:after="40"/>
              <w:jc w:val="right"/>
              <w:rPr>
                <w:noProof/>
                <w:sz w:val="20"/>
                <w:szCs w:val="20"/>
                <w:lang w:eastAsia="bg-BG" w:bidi="bg-BG"/>
              </w:rPr>
            </w:pPr>
          </w:p>
        </w:tc>
        <w:tc>
          <w:tcPr>
            <w:tcW w:w="868" w:type="dxa"/>
            <w:vAlign w:val="center"/>
          </w:tcPr>
          <w:p w:rsidR="005A6CB7" w:rsidRDefault="00C93832">
            <w:pPr>
              <w:spacing w:before="40" w:after="40"/>
              <w:jc w:val="right"/>
              <w:rPr>
                <w:noProof/>
                <w:sz w:val="20"/>
                <w:szCs w:val="20"/>
                <w:lang w:eastAsia="bg-BG" w:bidi="bg-BG"/>
              </w:rPr>
            </w:pPr>
            <w:r>
              <w:rPr>
                <w:noProof/>
                <w:sz w:val="20"/>
                <w:lang w:eastAsia="bg-BG" w:bidi="bg-BG"/>
              </w:rPr>
              <w:t>0,05</w:t>
            </w:r>
          </w:p>
        </w:tc>
        <w:tc>
          <w:tcPr>
            <w:tcW w:w="868" w:type="dxa"/>
            <w:vAlign w:val="center"/>
          </w:tcPr>
          <w:p w:rsidR="005A6CB7" w:rsidRDefault="00C93832">
            <w:pPr>
              <w:spacing w:before="40" w:after="40"/>
              <w:jc w:val="right"/>
              <w:rPr>
                <w:noProof/>
                <w:sz w:val="20"/>
                <w:szCs w:val="20"/>
                <w:lang w:eastAsia="bg-BG" w:bidi="bg-BG"/>
              </w:rPr>
            </w:pPr>
            <w:r>
              <w:rPr>
                <w:noProof/>
                <w:sz w:val="20"/>
                <w:lang w:eastAsia="bg-BG" w:bidi="bg-BG"/>
              </w:rPr>
              <w:t>0,10</w:t>
            </w:r>
          </w:p>
        </w:tc>
        <w:tc>
          <w:tcPr>
            <w:tcW w:w="930" w:type="dxa"/>
            <w:vAlign w:val="center"/>
          </w:tcPr>
          <w:p w:rsidR="005A6CB7" w:rsidRDefault="00C93832">
            <w:pPr>
              <w:spacing w:before="40" w:after="40"/>
              <w:jc w:val="right"/>
              <w:rPr>
                <w:b/>
                <w:noProof/>
                <w:sz w:val="20"/>
                <w:szCs w:val="20"/>
                <w:lang w:eastAsia="bg-BG" w:bidi="bg-BG"/>
              </w:rPr>
            </w:pPr>
            <w:r>
              <w:rPr>
                <w:b/>
                <w:noProof/>
                <w:sz w:val="20"/>
                <w:lang w:eastAsia="bg-BG" w:bidi="bg-BG"/>
              </w:rPr>
              <w:t>0,15</w:t>
            </w: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rsidR="005A6CB7" w:rsidRDefault="00C93832">
            <w:pPr>
              <w:jc w:val="center"/>
              <w:rPr>
                <w:b/>
                <w:noProof/>
                <w:lang w:eastAsia="bg-BG" w:bidi="bg-BG"/>
              </w:rPr>
            </w:pPr>
            <w:r>
              <w:rPr>
                <w:b/>
                <w:noProof/>
                <w:sz w:val="22"/>
                <w:lang w:eastAsia="bg-BG" w:bidi="bg-BG"/>
              </w:rPr>
              <w:t>ОБЩО бюджетни</w:t>
            </w:r>
            <w:r>
              <w:rPr>
                <w:b/>
                <w:noProof/>
                <w:sz w:val="22"/>
                <w:lang w:eastAsia="bg-BG" w:bidi="bg-BG"/>
              </w:rPr>
              <w:t xml:space="preserve"> кредити</w:t>
            </w:r>
            <w:r>
              <w:rPr>
                <w:b/>
                <w:noProof/>
                <w:sz w:val="22"/>
                <w:lang w:eastAsia="bg-BG" w:bidi="bg-BG"/>
              </w:rPr>
              <w:br/>
            </w:r>
            <w:r>
              <w:rPr>
                <w:b/>
                <w:noProof/>
                <w:lang w:eastAsia="bg-BG" w:bidi="bg-BG"/>
              </w:rPr>
              <w:t>за ГД „Икономически и финансови въпроси“</w:t>
            </w:r>
          </w:p>
        </w:tc>
        <w:tc>
          <w:tcPr>
            <w:tcW w:w="1440" w:type="dxa"/>
            <w:vAlign w:val="center"/>
          </w:tcPr>
          <w:p w:rsidR="005A6CB7" w:rsidRDefault="00C93832">
            <w:pPr>
              <w:rPr>
                <w:noProof/>
                <w:lang w:eastAsia="bg-BG" w:bidi="bg-BG"/>
              </w:rPr>
            </w:pPr>
            <w:r>
              <w:rPr>
                <w:noProof/>
                <w:sz w:val="18"/>
                <w:lang w:eastAsia="bg-BG" w:bidi="bg-BG"/>
              </w:rPr>
              <w:t>Поети задължения</w:t>
            </w:r>
          </w:p>
        </w:tc>
        <w:tc>
          <w:tcPr>
            <w:tcW w:w="654" w:type="dxa"/>
            <w:gridSpan w:val="2"/>
            <w:vAlign w:val="center"/>
          </w:tcPr>
          <w:p w:rsidR="005A6CB7" w:rsidRDefault="00C93832">
            <w:pPr>
              <w:jc w:val="center"/>
              <w:rPr>
                <w:noProof/>
                <w:lang w:eastAsia="bg-BG" w:bidi="bg-BG"/>
              </w:rPr>
            </w:pPr>
            <w:r>
              <w:rPr>
                <w:noProof/>
                <w:sz w:val="14"/>
                <w:lang w:eastAsia="bg-BG" w:bidi="bg-BG"/>
              </w:rPr>
              <w:t>=1+1а +3</w:t>
            </w:r>
          </w:p>
        </w:tc>
        <w:tc>
          <w:tcPr>
            <w:tcW w:w="868" w:type="dxa"/>
            <w:gridSpan w:val="2"/>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31,65</w:t>
            </w: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13,5</w:t>
            </w:r>
          </w:p>
        </w:tc>
        <w:tc>
          <w:tcPr>
            <w:tcW w:w="930" w:type="dxa"/>
            <w:vAlign w:val="center"/>
          </w:tcPr>
          <w:p w:rsidR="005A6CB7" w:rsidRDefault="00C93832">
            <w:pPr>
              <w:spacing w:before="20" w:after="20"/>
              <w:jc w:val="right"/>
              <w:rPr>
                <w:b/>
                <w:noProof/>
                <w:sz w:val="20"/>
                <w:szCs w:val="20"/>
                <w:lang w:eastAsia="bg-BG" w:bidi="bg-BG"/>
              </w:rPr>
            </w:pPr>
            <w:r>
              <w:rPr>
                <w:b/>
                <w:noProof/>
                <w:sz w:val="20"/>
                <w:lang w:eastAsia="bg-BG" w:bidi="bg-BG"/>
              </w:rPr>
              <w:t>45,15</w:t>
            </w:r>
          </w:p>
        </w:tc>
      </w:tr>
      <w:tr w:rsidR="005A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rsidR="005A6CB7" w:rsidRDefault="005A6CB7">
            <w:pPr>
              <w:rPr>
                <w:noProof/>
                <w:sz w:val="20"/>
                <w:lang w:eastAsia="bg-BG" w:bidi="bg-BG"/>
              </w:rPr>
            </w:pPr>
          </w:p>
        </w:tc>
        <w:tc>
          <w:tcPr>
            <w:tcW w:w="1440" w:type="dxa"/>
            <w:vAlign w:val="center"/>
          </w:tcPr>
          <w:p w:rsidR="005A6CB7" w:rsidRDefault="00C93832">
            <w:pPr>
              <w:rPr>
                <w:noProof/>
                <w:lang w:eastAsia="bg-BG" w:bidi="bg-BG"/>
              </w:rPr>
            </w:pPr>
            <w:r>
              <w:rPr>
                <w:noProof/>
                <w:sz w:val="18"/>
                <w:lang w:eastAsia="bg-BG" w:bidi="bg-BG"/>
              </w:rPr>
              <w:t>Плащания</w:t>
            </w:r>
          </w:p>
        </w:tc>
        <w:tc>
          <w:tcPr>
            <w:tcW w:w="654" w:type="dxa"/>
            <w:gridSpan w:val="2"/>
            <w:vAlign w:val="center"/>
          </w:tcPr>
          <w:p w:rsidR="005A6CB7" w:rsidRDefault="00C93832">
            <w:pPr>
              <w:jc w:val="center"/>
              <w:rPr>
                <w:noProof/>
                <w:sz w:val="14"/>
                <w:lang w:eastAsia="bg-BG" w:bidi="bg-BG"/>
              </w:rPr>
            </w:pPr>
            <w:r>
              <w:rPr>
                <w:noProof/>
                <w:sz w:val="14"/>
                <w:lang w:eastAsia="bg-BG" w:bidi="bg-BG"/>
              </w:rPr>
              <w:t>=2+2а</w:t>
            </w:r>
          </w:p>
          <w:p w:rsidR="005A6CB7" w:rsidRDefault="00C93832">
            <w:pPr>
              <w:jc w:val="center"/>
              <w:rPr>
                <w:noProof/>
                <w:sz w:val="14"/>
                <w:lang w:eastAsia="bg-BG" w:bidi="bg-BG"/>
              </w:rPr>
            </w:pPr>
            <w:r>
              <w:rPr>
                <w:noProof/>
                <w:sz w:val="14"/>
                <w:lang w:eastAsia="bg-BG" w:bidi="bg-BG"/>
              </w:rPr>
              <w:t>+3</w:t>
            </w:r>
          </w:p>
        </w:tc>
        <w:tc>
          <w:tcPr>
            <w:tcW w:w="868" w:type="dxa"/>
            <w:gridSpan w:val="2"/>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5A6CB7">
            <w:pPr>
              <w:spacing w:before="20" w:after="20"/>
              <w:jc w:val="right"/>
              <w:rPr>
                <w:noProof/>
                <w:sz w:val="20"/>
                <w:szCs w:val="20"/>
                <w:lang w:eastAsia="bg-BG" w:bidi="bg-BG"/>
              </w:rPr>
            </w:pP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31,55</w:t>
            </w:r>
          </w:p>
        </w:tc>
        <w:tc>
          <w:tcPr>
            <w:tcW w:w="868" w:type="dxa"/>
            <w:vAlign w:val="center"/>
          </w:tcPr>
          <w:p w:rsidR="005A6CB7" w:rsidRDefault="00C93832">
            <w:pPr>
              <w:spacing w:before="20" w:after="20"/>
              <w:jc w:val="right"/>
              <w:rPr>
                <w:noProof/>
                <w:sz w:val="20"/>
                <w:szCs w:val="20"/>
                <w:lang w:eastAsia="bg-BG" w:bidi="bg-BG"/>
              </w:rPr>
            </w:pPr>
            <w:r>
              <w:rPr>
                <w:noProof/>
                <w:sz w:val="20"/>
                <w:lang w:eastAsia="bg-BG" w:bidi="bg-BG"/>
              </w:rPr>
              <w:t>13,6</w:t>
            </w:r>
          </w:p>
        </w:tc>
        <w:tc>
          <w:tcPr>
            <w:tcW w:w="930" w:type="dxa"/>
            <w:vAlign w:val="center"/>
          </w:tcPr>
          <w:p w:rsidR="005A6CB7" w:rsidRDefault="00C93832">
            <w:pPr>
              <w:spacing w:before="20" w:after="20"/>
              <w:jc w:val="right"/>
              <w:rPr>
                <w:b/>
                <w:noProof/>
                <w:sz w:val="20"/>
                <w:szCs w:val="20"/>
                <w:lang w:eastAsia="bg-BG" w:bidi="bg-BG"/>
              </w:rPr>
            </w:pPr>
            <w:r>
              <w:rPr>
                <w:b/>
                <w:noProof/>
                <w:sz w:val="20"/>
                <w:lang w:eastAsia="bg-BG" w:bidi="bg-BG"/>
              </w:rPr>
              <w:t>45,15</w:t>
            </w:r>
          </w:p>
        </w:tc>
      </w:tr>
    </w:tbl>
    <w:p w:rsidR="005A6CB7" w:rsidRDefault="005A6CB7">
      <w:pPr>
        <w:rPr>
          <w:noProof/>
          <w:lang w:eastAsia="bg-BG" w:bidi="bg-BG"/>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5"/>
        <w:gridCol w:w="709"/>
        <w:gridCol w:w="850"/>
        <w:gridCol w:w="851"/>
        <w:gridCol w:w="850"/>
        <w:gridCol w:w="709"/>
        <w:gridCol w:w="709"/>
      </w:tblGrid>
      <w:tr w:rsidR="005A6CB7">
        <w:trPr>
          <w:trHeight w:val="277"/>
        </w:trPr>
        <w:tc>
          <w:tcPr>
            <w:tcW w:w="3960" w:type="dxa"/>
            <w:vMerge w:val="restart"/>
            <w:vAlign w:val="center"/>
          </w:tcPr>
          <w:p w:rsidR="005A6CB7" w:rsidRDefault="00C93832">
            <w:pPr>
              <w:spacing w:before="20" w:after="20"/>
              <w:rPr>
                <w:noProof/>
                <w:lang w:eastAsia="bg-BG" w:bidi="bg-BG"/>
              </w:rPr>
            </w:pPr>
            <w:r>
              <w:rPr>
                <w:noProof/>
                <w:lang w:eastAsia="bg-BG" w:bidi="bg-BG"/>
              </w:rPr>
              <w:br w:type="page"/>
            </w:r>
            <w:r>
              <w:rPr>
                <w:noProof/>
                <w:sz w:val="21"/>
                <w:szCs w:val="20"/>
                <w:lang w:eastAsia="bg-BG" w:bidi="bg-BG"/>
              </w:rPr>
              <w:sym w:font="Wingdings" w:char="F09F"/>
            </w:r>
            <w:r>
              <w:rPr>
                <w:noProof/>
                <w:sz w:val="21"/>
                <w:lang w:eastAsia="bg-BG" w:bidi="bg-BG"/>
              </w:rPr>
              <w:t xml:space="preserve"> ОБЩО бюджетни кредити за оперативни разходи </w:t>
            </w:r>
          </w:p>
        </w:tc>
        <w:tc>
          <w:tcPr>
            <w:tcW w:w="1645" w:type="dxa"/>
            <w:vAlign w:val="center"/>
          </w:tcPr>
          <w:p w:rsidR="005A6CB7" w:rsidRDefault="00C93832">
            <w:pPr>
              <w:spacing w:beforeLines="20" w:before="48" w:afterLines="20" w:after="48"/>
              <w:rPr>
                <w:noProof/>
                <w:lang w:eastAsia="bg-BG" w:bidi="bg-BG"/>
              </w:rPr>
            </w:pPr>
            <w:r>
              <w:rPr>
                <w:noProof/>
                <w:sz w:val="18"/>
                <w:lang w:eastAsia="bg-BG" w:bidi="bg-BG"/>
              </w:rPr>
              <w:t>Поети задължения</w:t>
            </w:r>
          </w:p>
        </w:tc>
        <w:tc>
          <w:tcPr>
            <w:tcW w:w="709" w:type="dxa"/>
            <w:vAlign w:val="center"/>
          </w:tcPr>
          <w:p w:rsidR="005A6CB7" w:rsidRDefault="00C93832">
            <w:pPr>
              <w:spacing w:beforeLines="20" w:before="48" w:afterLines="20" w:after="48"/>
              <w:jc w:val="center"/>
              <w:rPr>
                <w:noProof/>
                <w:sz w:val="14"/>
                <w:lang w:eastAsia="bg-BG" w:bidi="bg-BG"/>
              </w:rPr>
            </w:pPr>
            <w:r>
              <w:rPr>
                <w:noProof/>
                <w:sz w:val="14"/>
                <w:lang w:eastAsia="bg-BG" w:bidi="bg-BG"/>
              </w:rPr>
              <w:t>(4)</w:t>
            </w:r>
          </w:p>
        </w:tc>
        <w:tc>
          <w:tcPr>
            <w:tcW w:w="850" w:type="dxa"/>
            <w:vAlign w:val="center"/>
          </w:tcPr>
          <w:p w:rsidR="005A6CB7" w:rsidRDefault="005A6CB7">
            <w:pPr>
              <w:spacing w:before="20" w:after="20"/>
              <w:jc w:val="right"/>
              <w:rPr>
                <w:noProof/>
                <w:sz w:val="20"/>
                <w:szCs w:val="20"/>
                <w:lang w:eastAsia="bg-BG" w:bidi="bg-BG"/>
              </w:rPr>
            </w:pPr>
          </w:p>
        </w:tc>
        <w:tc>
          <w:tcPr>
            <w:tcW w:w="851" w:type="dxa"/>
            <w:vAlign w:val="center"/>
          </w:tcPr>
          <w:p w:rsidR="005A6CB7" w:rsidRDefault="005A6CB7">
            <w:pPr>
              <w:spacing w:before="20" w:after="20"/>
              <w:jc w:val="right"/>
              <w:rPr>
                <w:noProof/>
                <w:sz w:val="20"/>
                <w:szCs w:val="20"/>
                <w:lang w:eastAsia="bg-BG" w:bidi="bg-BG"/>
              </w:rPr>
            </w:pPr>
          </w:p>
        </w:tc>
        <w:tc>
          <w:tcPr>
            <w:tcW w:w="850" w:type="dxa"/>
            <w:vAlign w:val="center"/>
          </w:tcPr>
          <w:p w:rsidR="005A6CB7" w:rsidRDefault="00C93832">
            <w:pPr>
              <w:spacing w:before="20" w:after="20"/>
              <w:jc w:val="right"/>
              <w:rPr>
                <w:noProof/>
                <w:sz w:val="20"/>
                <w:szCs w:val="20"/>
                <w:lang w:eastAsia="bg-BG" w:bidi="bg-BG"/>
              </w:rPr>
            </w:pPr>
            <w:r>
              <w:rPr>
                <w:noProof/>
                <w:sz w:val="20"/>
                <w:lang w:eastAsia="bg-BG" w:bidi="bg-BG"/>
              </w:rPr>
              <w:t>31,65</w:t>
            </w:r>
          </w:p>
        </w:tc>
        <w:tc>
          <w:tcPr>
            <w:tcW w:w="709" w:type="dxa"/>
            <w:vAlign w:val="center"/>
          </w:tcPr>
          <w:p w:rsidR="005A6CB7" w:rsidRDefault="00C93832">
            <w:pPr>
              <w:spacing w:before="20" w:after="20"/>
              <w:jc w:val="right"/>
              <w:rPr>
                <w:noProof/>
                <w:sz w:val="20"/>
                <w:szCs w:val="20"/>
                <w:lang w:eastAsia="bg-BG" w:bidi="bg-BG"/>
              </w:rPr>
            </w:pPr>
            <w:r>
              <w:rPr>
                <w:noProof/>
                <w:sz w:val="20"/>
                <w:lang w:eastAsia="bg-BG" w:bidi="bg-BG"/>
              </w:rPr>
              <w:t>13,5</w:t>
            </w:r>
          </w:p>
        </w:tc>
        <w:tc>
          <w:tcPr>
            <w:tcW w:w="709" w:type="dxa"/>
            <w:vAlign w:val="center"/>
          </w:tcPr>
          <w:p w:rsidR="005A6CB7" w:rsidRDefault="00C93832">
            <w:pPr>
              <w:spacing w:before="20" w:after="20"/>
              <w:jc w:val="right"/>
              <w:rPr>
                <w:noProof/>
                <w:sz w:val="20"/>
                <w:szCs w:val="20"/>
                <w:lang w:eastAsia="bg-BG" w:bidi="bg-BG"/>
              </w:rPr>
            </w:pPr>
            <w:r>
              <w:rPr>
                <w:b/>
                <w:noProof/>
                <w:sz w:val="20"/>
                <w:lang w:eastAsia="bg-BG" w:bidi="bg-BG"/>
              </w:rPr>
              <w:t>45,15</w:t>
            </w:r>
          </w:p>
        </w:tc>
      </w:tr>
      <w:tr w:rsidR="005A6CB7">
        <w:tc>
          <w:tcPr>
            <w:tcW w:w="3960" w:type="dxa"/>
            <w:vMerge/>
          </w:tcPr>
          <w:p w:rsidR="005A6CB7" w:rsidRDefault="005A6CB7">
            <w:pPr>
              <w:jc w:val="center"/>
              <w:rPr>
                <w:noProof/>
                <w:sz w:val="20"/>
                <w:lang w:eastAsia="bg-BG" w:bidi="bg-BG"/>
              </w:rPr>
            </w:pPr>
          </w:p>
        </w:tc>
        <w:tc>
          <w:tcPr>
            <w:tcW w:w="1645" w:type="dxa"/>
            <w:vAlign w:val="center"/>
          </w:tcPr>
          <w:p w:rsidR="005A6CB7" w:rsidRDefault="00C93832">
            <w:pPr>
              <w:spacing w:beforeLines="20" w:before="48" w:afterLines="20" w:after="48"/>
              <w:rPr>
                <w:noProof/>
                <w:lang w:eastAsia="bg-BG" w:bidi="bg-BG"/>
              </w:rPr>
            </w:pPr>
            <w:r>
              <w:rPr>
                <w:noProof/>
                <w:sz w:val="18"/>
                <w:lang w:eastAsia="bg-BG" w:bidi="bg-BG"/>
              </w:rPr>
              <w:t>Плащания</w:t>
            </w:r>
          </w:p>
        </w:tc>
        <w:tc>
          <w:tcPr>
            <w:tcW w:w="709" w:type="dxa"/>
            <w:vAlign w:val="center"/>
          </w:tcPr>
          <w:p w:rsidR="005A6CB7" w:rsidRDefault="00C93832">
            <w:pPr>
              <w:spacing w:beforeLines="20" w:before="48" w:afterLines="20" w:after="48"/>
              <w:jc w:val="center"/>
              <w:rPr>
                <w:noProof/>
                <w:sz w:val="14"/>
                <w:lang w:eastAsia="bg-BG" w:bidi="bg-BG"/>
              </w:rPr>
            </w:pPr>
            <w:r>
              <w:rPr>
                <w:noProof/>
                <w:sz w:val="14"/>
                <w:lang w:eastAsia="bg-BG" w:bidi="bg-BG"/>
              </w:rPr>
              <w:t>(5)</w:t>
            </w:r>
          </w:p>
        </w:tc>
        <w:tc>
          <w:tcPr>
            <w:tcW w:w="850" w:type="dxa"/>
            <w:vAlign w:val="center"/>
          </w:tcPr>
          <w:p w:rsidR="005A6CB7" w:rsidRDefault="005A6CB7">
            <w:pPr>
              <w:spacing w:before="20" w:after="20"/>
              <w:jc w:val="right"/>
              <w:rPr>
                <w:noProof/>
                <w:sz w:val="20"/>
                <w:szCs w:val="20"/>
                <w:lang w:eastAsia="bg-BG" w:bidi="bg-BG"/>
              </w:rPr>
            </w:pPr>
          </w:p>
        </w:tc>
        <w:tc>
          <w:tcPr>
            <w:tcW w:w="851" w:type="dxa"/>
            <w:vAlign w:val="center"/>
          </w:tcPr>
          <w:p w:rsidR="005A6CB7" w:rsidRDefault="005A6CB7">
            <w:pPr>
              <w:spacing w:before="20" w:after="20"/>
              <w:jc w:val="right"/>
              <w:rPr>
                <w:noProof/>
                <w:sz w:val="20"/>
                <w:szCs w:val="20"/>
                <w:lang w:eastAsia="bg-BG" w:bidi="bg-BG"/>
              </w:rPr>
            </w:pPr>
          </w:p>
        </w:tc>
        <w:tc>
          <w:tcPr>
            <w:tcW w:w="850" w:type="dxa"/>
            <w:vAlign w:val="center"/>
          </w:tcPr>
          <w:p w:rsidR="005A6CB7" w:rsidRDefault="00C93832">
            <w:pPr>
              <w:spacing w:before="20" w:after="20"/>
              <w:jc w:val="right"/>
              <w:rPr>
                <w:noProof/>
                <w:sz w:val="20"/>
                <w:szCs w:val="20"/>
                <w:lang w:eastAsia="bg-BG" w:bidi="bg-BG"/>
              </w:rPr>
            </w:pPr>
            <w:r>
              <w:rPr>
                <w:noProof/>
                <w:sz w:val="20"/>
                <w:lang w:eastAsia="bg-BG" w:bidi="bg-BG"/>
              </w:rPr>
              <w:t>31,55</w:t>
            </w:r>
          </w:p>
        </w:tc>
        <w:tc>
          <w:tcPr>
            <w:tcW w:w="709" w:type="dxa"/>
            <w:vAlign w:val="center"/>
          </w:tcPr>
          <w:p w:rsidR="005A6CB7" w:rsidRDefault="00C93832">
            <w:pPr>
              <w:spacing w:before="20" w:after="20"/>
              <w:jc w:val="right"/>
              <w:rPr>
                <w:noProof/>
                <w:sz w:val="20"/>
                <w:szCs w:val="20"/>
                <w:lang w:eastAsia="bg-BG" w:bidi="bg-BG"/>
              </w:rPr>
            </w:pPr>
            <w:r>
              <w:rPr>
                <w:noProof/>
                <w:sz w:val="20"/>
                <w:lang w:eastAsia="bg-BG" w:bidi="bg-BG"/>
              </w:rPr>
              <w:t>13,6</w:t>
            </w:r>
          </w:p>
        </w:tc>
        <w:tc>
          <w:tcPr>
            <w:tcW w:w="709" w:type="dxa"/>
            <w:vAlign w:val="center"/>
          </w:tcPr>
          <w:p w:rsidR="005A6CB7" w:rsidRDefault="00C93832">
            <w:pPr>
              <w:spacing w:before="20" w:after="20"/>
              <w:jc w:val="right"/>
              <w:rPr>
                <w:noProof/>
                <w:sz w:val="20"/>
                <w:szCs w:val="20"/>
                <w:lang w:eastAsia="bg-BG" w:bidi="bg-BG"/>
              </w:rPr>
            </w:pPr>
            <w:r>
              <w:rPr>
                <w:b/>
                <w:noProof/>
                <w:sz w:val="20"/>
                <w:lang w:eastAsia="bg-BG" w:bidi="bg-BG"/>
              </w:rPr>
              <w:t>45,15</w:t>
            </w:r>
          </w:p>
        </w:tc>
      </w:tr>
      <w:tr w:rsidR="005A6CB7">
        <w:tc>
          <w:tcPr>
            <w:tcW w:w="5605" w:type="dxa"/>
            <w:gridSpan w:val="2"/>
          </w:tcPr>
          <w:p w:rsidR="005A6CB7" w:rsidRDefault="00C93832">
            <w:pPr>
              <w:spacing w:beforeLines="20" w:before="48" w:afterLines="20" w:after="48"/>
              <w:rPr>
                <w:noProof/>
                <w:sz w:val="18"/>
                <w:lang w:eastAsia="bg-BG" w:bidi="bg-BG"/>
              </w:rPr>
            </w:pPr>
            <w:r>
              <w:rPr>
                <w:noProof/>
                <w:sz w:val="21"/>
                <w:lang w:eastAsia="bg-BG" w:bidi="bg-BG"/>
              </w:rPr>
              <w:t>ОБЩО бюджетни кредити за административни разходи, финансирани от пакета за определени програми</w:t>
            </w:r>
          </w:p>
        </w:tc>
        <w:tc>
          <w:tcPr>
            <w:tcW w:w="709" w:type="dxa"/>
            <w:vAlign w:val="center"/>
          </w:tcPr>
          <w:p w:rsidR="005A6CB7" w:rsidRDefault="00C93832">
            <w:pPr>
              <w:spacing w:beforeLines="20" w:before="48" w:afterLines="20" w:after="48"/>
              <w:jc w:val="center"/>
              <w:rPr>
                <w:noProof/>
                <w:sz w:val="14"/>
                <w:lang w:eastAsia="bg-BG" w:bidi="bg-BG"/>
              </w:rPr>
            </w:pPr>
            <w:r>
              <w:rPr>
                <w:noProof/>
                <w:sz w:val="14"/>
                <w:lang w:eastAsia="bg-BG" w:bidi="bg-BG"/>
              </w:rPr>
              <w:t>(6)</w:t>
            </w:r>
          </w:p>
        </w:tc>
        <w:tc>
          <w:tcPr>
            <w:tcW w:w="850" w:type="dxa"/>
            <w:vAlign w:val="center"/>
          </w:tcPr>
          <w:p w:rsidR="005A6CB7" w:rsidRDefault="005A6CB7">
            <w:pPr>
              <w:spacing w:before="20" w:after="20"/>
              <w:jc w:val="right"/>
              <w:rPr>
                <w:noProof/>
                <w:sz w:val="20"/>
                <w:szCs w:val="20"/>
                <w:lang w:eastAsia="bg-BG" w:bidi="bg-BG"/>
              </w:rPr>
            </w:pPr>
          </w:p>
        </w:tc>
        <w:tc>
          <w:tcPr>
            <w:tcW w:w="851" w:type="dxa"/>
            <w:vAlign w:val="center"/>
          </w:tcPr>
          <w:p w:rsidR="005A6CB7" w:rsidRDefault="005A6CB7">
            <w:pPr>
              <w:spacing w:before="20" w:after="20"/>
              <w:jc w:val="right"/>
              <w:rPr>
                <w:noProof/>
                <w:sz w:val="20"/>
                <w:szCs w:val="20"/>
                <w:lang w:eastAsia="bg-BG" w:bidi="bg-BG"/>
              </w:rPr>
            </w:pPr>
          </w:p>
        </w:tc>
        <w:tc>
          <w:tcPr>
            <w:tcW w:w="850" w:type="dxa"/>
            <w:vAlign w:val="center"/>
          </w:tcPr>
          <w:p w:rsidR="005A6CB7" w:rsidRDefault="005A6CB7">
            <w:pPr>
              <w:spacing w:before="20" w:after="20"/>
              <w:jc w:val="right"/>
              <w:rPr>
                <w:noProof/>
                <w:sz w:val="20"/>
                <w:szCs w:val="20"/>
                <w:lang w:eastAsia="bg-BG" w:bidi="bg-BG"/>
              </w:rPr>
            </w:pPr>
          </w:p>
        </w:tc>
        <w:tc>
          <w:tcPr>
            <w:tcW w:w="709" w:type="dxa"/>
            <w:vAlign w:val="center"/>
          </w:tcPr>
          <w:p w:rsidR="005A6CB7" w:rsidRDefault="005A6CB7">
            <w:pPr>
              <w:spacing w:before="20" w:after="20"/>
              <w:jc w:val="right"/>
              <w:rPr>
                <w:noProof/>
                <w:sz w:val="20"/>
                <w:szCs w:val="20"/>
                <w:lang w:eastAsia="bg-BG" w:bidi="bg-BG"/>
              </w:rPr>
            </w:pPr>
          </w:p>
        </w:tc>
        <w:tc>
          <w:tcPr>
            <w:tcW w:w="709" w:type="dxa"/>
            <w:vAlign w:val="center"/>
          </w:tcPr>
          <w:p w:rsidR="005A6CB7" w:rsidRDefault="005A6CB7">
            <w:pPr>
              <w:spacing w:before="20" w:after="20"/>
              <w:jc w:val="right"/>
              <w:rPr>
                <w:b/>
                <w:noProof/>
                <w:sz w:val="20"/>
                <w:szCs w:val="20"/>
                <w:lang w:eastAsia="bg-BG" w:bidi="bg-BG"/>
              </w:rPr>
            </w:pPr>
          </w:p>
        </w:tc>
      </w:tr>
      <w:tr w:rsidR="005A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5" w:type="dxa"/>
            <w:gridSpan w:val="2"/>
          </w:tcPr>
          <w:p w:rsidR="005A6CB7" w:rsidRDefault="005A6CB7">
            <w:pPr>
              <w:rPr>
                <w:noProof/>
                <w:sz w:val="18"/>
                <w:lang w:eastAsia="bg-BG" w:bidi="bg-BG"/>
              </w:rPr>
            </w:pPr>
          </w:p>
        </w:tc>
        <w:tc>
          <w:tcPr>
            <w:tcW w:w="709" w:type="dxa"/>
          </w:tcPr>
          <w:p w:rsidR="005A6CB7" w:rsidRDefault="005A6CB7">
            <w:pPr>
              <w:jc w:val="center"/>
              <w:rPr>
                <w:noProof/>
                <w:sz w:val="14"/>
                <w:lang w:eastAsia="bg-BG" w:bidi="bg-BG"/>
              </w:rPr>
            </w:pPr>
          </w:p>
        </w:tc>
        <w:tc>
          <w:tcPr>
            <w:tcW w:w="850" w:type="dxa"/>
          </w:tcPr>
          <w:p w:rsidR="005A6CB7" w:rsidRDefault="005A6CB7">
            <w:pPr>
              <w:spacing w:before="20" w:after="20"/>
              <w:jc w:val="right"/>
              <w:rPr>
                <w:noProof/>
                <w:sz w:val="20"/>
                <w:szCs w:val="20"/>
                <w:lang w:eastAsia="bg-BG" w:bidi="bg-BG"/>
              </w:rPr>
            </w:pPr>
          </w:p>
        </w:tc>
        <w:tc>
          <w:tcPr>
            <w:tcW w:w="851" w:type="dxa"/>
          </w:tcPr>
          <w:p w:rsidR="005A6CB7" w:rsidRDefault="005A6CB7">
            <w:pPr>
              <w:spacing w:before="20" w:after="20"/>
              <w:jc w:val="right"/>
              <w:rPr>
                <w:noProof/>
                <w:sz w:val="20"/>
                <w:szCs w:val="20"/>
                <w:lang w:eastAsia="bg-BG" w:bidi="bg-BG"/>
              </w:rPr>
            </w:pPr>
          </w:p>
        </w:tc>
        <w:tc>
          <w:tcPr>
            <w:tcW w:w="850" w:type="dxa"/>
          </w:tcPr>
          <w:p w:rsidR="005A6CB7" w:rsidRDefault="005A6CB7">
            <w:pPr>
              <w:spacing w:before="20" w:after="20"/>
              <w:jc w:val="right"/>
              <w:rPr>
                <w:noProof/>
                <w:sz w:val="20"/>
                <w:szCs w:val="20"/>
                <w:lang w:eastAsia="bg-BG" w:bidi="bg-BG"/>
              </w:rPr>
            </w:pPr>
          </w:p>
        </w:tc>
        <w:tc>
          <w:tcPr>
            <w:tcW w:w="709" w:type="dxa"/>
          </w:tcPr>
          <w:p w:rsidR="005A6CB7" w:rsidRDefault="005A6CB7">
            <w:pPr>
              <w:spacing w:before="20" w:after="20"/>
              <w:jc w:val="right"/>
              <w:rPr>
                <w:noProof/>
                <w:sz w:val="20"/>
                <w:szCs w:val="20"/>
                <w:lang w:eastAsia="bg-BG" w:bidi="bg-BG"/>
              </w:rPr>
            </w:pPr>
          </w:p>
        </w:tc>
        <w:tc>
          <w:tcPr>
            <w:tcW w:w="709" w:type="dxa"/>
          </w:tcPr>
          <w:p w:rsidR="005A6CB7" w:rsidRDefault="005A6CB7">
            <w:pPr>
              <w:spacing w:before="20" w:after="20"/>
              <w:jc w:val="right"/>
              <w:rPr>
                <w:b/>
                <w:noProof/>
                <w:sz w:val="20"/>
                <w:szCs w:val="20"/>
                <w:lang w:eastAsia="bg-BG" w:bidi="bg-BG"/>
              </w:rPr>
            </w:pPr>
          </w:p>
        </w:tc>
      </w:tr>
      <w:tr w:rsidR="005A6CB7">
        <w:tc>
          <w:tcPr>
            <w:tcW w:w="3960" w:type="dxa"/>
            <w:vMerge w:val="restart"/>
            <w:shd w:val="clear" w:color="C0C0C0" w:fill="auto"/>
            <w:vAlign w:val="center"/>
          </w:tcPr>
          <w:p w:rsidR="005A6CB7" w:rsidRDefault="00C93832">
            <w:pPr>
              <w:jc w:val="center"/>
              <w:rPr>
                <w:noProof/>
                <w:lang w:eastAsia="bg-BG" w:bidi="bg-BG"/>
              </w:rPr>
            </w:pPr>
            <w:r>
              <w:rPr>
                <w:b/>
                <w:noProof/>
                <w:sz w:val="22"/>
                <w:lang w:eastAsia="bg-BG" w:bidi="bg-BG"/>
              </w:rPr>
              <w:t xml:space="preserve">ОБЩО бюджетни кредити </w:t>
            </w:r>
            <w:r>
              <w:rPr>
                <w:b/>
                <w:noProof/>
                <w:sz w:val="22"/>
                <w:lang w:eastAsia="bg-BG" w:bidi="bg-BG"/>
              </w:rPr>
              <w:br/>
              <w:t>по ФУНКЦИЯ 4</w:t>
            </w:r>
            <w:r>
              <w:rPr>
                <w:b/>
                <w:noProof/>
                <w:sz w:val="22"/>
                <w:lang w:eastAsia="bg-BG" w:bidi="bg-BG"/>
              </w:rPr>
              <w:br/>
            </w:r>
            <w:r>
              <w:rPr>
                <w:noProof/>
                <w:sz w:val="22"/>
                <w:lang w:eastAsia="bg-BG" w:bidi="bg-BG"/>
              </w:rPr>
              <w:t>от многогодишната финансова рамка</w:t>
            </w:r>
          </w:p>
        </w:tc>
        <w:tc>
          <w:tcPr>
            <w:tcW w:w="1645" w:type="dxa"/>
            <w:vAlign w:val="center"/>
          </w:tcPr>
          <w:p w:rsidR="005A6CB7" w:rsidRDefault="00C93832">
            <w:pPr>
              <w:rPr>
                <w:noProof/>
                <w:lang w:eastAsia="bg-BG" w:bidi="bg-BG"/>
              </w:rPr>
            </w:pPr>
            <w:r>
              <w:rPr>
                <w:noProof/>
                <w:sz w:val="18"/>
                <w:lang w:eastAsia="bg-BG" w:bidi="bg-BG"/>
              </w:rPr>
              <w:t>Поети задължения</w:t>
            </w:r>
          </w:p>
        </w:tc>
        <w:tc>
          <w:tcPr>
            <w:tcW w:w="709" w:type="dxa"/>
            <w:vAlign w:val="center"/>
          </w:tcPr>
          <w:p w:rsidR="005A6CB7" w:rsidRDefault="00C93832">
            <w:pPr>
              <w:jc w:val="center"/>
              <w:rPr>
                <w:noProof/>
                <w:sz w:val="14"/>
                <w:lang w:eastAsia="bg-BG" w:bidi="bg-BG"/>
              </w:rPr>
            </w:pPr>
            <w:r>
              <w:rPr>
                <w:noProof/>
                <w:sz w:val="14"/>
                <w:lang w:eastAsia="bg-BG" w:bidi="bg-BG"/>
              </w:rPr>
              <w:t>=4+ 6</w:t>
            </w:r>
          </w:p>
        </w:tc>
        <w:tc>
          <w:tcPr>
            <w:tcW w:w="850" w:type="dxa"/>
            <w:vAlign w:val="center"/>
          </w:tcPr>
          <w:p w:rsidR="005A6CB7" w:rsidRDefault="005A6CB7">
            <w:pPr>
              <w:spacing w:before="20" w:after="20"/>
              <w:jc w:val="right"/>
              <w:rPr>
                <w:noProof/>
                <w:sz w:val="20"/>
                <w:szCs w:val="20"/>
                <w:lang w:eastAsia="bg-BG" w:bidi="bg-BG"/>
              </w:rPr>
            </w:pPr>
          </w:p>
        </w:tc>
        <w:tc>
          <w:tcPr>
            <w:tcW w:w="851" w:type="dxa"/>
            <w:vAlign w:val="center"/>
          </w:tcPr>
          <w:p w:rsidR="005A6CB7" w:rsidRDefault="005A6CB7">
            <w:pPr>
              <w:spacing w:before="20" w:after="20"/>
              <w:jc w:val="right"/>
              <w:rPr>
                <w:noProof/>
                <w:sz w:val="20"/>
                <w:szCs w:val="20"/>
                <w:lang w:eastAsia="bg-BG" w:bidi="bg-BG"/>
              </w:rPr>
            </w:pPr>
          </w:p>
        </w:tc>
        <w:tc>
          <w:tcPr>
            <w:tcW w:w="850" w:type="dxa"/>
            <w:vAlign w:val="center"/>
          </w:tcPr>
          <w:p w:rsidR="005A6CB7" w:rsidRDefault="00C93832">
            <w:pPr>
              <w:spacing w:before="20" w:after="20"/>
              <w:jc w:val="right"/>
              <w:rPr>
                <w:noProof/>
                <w:sz w:val="20"/>
                <w:szCs w:val="20"/>
                <w:lang w:eastAsia="bg-BG" w:bidi="bg-BG"/>
              </w:rPr>
            </w:pPr>
            <w:r>
              <w:rPr>
                <w:noProof/>
                <w:sz w:val="20"/>
                <w:lang w:eastAsia="bg-BG" w:bidi="bg-BG"/>
              </w:rPr>
              <w:t>31,65</w:t>
            </w:r>
          </w:p>
        </w:tc>
        <w:tc>
          <w:tcPr>
            <w:tcW w:w="709" w:type="dxa"/>
            <w:vAlign w:val="center"/>
          </w:tcPr>
          <w:p w:rsidR="005A6CB7" w:rsidRDefault="00C93832">
            <w:pPr>
              <w:spacing w:before="20" w:after="20"/>
              <w:jc w:val="right"/>
              <w:rPr>
                <w:noProof/>
                <w:sz w:val="20"/>
                <w:szCs w:val="20"/>
                <w:lang w:eastAsia="bg-BG" w:bidi="bg-BG"/>
              </w:rPr>
            </w:pPr>
            <w:r>
              <w:rPr>
                <w:noProof/>
                <w:sz w:val="20"/>
                <w:lang w:eastAsia="bg-BG" w:bidi="bg-BG"/>
              </w:rPr>
              <w:t>13,5</w:t>
            </w:r>
          </w:p>
        </w:tc>
        <w:tc>
          <w:tcPr>
            <w:tcW w:w="709" w:type="dxa"/>
            <w:vAlign w:val="center"/>
          </w:tcPr>
          <w:p w:rsidR="005A6CB7" w:rsidRDefault="00C93832">
            <w:pPr>
              <w:spacing w:before="20" w:after="20"/>
              <w:jc w:val="right"/>
              <w:rPr>
                <w:noProof/>
                <w:sz w:val="20"/>
                <w:szCs w:val="20"/>
                <w:lang w:eastAsia="bg-BG" w:bidi="bg-BG"/>
              </w:rPr>
            </w:pPr>
            <w:r>
              <w:rPr>
                <w:b/>
                <w:noProof/>
                <w:sz w:val="20"/>
                <w:lang w:eastAsia="bg-BG" w:bidi="bg-BG"/>
              </w:rPr>
              <w:t>45,15</w:t>
            </w:r>
          </w:p>
        </w:tc>
      </w:tr>
      <w:tr w:rsidR="005A6CB7">
        <w:tc>
          <w:tcPr>
            <w:tcW w:w="3960" w:type="dxa"/>
            <w:vMerge/>
            <w:shd w:val="thinDiagStripe" w:color="C0C0C0" w:fill="auto"/>
          </w:tcPr>
          <w:p w:rsidR="005A6CB7" w:rsidRDefault="005A6CB7">
            <w:pPr>
              <w:rPr>
                <w:noProof/>
                <w:sz w:val="20"/>
                <w:lang w:eastAsia="bg-BG" w:bidi="bg-BG"/>
              </w:rPr>
            </w:pPr>
          </w:p>
        </w:tc>
        <w:tc>
          <w:tcPr>
            <w:tcW w:w="1645" w:type="dxa"/>
            <w:vAlign w:val="center"/>
          </w:tcPr>
          <w:p w:rsidR="005A6CB7" w:rsidRDefault="00C93832">
            <w:pPr>
              <w:rPr>
                <w:noProof/>
                <w:lang w:eastAsia="bg-BG" w:bidi="bg-BG"/>
              </w:rPr>
            </w:pPr>
            <w:r>
              <w:rPr>
                <w:noProof/>
                <w:sz w:val="18"/>
                <w:lang w:eastAsia="bg-BG" w:bidi="bg-BG"/>
              </w:rPr>
              <w:t>Плащания</w:t>
            </w:r>
          </w:p>
        </w:tc>
        <w:tc>
          <w:tcPr>
            <w:tcW w:w="709" w:type="dxa"/>
            <w:vAlign w:val="center"/>
          </w:tcPr>
          <w:p w:rsidR="005A6CB7" w:rsidRDefault="00C93832">
            <w:pPr>
              <w:jc w:val="center"/>
              <w:rPr>
                <w:noProof/>
                <w:sz w:val="14"/>
                <w:lang w:eastAsia="bg-BG" w:bidi="bg-BG"/>
              </w:rPr>
            </w:pPr>
            <w:r>
              <w:rPr>
                <w:noProof/>
                <w:sz w:val="14"/>
                <w:lang w:eastAsia="bg-BG" w:bidi="bg-BG"/>
              </w:rPr>
              <w:t>=5+ 6</w:t>
            </w:r>
          </w:p>
        </w:tc>
        <w:tc>
          <w:tcPr>
            <w:tcW w:w="850" w:type="dxa"/>
            <w:vAlign w:val="center"/>
          </w:tcPr>
          <w:p w:rsidR="005A6CB7" w:rsidRDefault="005A6CB7">
            <w:pPr>
              <w:spacing w:before="20" w:after="20"/>
              <w:jc w:val="right"/>
              <w:rPr>
                <w:noProof/>
                <w:sz w:val="20"/>
                <w:szCs w:val="20"/>
                <w:lang w:eastAsia="bg-BG" w:bidi="bg-BG"/>
              </w:rPr>
            </w:pPr>
          </w:p>
        </w:tc>
        <w:tc>
          <w:tcPr>
            <w:tcW w:w="851" w:type="dxa"/>
            <w:vAlign w:val="center"/>
          </w:tcPr>
          <w:p w:rsidR="005A6CB7" w:rsidRDefault="005A6CB7">
            <w:pPr>
              <w:spacing w:before="20" w:after="20"/>
              <w:jc w:val="right"/>
              <w:rPr>
                <w:noProof/>
                <w:sz w:val="20"/>
                <w:szCs w:val="20"/>
                <w:lang w:eastAsia="bg-BG" w:bidi="bg-BG"/>
              </w:rPr>
            </w:pPr>
          </w:p>
        </w:tc>
        <w:tc>
          <w:tcPr>
            <w:tcW w:w="850" w:type="dxa"/>
            <w:vAlign w:val="center"/>
          </w:tcPr>
          <w:p w:rsidR="005A6CB7" w:rsidRDefault="00C93832">
            <w:pPr>
              <w:spacing w:before="20" w:after="20"/>
              <w:jc w:val="right"/>
              <w:rPr>
                <w:noProof/>
                <w:sz w:val="20"/>
                <w:szCs w:val="20"/>
                <w:lang w:eastAsia="bg-BG" w:bidi="bg-BG"/>
              </w:rPr>
            </w:pPr>
            <w:r>
              <w:rPr>
                <w:noProof/>
                <w:sz w:val="20"/>
                <w:lang w:eastAsia="bg-BG" w:bidi="bg-BG"/>
              </w:rPr>
              <w:t>31,55</w:t>
            </w:r>
          </w:p>
        </w:tc>
        <w:tc>
          <w:tcPr>
            <w:tcW w:w="709" w:type="dxa"/>
            <w:vAlign w:val="center"/>
          </w:tcPr>
          <w:p w:rsidR="005A6CB7" w:rsidRDefault="00C93832">
            <w:pPr>
              <w:spacing w:before="20" w:after="20"/>
              <w:jc w:val="right"/>
              <w:rPr>
                <w:noProof/>
                <w:sz w:val="20"/>
                <w:szCs w:val="20"/>
                <w:lang w:eastAsia="bg-BG" w:bidi="bg-BG"/>
              </w:rPr>
            </w:pPr>
            <w:r>
              <w:rPr>
                <w:noProof/>
                <w:sz w:val="20"/>
                <w:lang w:eastAsia="bg-BG" w:bidi="bg-BG"/>
              </w:rPr>
              <w:t>13,6</w:t>
            </w:r>
          </w:p>
        </w:tc>
        <w:tc>
          <w:tcPr>
            <w:tcW w:w="709" w:type="dxa"/>
            <w:vAlign w:val="center"/>
          </w:tcPr>
          <w:p w:rsidR="005A6CB7" w:rsidRDefault="00C93832">
            <w:pPr>
              <w:spacing w:before="20" w:after="20"/>
              <w:jc w:val="right"/>
              <w:rPr>
                <w:noProof/>
                <w:sz w:val="20"/>
                <w:szCs w:val="20"/>
                <w:lang w:eastAsia="bg-BG" w:bidi="bg-BG"/>
              </w:rPr>
            </w:pPr>
            <w:r>
              <w:rPr>
                <w:b/>
                <w:noProof/>
                <w:sz w:val="20"/>
                <w:lang w:eastAsia="bg-BG" w:bidi="bg-BG"/>
              </w:rPr>
              <w:t>45,15</w:t>
            </w:r>
          </w:p>
        </w:tc>
      </w:tr>
    </w:tbl>
    <w:p w:rsidR="005A6CB7" w:rsidRDefault="005A6CB7">
      <w:pPr>
        <w:spacing w:after="40"/>
        <w:rPr>
          <w:b/>
          <w:noProof/>
          <w:sz w:val="22"/>
          <w:u w:val="single"/>
          <w:lang w:eastAsia="bg-BG" w:bidi="bg-BG"/>
        </w:rPr>
      </w:pPr>
    </w:p>
    <w:p w:rsidR="005A6CB7" w:rsidRDefault="00C93832">
      <w:pPr>
        <w:rPr>
          <w:noProof/>
          <w:lang w:eastAsia="bg-BG" w:bidi="bg-BG"/>
        </w:rPr>
      </w:pPr>
      <w:r>
        <w:rPr>
          <w:noProof/>
          <w:lang w:eastAsia="bg-BG" w:bidi="bg-BG"/>
        </w:rPr>
        <w:br w:type="page"/>
      </w:r>
    </w:p>
    <w:p w:rsidR="005A6CB7" w:rsidRDefault="00C93832">
      <w:pPr>
        <w:spacing w:after="40"/>
        <w:rPr>
          <w:b/>
          <w:noProof/>
          <w:sz w:val="22"/>
          <w:u w:val="single"/>
          <w:lang w:eastAsia="bg-BG" w:bidi="bg-BG"/>
        </w:rPr>
      </w:pPr>
      <w:r>
        <w:rPr>
          <w:b/>
          <w:noProof/>
          <w:sz w:val="22"/>
          <w:u w:val="single"/>
          <w:lang w:eastAsia="bg-BG" w:bidi="bg-BG"/>
        </w:rPr>
        <w:t>Ако предложението/инициативата има отражение върху повече от една функция:</w:t>
      </w:r>
    </w:p>
    <w:p w:rsidR="005A6CB7" w:rsidRDefault="00C93832">
      <w:pPr>
        <w:jc w:val="right"/>
        <w:rPr>
          <w:noProof/>
          <w:sz w:val="20"/>
          <w:lang w:eastAsia="bg-BG" w:bidi="bg-BG"/>
        </w:rPr>
      </w:pPr>
      <w:r>
        <w:rPr>
          <w:noProof/>
          <w:sz w:val="20"/>
          <w:lang w:eastAsia="bg-BG" w:bidi="bg-BG"/>
        </w:rPr>
        <w:t>млн. EUR (до третия знак след десетичната запетая)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rsidR="005A6CB7">
        <w:tc>
          <w:tcPr>
            <w:tcW w:w="3337" w:type="dxa"/>
            <w:vAlign w:val="center"/>
          </w:tcPr>
          <w:p w:rsidR="005A6CB7" w:rsidRDefault="00C93832">
            <w:pPr>
              <w:jc w:val="center"/>
              <w:rPr>
                <w:noProof/>
                <w:lang w:eastAsia="bg-BG" w:bidi="bg-BG"/>
              </w:rPr>
            </w:pPr>
            <w:r>
              <w:rPr>
                <w:b/>
                <w:noProof/>
                <w:lang w:eastAsia="bg-BG" w:bidi="bg-BG"/>
              </w:rPr>
              <w:t>Функция от многогодишната финансова рамка:</w:t>
            </w:r>
          </w:p>
        </w:tc>
        <w:tc>
          <w:tcPr>
            <w:tcW w:w="2126" w:type="dxa"/>
          </w:tcPr>
          <w:p w:rsidR="005A6CB7" w:rsidRDefault="00C93832">
            <w:pPr>
              <w:jc w:val="center"/>
              <w:rPr>
                <w:noProof/>
                <w:sz w:val="20"/>
                <w:lang w:eastAsia="bg-BG" w:bidi="bg-BG"/>
              </w:rPr>
            </w:pPr>
            <w:r>
              <w:rPr>
                <w:b/>
                <w:noProof/>
                <w:sz w:val="20"/>
                <w:lang w:eastAsia="bg-BG" w:bidi="bg-BG"/>
              </w:rPr>
              <w:br/>
              <w:t>5</w:t>
            </w:r>
          </w:p>
        </w:tc>
        <w:tc>
          <w:tcPr>
            <w:tcW w:w="4678" w:type="dxa"/>
            <w:gridSpan w:val="5"/>
            <w:vAlign w:val="center"/>
          </w:tcPr>
          <w:p w:rsidR="005A6CB7" w:rsidRDefault="00C93832">
            <w:pPr>
              <w:jc w:val="center"/>
              <w:rPr>
                <w:b/>
                <w:noProof/>
                <w:sz w:val="20"/>
                <w:lang w:eastAsia="bg-BG" w:bidi="bg-BG"/>
              </w:rPr>
            </w:pPr>
            <w:r>
              <w:rPr>
                <w:noProof/>
                <w:sz w:val="22"/>
                <w:lang w:eastAsia="bg-BG" w:bidi="bg-BG"/>
              </w:rPr>
              <w:t>„Административни разходи“</w:t>
            </w:r>
          </w:p>
        </w:tc>
      </w:tr>
      <w:tr w:rsidR="005A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rsidR="005A6CB7" w:rsidRDefault="005A6CB7">
            <w:pPr>
              <w:jc w:val="center"/>
              <w:rPr>
                <w:noProof/>
                <w:lang w:eastAsia="bg-BG" w:bidi="bg-BG"/>
              </w:rPr>
            </w:pPr>
          </w:p>
        </w:tc>
        <w:tc>
          <w:tcPr>
            <w:tcW w:w="2126" w:type="dxa"/>
          </w:tcPr>
          <w:p w:rsidR="005A6CB7" w:rsidRDefault="005A6CB7">
            <w:pPr>
              <w:rPr>
                <w:noProof/>
                <w:sz w:val="20"/>
                <w:lang w:eastAsia="bg-BG" w:bidi="bg-BG"/>
              </w:rPr>
            </w:pPr>
          </w:p>
        </w:tc>
        <w:tc>
          <w:tcPr>
            <w:tcW w:w="1134" w:type="dxa"/>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2016</w:t>
            </w:r>
          </w:p>
        </w:tc>
        <w:tc>
          <w:tcPr>
            <w:tcW w:w="851" w:type="dxa"/>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2017</w:t>
            </w:r>
          </w:p>
        </w:tc>
        <w:tc>
          <w:tcPr>
            <w:tcW w:w="850" w:type="dxa"/>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2018</w:t>
            </w:r>
          </w:p>
        </w:tc>
        <w:tc>
          <w:tcPr>
            <w:tcW w:w="851" w:type="dxa"/>
          </w:tcPr>
          <w:p w:rsidR="005A6CB7" w:rsidRDefault="00C93832">
            <w:pPr>
              <w:jc w:val="center"/>
              <w:rPr>
                <w:b/>
                <w:noProof/>
                <w:sz w:val="20"/>
                <w:lang w:eastAsia="bg-BG" w:bidi="bg-BG"/>
              </w:rPr>
            </w:pPr>
            <w:r>
              <w:rPr>
                <w:noProof/>
                <w:sz w:val="20"/>
                <w:lang w:eastAsia="bg-BG" w:bidi="bg-BG"/>
              </w:rPr>
              <w:t>Година</w:t>
            </w:r>
            <w:r>
              <w:rPr>
                <w:noProof/>
                <w:sz w:val="20"/>
                <w:lang w:eastAsia="bg-BG" w:bidi="bg-BG"/>
              </w:rPr>
              <w:br/>
            </w:r>
            <w:r>
              <w:rPr>
                <w:b/>
                <w:noProof/>
                <w:sz w:val="20"/>
                <w:lang w:eastAsia="bg-BG" w:bidi="bg-BG"/>
              </w:rPr>
              <w:t>2019</w:t>
            </w:r>
          </w:p>
        </w:tc>
        <w:tc>
          <w:tcPr>
            <w:tcW w:w="992" w:type="dxa"/>
          </w:tcPr>
          <w:p w:rsidR="005A6CB7" w:rsidRDefault="00C93832">
            <w:pPr>
              <w:jc w:val="center"/>
              <w:rPr>
                <w:b/>
                <w:noProof/>
                <w:sz w:val="20"/>
                <w:lang w:eastAsia="bg-BG" w:bidi="bg-BG"/>
              </w:rPr>
            </w:pPr>
            <w:r>
              <w:rPr>
                <w:b/>
                <w:noProof/>
                <w:sz w:val="20"/>
                <w:lang w:eastAsia="bg-BG" w:bidi="bg-BG"/>
              </w:rPr>
              <w:t>ОБЩО</w:t>
            </w:r>
          </w:p>
        </w:tc>
      </w:tr>
      <w:tr w:rsidR="005A6CB7">
        <w:trPr>
          <w:gridAfter w:val="5"/>
          <w:wAfter w:w="4678" w:type="dxa"/>
        </w:trPr>
        <w:tc>
          <w:tcPr>
            <w:tcW w:w="3337" w:type="dxa"/>
            <w:vAlign w:val="center"/>
          </w:tcPr>
          <w:p w:rsidR="005A6CB7" w:rsidRDefault="00C93832">
            <w:pPr>
              <w:spacing w:before="60" w:after="60"/>
              <w:jc w:val="center"/>
              <w:rPr>
                <w:noProof/>
                <w:lang w:eastAsia="bg-BG" w:bidi="bg-BG"/>
              </w:rPr>
            </w:pPr>
            <w:r>
              <w:rPr>
                <w:noProof/>
                <w:sz w:val="22"/>
                <w:lang w:eastAsia="bg-BG" w:bidi="bg-BG"/>
              </w:rPr>
              <w:t>ГД: ГД „Икономически и финансови въпроси“</w:t>
            </w:r>
          </w:p>
        </w:tc>
        <w:tc>
          <w:tcPr>
            <w:tcW w:w="2126" w:type="dxa"/>
            <w:tcBorders>
              <w:top w:val="nil"/>
              <w:right w:val="nil"/>
            </w:tcBorders>
          </w:tcPr>
          <w:p w:rsidR="005A6CB7" w:rsidRDefault="005A6CB7">
            <w:pPr>
              <w:spacing w:before="60" w:after="60"/>
              <w:jc w:val="center"/>
              <w:rPr>
                <w:noProof/>
                <w:lang w:eastAsia="bg-BG" w:bidi="bg-BG"/>
              </w:rPr>
            </w:pPr>
          </w:p>
        </w:tc>
      </w:tr>
      <w:tr w:rsidR="005A6CB7">
        <w:trPr>
          <w:trHeight w:val="313"/>
        </w:trPr>
        <w:tc>
          <w:tcPr>
            <w:tcW w:w="5463" w:type="dxa"/>
            <w:gridSpan w:val="2"/>
            <w:vAlign w:val="center"/>
          </w:tcPr>
          <w:p w:rsidR="005A6CB7" w:rsidRDefault="00C93832">
            <w:pPr>
              <w:spacing w:before="20" w:after="20"/>
              <w:rPr>
                <w:noProof/>
                <w:lang w:eastAsia="bg-BG" w:bidi="bg-BG"/>
              </w:rPr>
            </w:pPr>
            <w:r>
              <w:rPr>
                <w:noProof/>
                <w:sz w:val="22"/>
                <w:lang w:eastAsia="bg-BG" w:bidi="bg-BG"/>
              </w:rPr>
              <w:sym w:font="Wingdings" w:char="F09F"/>
            </w:r>
            <w:r>
              <w:rPr>
                <w:noProof/>
                <w:sz w:val="22"/>
                <w:lang w:eastAsia="bg-BG" w:bidi="bg-BG"/>
              </w:rPr>
              <w:t xml:space="preserve"> Човешки ресурси</w:t>
            </w:r>
          </w:p>
        </w:tc>
        <w:tc>
          <w:tcPr>
            <w:tcW w:w="1134" w:type="dxa"/>
            <w:vAlign w:val="center"/>
          </w:tcPr>
          <w:p w:rsidR="005A6CB7" w:rsidRDefault="00C93832">
            <w:pPr>
              <w:spacing w:before="20" w:after="20"/>
              <w:jc w:val="center"/>
              <w:rPr>
                <w:noProof/>
                <w:sz w:val="20"/>
                <w:szCs w:val="20"/>
                <w:lang w:eastAsia="bg-BG" w:bidi="bg-BG"/>
              </w:rPr>
            </w:pPr>
            <w:r>
              <w:rPr>
                <w:noProof/>
                <w:sz w:val="20"/>
                <w:lang w:eastAsia="bg-BG" w:bidi="bg-BG"/>
              </w:rPr>
              <w:t>0,039</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0,029</w:t>
            </w:r>
          </w:p>
        </w:tc>
        <w:tc>
          <w:tcPr>
            <w:tcW w:w="850" w:type="dxa"/>
            <w:vAlign w:val="center"/>
          </w:tcPr>
          <w:p w:rsidR="005A6CB7" w:rsidRDefault="00C93832">
            <w:pPr>
              <w:spacing w:before="20" w:after="20"/>
              <w:jc w:val="center"/>
              <w:rPr>
                <w:noProof/>
                <w:sz w:val="20"/>
                <w:szCs w:val="20"/>
                <w:lang w:eastAsia="bg-BG" w:bidi="bg-BG"/>
              </w:rPr>
            </w:pPr>
            <w:r>
              <w:rPr>
                <w:noProof/>
                <w:sz w:val="20"/>
                <w:lang w:eastAsia="bg-BG" w:bidi="bg-BG"/>
              </w:rPr>
              <w:t>0,021</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0,016</w:t>
            </w:r>
          </w:p>
        </w:tc>
        <w:tc>
          <w:tcPr>
            <w:tcW w:w="992" w:type="dxa"/>
            <w:vAlign w:val="center"/>
          </w:tcPr>
          <w:p w:rsidR="005A6CB7" w:rsidRDefault="00C93832">
            <w:pPr>
              <w:spacing w:before="20" w:after="20"/>
              <w:jc w:val="center"/>
              <w:rPr>
                <w:b/>
                <w:noProof/>
                <w:sz w:val="20"/>
                <w:szCs w:val="20"/>
                <w:lang w:eastAsia="bg-BG" w:bidi="bg-BG"/>
              </w:rPr>
            </w:pPr>
            <w:r>
              <w:rPr>
                <w:b/>
                <w:noProof/>
                <w:sz w:val="20"/>
                <w:lang w:eastAsia="bg-BG" w:bidi="bg-BG"/>
              </w:rPr>
              <w:t>0,105</w:t>
            </w:r>
          </w:p>
        </w:tc>
      </w:tr>
      <w:tr w:rsidR="005A6CB7">
        <w:trPr>
          <w:trHeight w:val="351"/>
        </w:trPr>
        <w:tc>
          <w:tcPr>
            <w:tcW w:w="5463" w:type="dxa"/>
            <w:gridSpan w:val="2"/>
            <w:vAlign w:val="center"/>
          </w:tcPr>
          <w:p w:rsidR="005A6CB7" w:rsidRDefault="00C93832">
            <w:pPr>
              <w:spacing w:before="20" w:after="20"/>
              <w:rPr>
                <w:noProof/>
                <w:lang w:eastAsia="bg-BG" w:bidi="bg-BG"/>
              </w:rPr>
            </w:pPr>
            <w:r>
              <w:rPr>
                <w:noProof/>
                <w:sz w:val="22"/>
                <w:lang w:eastAsia="bg-BG" w:bidi="bg-BG"/>
              </w:rPr>
              <w:sym w:font="Wingdings" w:char="F09F"/>
            </w:r>
            <w:r>
              <w:rPr>
                <w:noProof/>
                <w:sz w:val="22"/>
                <w:lang w:eastAsia="bg-BG" w:bidi="bg-BG"/>
              </w:rPr>
              <w:t xml:space="preserve"> Други административни разходи </w:t>
            </w:r>
          </w:p>
        </w:tc>
        <w:tc>
          <w:tcPr>
            <w:tcW w:w="1134" w:type="dxa"/>
            <w:vAlign w:val="center"/>
          </w:tcPr>
          <w:p w:rsidR="005A6CB7" w:rsidRDefault="00C93832">
            <w:pPr>
              <w:spacing w:before="20" w:after="20"/>
              <w:jc w:val="center"/>
              <w:rPr>
                <w:noProof/>
                <w:sz w:val="20"/>
                <w:szCs w:val="20"/>
                <w:lang w:eastAsia="bg-BG" w:bidi="bg-BG"/>
              </w:rPr>
            </w:pPr>
            <w:r>
              <w:rPr>
                <w:noProof/>
                <w:sz w:val="20"/>
                <w:lang w:eastAsia="bg-BG" w:bidi="bg-BG"/>
              </w:rPr>
              <w:t>0,025</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0,015</w:t>
            </w:r>
          </w:p>
        </w:tc>
        <w:tc>
          <w:tcPr>
            <w:tcW w:w="850" w:type="dxa"/>
            <w:vAlign w:val="center"/>
          </w:tcPr>
          <w:p w:rsidR="005A6CB7" w:rsidRDefault="005A6CB7">
            <w:pPr>
              <w:spacing w:before="20" w:after="20"/>
              <w:jc w:val="center"/>
              <w:rPr>
                <w:noProof/>
                <w:sz w:val="20"/>
                <w:szCs w:val="20"/>
                <w:lang w:eastAsia="bg-BG" w:bidi="bg-BG"/>
              </w:rPr>
            </w:pPr>
          </w:p>
        </w:tc>
        <w:tc>
          <w:tcPr>
            <w:tcW w:w="851" w:type="dxa"/>
            <w:vAlign w:val="center"/>
          </w:tcPr>
          <w:p w:rsidR="005A6CB7" w:rsidRDefault="005A6CB7">
            <w:pPr>
              <w:spacing w:before="20" w:after="20"/>
              <w:jc w:val="center"/>
              <w:rPr>
                <w:b/>
                <w:noProof/>
                <w:sz w:val="20"/>
                <w:szCs w:val="20"/>
                <w:lang w:eastAsia="bg-BG" w:bidi="bg-BG"/>
              </w:rPr>
            </w:pPr>
          </w:p>
        </w:tc>
        <w:tc>
          <w:tcPr>
            <w:tcW w:w="992" w:type="dxa"/>
            <w:vAlign w:val="center"/>
          </w:tcPr>
          <w:p w:rsidR="005A6CB7" w:rsidRDefault="00C93832">
            <w:pPr>
              <w:spacing w:before="20" w:after="20"/>
              <w:jc w:val="center"/>
              <w:rPr>
                <w:b/>
                <w:noProof/>
                <w:sz w:val="20"/>
                <w:szCs w:val="20"/>
                <w:lang w:eastAsia="bg-BG" w:bidi="bg-BG"/>
              </w:rPr>
            </w:pPr>
            <w:r>
              <w:rPr>
                <w:b/>
                <w:noProof/>
                <w:sz w:val="20"/>
                <w:lang w:eastAsia="bg-BG" w:bidi="bg-BG"/>
              </w:rPr>
              <w:t>0,040</w:t>
            </w:r>
          </w:p>
        </w:tc>
      </w:tr>
      <w:tr w:rsidR="005A6CB7">
        <w:tc>
          <w:tcPr>
            <w:tcW w:w="3337" w:type="dxa"/>
            <w:vAlign w:val="center"/>
          </w:tcPr>
          <w:p w:rsidR="005A6CB7" w:rsidRDefault="00C93832">
            <w:pPr>
              <w:jc w:val="center"/>
              <w:rPr>
                <w:b/>
                <w:noProof/>
                <w:lang w:eastAsia="bg-BG" w:bidi="bg-BG"/>
              </w:rPr>
            </w:pPr>
            <w:r>
              <w:rPr>
                <w:b/>
                <w:noProof/>
                <w:lang w:eastAsia="bg-BG" w:bidi="bg-BG"/>
              </w:rPr>
              <w:t>ОБЩО ГД</w:t>
            </w:r>
            <w:r>
              <w:rPr>
                <w:noProof/>
                <w:lang w:eastAsia="bg-BG" w:bidi="bg-BG"/>
              </w:rPr>
              <w:t xml:space="preserve"> „Икономически и финансови въпроси“</w:t>
            </w:r>
          </w:p>
        </w:tc>
        <w:tc>
          <w:tcPr>
            <w:tcW w:w="2126" w:type="dxa"/>
            <w:vAlign w:val="center"/>
          </w:tcPr>
          <w:p w:rsidR="005A6CB7" w:rsidRDefault="00C93832">
            <w:pPr>
              <w:rPr>
                <w:noProof/>
                <w:lang w:eastAsia="bg-BG" w:bidi="bg-BG"/>
              </w:rPr>
            </w:pPr>
            <w:r>
              <w:rPr>
                <w:noProof/>
                <w:sz w:val="18"/>
                <w:lang w:eastAsia="bg-BG" w:bidi="bg-BG"/>
              </w:rPr>
              <w:t xml:space="preserve">Бюджетни кредити </w:t>
            </w:r>
          </w:p>
        </w:tc>
        <w:tc>
          <w:tcPr>
            <w:tcW w:w="1134" w:type="dxa"/>
            <w:vAlign w:val="center"/>
          </w:tcPr>
          <w:p w:rsidR="005A6CB7" w:rsidRDefault="00C93832">
            <w:pPr>
              <w:spacing w:before="60" w:after="60"/>
              <w:jc w:val="center"/>
              <w:rPr>
                <w:noProof/>
                <w:sz w:val="20"/>
                <w:szCs w:val="20"/>
                <w:lang w:eastAsia="bg-BG" w:bidi="bg-BG"/>
              </w:rPr>
            </w:pPr>
            <w:r>
              <w:rPr>
                <w:noProof/>
                <w:sz w:val="20"/>
                <w:lang w:eastAsia="bg-BG" w:bidi="bg-BG"/>
              </w:rPr>
              <w:t>0,064</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0,044</w:t>
            </w:r>
          </w:p>
        </w:tc>
        <w:tc>
          <w:tcPr>
            <w:tcW w:w="850" w:type="dxa"/>
            <w:vAlign w:val="center"/>
          </w:tcPr>
          <w:p w:rsidR="005A6CB7" w:rsidRDefault="00C93832">
            <w:pPr>
              <w:spacing w:before="20" w:after="20"/>
              <w:jc w:val="center"/>
              <w:rPr>
                <w:noProof/>
                <w:sz w:val="20"/>
                <w:szCs w:val="20"/>
                <w:lang w:eastAsia="bg-BG" w:bidi="bg-BG"/>
              </w:rPr>
            </w:pPr>
            <w:r>
              <w:rPr>
                <w:noProof/>
                <w:sz w:val="20"/>
                <w:lang w:eastAsia="bg-BG" w:bidi="bg-BG"/>
              </w:rPr>
              <w:t>0,021</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0,016</w:t>
            </w:r>
          </w:p>
        </w:tc>
        <w:tc>
          <w:tcPr>
            <w:tcW w:w="992" w:type="dxa"/>
            <w:vAlign w:val="center"/>
          </w:tcPr>
          <w:p w:rsidR="005A6CB7" w:rsidRDefault="00C93832">
            <w:pPr>
              <w:spacing w:before="20" w:after="20"/>
              <w:jc w:val="center"/>
              <w:rPr>
                <w:b/>
                <w:noProof/>
                <w:sz w:val="20"/>
                <w:szCs w:val="20"/>
                <w:lang w:eastAsia="bg-BG" w:bidi="bg-BG"/>
              </w:rPr>
            </w:pPr>
            <w:r>
              <w:rPr>
                <w:b/>
                <w:noProof/>
                <w:sz w:val="20"/>
                <w:lang w:eastAsia="bg-BG" w:bidi="bg-BG"/>
              </w:rPr>
              <w:t>0,145</w:t>
            </w:r>
          </w:p>
        </w:tc>
      </w:tr>
      <w:tr w:rsidR="005A6CB7">
        <w:tc>
          <w:tcPr>
            <w:tcW w:w="3337" w:type="dxa"/>
            <w:shd w:val="clear" w:color="C0C0C0" w:fill="auto"/>
            <w:vAlign w:val="center"/>
          </w:tcPr>
          <w:p w:rsidR="005A6CB7" w:rsidRDefault="00C93832">
            <w:pPr>
              <w:jc w:val="center"/>
              <w:rPr>
                <w:noProof/>
                <w:lang w:eastAsia="bg-BG" w:bidi="bg-BG"/>
              </w:rPr>
            </w:pPr>
            <w:r>
              <w:rPr>
                <w:b/>
                <w:noProof/>
                <w:sz w:val="22"/>
                <w:lang w:eastAsia="bg-BG" w:bidi="bg-BG"/>
              </w:rPr>
              <w:t>ОБЩО бюджетни кредити</w:t>
            </w:r>
            <w:r>
              <w:rPr>
                <w:b/>
                <w:noProof/>
                <w:sz w:val="22"/>
                <w:lang w:eastAsia="bg-BG" w:bidi="bg-BG"/>
              </w:rPr>
              <w:br/>
              <w:t>за ФУНКЦИЯ 5</w:t>
            </w:r>
            <w:r>
              <w:rPr>
                <w:b/>
                <w:noProof/>
                <w:sz w:val="22"/>
                <w:lang w:eastAsia="bg-BG" w:bidi="bg-BG"/>
              </w:rPr>
              <w:br/>
            </w:r>
            <w:r>
              <w:rPr>
                <w:noProof/>
                <w:sz w:val="22"/>
                <w:lang w:eastAsia="bg-BG" w:bidi="bg-BG"/>
              </w:rPr>
              <w:t>от многогодишната финансова рамка</w:t>
            </w:r>
            <w:r>
              <w:rPr>
                <w:b/>
                <w:noProof/>
                <w:sz w:val="22"/>
                <w:lang w:eastAsia="bg-BG" w:bidi="bg-BG"/>
              </w:rPr>
              <w:t xml:space="preserve"> </w:t>
            </w:r>
          </w:p>
        </w:tc>
        <w:tc>
          <w:tcPr>
            <w:tcW w:w="2126" w:type="dxa"/>
            <w:vAlign w:val="center"/>
          </w:tcPr>
          <w:p w:rsidR="005A6CB7" w:rsidRDefault="00C93832">
            <w:pPr>
              <w:spacing w:before="40" w:after="40"/>
              <w:rPr>
                <w:noProof/>
                <w:lang w:eastAsia="bg-BG" w:bidi="bg-BG"/>
              </w:rPr>
            </w:pPr>
            <w:r>
              <w:rPr>
                <w:noProof/>
                <w:sz w:val="18"/>
                <w:lang w:eastAsia="bg-BG" w:bidi="bg-BG"/>
              </w:rPr>
              <w:t>(Общо поети задължения = Общо плащания)</w:t>
            </w:r>
          </w:p>
        </w:tc>
        <w:tc>
          <w:tcPr>
            <w:tcW w:w="1134" w:type="dxa"/>
            <w:vAlign w:val="center"/>
          </w:tcPr>
          <w:p w:rsidR="005A6CB7" w:rsidRDefault="00C93832">
            <w:pPr>
              <w:spacing w:before="60" w:after="60"/>
              <w:jc w:val="center"/>
              <w:rPr>
                <w:noProof/>
                <w:sz w:val="20"/>
                <w:szCs w:val="20"/>
                <w:lang w:eastAsia="bg-BG" w:bidi="bg-BG"/>
              </w:rPr>
            </w:pPr>
            <w:r>
              <w:rPr>
                <w:noProof/>
                <w:sz w:val="20"/>
                <w:lang w:eastAsia="bg-BG" w:bidi="bg-BG"/>
              </w:rPr>
              <w:t>0,064</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0,044</w:t>
            </w:r>
          </w:p>
        </w:tc>
        <w:tc>
          <w:tcPr>
            <w:tcW w:w="850" w:type="dxa"/>
            <w:vAlign w:val="center"/>
          </w:tcPr>
          <w:p w:rsidR="005A6CB7" w:rsidRDefault="00C93832">
            <w:pPr>
              <w:spacing w:before="20" w:after="20"/>
              <w:jc w:val="center"/>
              <w:rPr>
                <w:noProof/>
                <w:sz w:val="20"/>
                <w:szCs w:val="20"/>
                <w:lang w:eastAsia="bg-BG" w:bidi="bg-BG"/>
              </w:rPr>
            </w:pPr>
            <w:r>
              <w:rPr>
                <w:noProof/>
                <w:sz w:val="20"/>
                <w:lang w:eastAsia="bg-BG" w:bidi="bg-BG"/>
              </w:rPr>
              <w:t>0,021</w:t>
            </w:r>
          </w:p>
        </w:tc>
        <w:tc>
          <w:tcPr>
            <w:tcW w:w="851" w:type="dxa"/>
            <w:vAlign w:val="center"/>
          </w:tcPr>
          <w:p w:rsidR="005A6CB7" w:rsidRDefault="00C93832">
            <w:pPr>
              <w:spacing w:before="20" w:after="20"/>
              <w:jc w:val="center"/>
              <w:rPr>
                <w:noProof/>
                <w:sz w:val="20"/>
                <w:szCs w:val="20"/>
                <w:lang w:eastAsia="bg-BG" w:bidi="bg-BG"/>
              </w:rPr>
            </w:pPr>
            <w:r>
              <w:rPr>
                <w:noProof/>
                <w:sz w:val="20"/>
                <w:lang w:eastAsia="bg-BG" w:bidi="bg-BG"/>
              </w:rPr>
              <w:t>0,016</w:t>
            </w:r>
          </w:p>
        </w:tc>
        <w:tc>
          <w:tcPr>
            <w:tcW w:w="992" w:type="dxa"/>
            <w:vAlign w:val="center"/>
          </w:tcPr>
          <w:p w:rsidR="005A6CB7" w:rsidRDefault="00C93832">
            <w:pPr>
              <w:spacing w:before="20" w:after="20"/>
              <w:jc w:val="center"/>
              <w:rPr>
                <w:b/>
                <w:noProof/>
                <w:sz w:val="20"/>
                <w:szCs w:val="20"/>
                <w:lang w:eastAsia="bg-BG" w:bidi="bg-BG"/>
              </w:rPr>
            </w:pPr>
            <w:r>
              <w:rPr>
                <w:b/>
                <w:noProof/>
                <w:sz w:val="20"/>
                <w:lang w:eastAsia="bg-BG" w:bidi="bg-BG"/>
              </w:rPr>
              <w:t>0,145</w:t>
            </w:r>
          </w:p>
        </w:tc>
      </w:tr>
    </w:tbl>
    <w:p w:rsidR="005A6CB7" w:rsidRDefault="00C93832">
      <w:pPr>
        <w:jc w:val="right"/>
        <w:rPr>
          <w:noProof/>
          <w:sz w:val="20"/>
          <w:lang w:eastAsia="bg-BG" w:bidi="bg-BG"/>
        </w:rPr>
      </w:pPr>
      <w:r>
        <w:rPr>
          <w:noProof/>
          <w:sz w:val="20"/>
          <w:lang w:eastAsia="bg-BG" w:bidi="bg-BG"/>
        </w:rPr>
        <w:t>млн. EUR (до третия знак след десетичната запетая)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rsidR="005A6CB7">
        <w:tc>
          <w:tcPr>
            <w:tcW w:w="3337" w:type="dxa"/>
            <w:tcBorders>
              <w:top w:val="nil"/>
              <w:left w:val="nil"/>
              <w:right w:val="nil"/>
            </w:tcBorders>
            <w:vAlign w:val="center"/>
          </w:tcPr>
          <w:p w:rsidR="005A6CB7" w:rsidRDefault="005A6CB7">
            <w:pPr>
              <w:jc w:val="center"/>
              <w:rPr>
                <w:noProof/>
                <w:lang w:eastAsia="bg-BG" w:bidi="bg-BG"/>
              </w:rPr>
            </w:pPr>
          </w:p>
        </w:tc>
        <w:tc>
          <w:tcPr>
            <w:tcW w:w="2126" w:type="dxa"/>
            <w:tcBorders>
              <w:top w:val="nil"/>
              <w:left w:val="nil"/>
            </w:tcBorders>
          </w:tcPr>
          <w:p w:rsidR="005A6CB7" w:rsidRDefault="005A6CB7">
            <w:pPr>
              <w:rPr>
                <w:noProof/>
                <w:sz w:val="20"/>
                <w:lang w:eastAsia="bg-BG" w:bidi="bg-BG"/>
              </w:rPr>
            </w:pPr>
          </w:p>
        </w:tc>
        <w:tc>
          <w:tcPr>
            <w:tcW w:w="1134"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2016</w:t>
            </w:r>
            <w:r>
              <w:rPr>
                <w:rStyle w:val="FootnoteReference"/>
                <w:noProof/>
              </w:rPr>
              <w:footnoteReference w:id="20"/>
            </w:r>
          </w:p>
        </w:tc>
        <w:tc>
          <w:tcPr>
            <w:tcW w:w="851"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2017</w:t>
            </w:r>
          </w:p>
        </w:tc>
        <w:tc>
          <w:tcPr>
            <w:tcW w:w="850"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2018</w:t>
            </w:r>
          </w:p>
        </w:tc>
        <w:tc>
          <w:tcPr>
            <w:tcW w:w="851" w:type="dxa"/>
            <w:vAlign w:val="center"/>
          </w:tcPr>
          <w:p w:rsidR="005A6CB7" w:rsidRDefault="00C93832">
            <w:pPr>
              <w:jc w:val="center"/>
              <w:rPr>
                <w:noProof/>
                <w:lang w:eastAsia="bg-BG" w:bidi="bg-BG"/>
              </w:rPr>
            </w:pPr>
            <w:r>
              <w:rPr>
                <w:noProof/>
                <w:sz w:val="20"/>
                <w:lang w:eastAsia="bg-BG" w:bidi="bg-BG"/>
              </w:rPr>
              <w:t>Година</w:t>
            </w:r>
            <w:r>
              <w:rPr>
                <w:noProof/>
                <w:sz w:val="20"/>
                <w:lang w:eastAsia="bg-BG" w:bidi="bg-BG"/>
              </w:rPr>
              <w:br/>
            </w:r>
            <w:r>
              <w:rPr>
                <w:b/>
                <w:noProof/>
                <w:sz w:val="20"/>
                <w:lang w:eastAsia="bg-BG" w:bidi="bg-BG"/>
              </w:rPr>
              <w:t>2019</w:t>
            </w:r>
          </w:p>
        </w:tc>
        <w:tc>
          <w:tcPr>
            <w:tcW w:w="992" w:type="dxa"/>
            <w:vAlign w:val="center"/>
          </w:tcPr>
          <w:p w:rsidR="005A6CB7" w:rsidRDefault="00C93832">
            <w:pPr>
              <w:jc w:val="center"/>
              <w:rPr>
                <w:b/>
                <w:noProof/>
                <w:sz w:val="20"/>
                <w:lang w:eastAsia="bg-BG" w:bidi="bg-BG"/>
              </w:rPr>
            </w:pPr>
            <w:r>
              <w:rPr>
                <w:b/>
                <w:noProof/>
                <w:sz w:val="20"/>
                <w:lang w:eastAsia="bg-BG" w:bidi="bg-BG"/>
              </w:rPr>
              <w:t>ОБЩО</w:t>
            </w:r>
          </w:p>
        </w:tc>
      </w:tr>
      <w:tr w:rsidR="005A6CB7">
        <w:tc>
          <w:tcPr>
            <w:tcW w:w="3337" w:type="dxa"/>
            <w:vMerge w:val="restart"/>
            <w:shd w:val="clear" w:color="auto" w:fill="C0C0C0"/>
            <w:vAlign w:val="center"/>
          </w:tcPr>
          <w:p w:rsidR="005A6CB7" w:rsidRDefault="00C93832">
            <w:pPr>
              <w:jc w:val="center"/>
              <w:rPr>
                <w:noProof/>
                <w:lang w:eastAsia="bg-BG" w:bidi="bg-BG"/>
              </w:rPr>
            </w:pPr>
            <w:r>
              <w:rPr>
                <w:b/>
                <w:noProof/>
                <w:sz w:val="22"/>
                <w:lang w:eastAsia="bg-BG" w:bidi="bg-BG"/>
              </w:rPr>
              <w:t xml:space="preserve">ОБЩО бюджетни кредити </w:t>
            </w:r>
            <w:r>
              <w:rPr>
                <w:b/>
                <w:noProof/>
                <w:sz w:val="22"/>
                <w:lang w:eastAsia="bg-BG" w:bidi="bg-BG"/>
              </w:rPr>
              <w:br/>
              <w:t>по ФУНКЦИИ 1—5</w:t>
            </w:r>
            <w:r>
              <w:rPr>
                <w:b/>
                <w:noProof/>
                <w:sz w:val="22"/>
                <w:lang w:eastAsia="bg-BG" w:bidi="bg-BG"/>
              </w:rPr>
              <w:br/>
            </w:r>
            <w:r>
              <w:rPr>
                <w:noProof/>
                <w:sz w:val="22"/>
                <w:lang w:eastAsia="bg-BG" w:bidi="bg-BG"/>
              </w:rPr>
              <w:t>от многогодишната финансова рамка</w:t>
            </w:r>
            <w:r>
              <w:rPr>
                <w:b/>
                <w:noProof/>
                <w:sz w:val="22"/>
                <w:lang w:eastAsia="bg-BG" w:bidi="bg-BG"/>
              </w:rPr>
              <w:t xml:space="preserve"> </w:t>
            </w:r>
          </w:p>
        </w:tc>
        <w:tc>
          <w:tcPr>
            <w:tcW w:w="2126" w:type="dxa"/>
            <w:vAlign w:val="center"/>
          </w:tcPr>
          <w:p w:rsidR="005A6CB7" w:rsidRDefault="00C93832">
            <w:pPr>
              <w:rPr>
                <w:noProof/>
                <w:lang w:eastAsia="bg-BG" w:bidi="bg-BG"/>
              </w:rPr>
            </w:pPr>
            <w:r>
              <w:rPr>
                <w:noProof/>
                <w:sz w:val="18"/>
                <w:lang w:eastAsia="bg-BG" w:bidi="bg-BG"/>
              </w:rPr>
              <w:t>Поети задължения</w:t>
            </w:r>
          </w:p>
        </w:tc>
        <w:tc>
          <w:tcPr>
            <w:tcW w:w="1134" w:type="dxa"/>
            <w:vAlign w:val="center"/>
          </w:tcPr>
          <w:p w:rsidR="005A6CB7" w:rsidRDefault="00C93832">
            <w:pPr>
              <w:spacing w:before="60" w:after="60"/>
              <w:jc w:val="center"/>
              <w:rPr>
                <w:noProof/>
                <w:sz w:val="20"/>
                <w:szCs w:val="20"/>
                <w:lang w:eastAsia="bg-BG" w:bidi="bg-BG"/>
              </w:rPr>
            </w:pPr>
            <w:r>
              <w:rPr>
                <w:noProof/>
                <w:sz w:val="20"/>
                <w:lang w:eastAsia="bg-BG" w:bidi="bg-BG"/>
              </w:rPr>
              <w:t>0,064</w:t>
            </w:r>
          </w:p>
        </w:tc>
        <w:tc>
          <w:tcPr>
            <w:tcW w:w="851" w:type="dxa"/>
            <w:vAlign w:val="center"/>
          </w:tcPr>
          <w:p w:rsidR="005A6CB7" w:rsidRDefault="00C93832">
            <w:pPr>
              <w:spacing w:before="60" w:after="60"/>
              <w:jc w:val="center"/>
              <w:rPr>
                <w:noProof/>
                <w:sz w:val="20"/>
                <w:szCs w:val="20"/>
                <w:lang w:eastAsia="bg-BG" w:bidi="bg-BG"/>
              </w:rPr>
            </w:pPr>
            <w:r>
              <w:rPr>
                <w:noProof/>
                <w:sz w:val="20"/>
                <w:lang w:eastAsia="bg-BG" w:bidi="bg-BG"/>
              </w:rPr>
              <w:t>0,044</w:t>
            </w:r>
          </w:p>
        </w:tc>
        <w:tc>
          <w:tcPr>
            <w:tcW w:w="850" w:type="dxa"/>
            <w:vAlign w:val="center"/>
          </w:tcPr>
          <w:p w:rsidR="005A6CB7" w:rsidRDefault="00C93832">
            <w:pPr>
              <w:spacing w:before="60" w:after="60"/>
              <w:jc w:val="center"/>
              <w:rPr>
                <w:noProof/>
                <w:sz w:val="20"/>
                <w:szCs w:val="20"/>
                <w:lang w:eastAsia="bg-BG" w:bidi="bg-BG"/>
              </w:rPr>
            </w:pPr>
            <w:r>
              <w:rPr>
                <w:noProof/>
                <w:sz w:val="20"/>
                <w:lang w:eastAsia="bg-BG" w:bidi="bg-BG"/>
              </w:rPr>
              <w:t>31,671</w:t>
            </w:r>
          </w:p>
        </w:tc>
        <w:tc>
          <w:tcPr>
            <w:tcW w:w="851" w:type="dxa"/>
            <w:vAlign w:val="center"/>
          </w:tcPr>
          <w:p w:rsidR="005A6CB7" w:rsidRDefault="00C93832">
            <w:pPr>
              <w:spacing w:before="60" w:after="60"/>
              <w:jc w:val="center"/>
              <w:rPr>
                <w:noProof/>
                <w:sz w:val="20"/>
                <w:szCs w:val="20"/>
                <w:lang w:eastAsia="bg-BG" w:bidi="bg-BG"/>
              </w:rPr>
            </w:pPr>
            <w:r>
              <w:rPr>
                <w:noProof/>
                <w:sz w:val="20"/>
                <w:lang w:eastAsia="bg-BG" w:bidi="bg-BG"/>
              </w:rPr>
              <w:t>13,516</w:t>
            </w:r>
          </w:p>
        </w:tc>
        <w:tc>
          <w:tcPr>
            <w:tcW w:w="992" w:type="dxa"/>
            <w:vAlign w:val="center"/>
          </w:tcPr>
          <w:p w:rsidR="005A6CB7" w:rsidRDefault="00C93832">
            <w:pPr>
              <w:spacing w:before="60" w:after="60"/>
              <w:jc w:val="center"/>
              <w:rPr>
                <w:b/>
                <w:noProof/>
                <w:sz w:val="20"/>
                <w:szCs w:val="20"/>
                <w:lang w:eastAsia="bg-BG" w:bidi="bg-BG"/>
              </w:rPr>
            </w:pPr>
            <w:r>
              <w:rPr>
                <w:b/>
                <w:noProof/>
                <w:sz w:val="20"/>
                <w:lang w:eastAsia="bg-BG" w:bidi="bg-BG"/>
              </w:rPr>
              <w:t>45,295</w:t>
            </w:r>
          </w:p>
        </w:tc>
      </w:tr>
      <w:tr w:rsidR="005A6CB7">
        <w:tc>
          <w:tcPr>
            <w:tcW w:w="3337" w:type="dxa"/>
            <w:vMerge/>
            <w:shd w:val="clear" w:color="auto" w:fill="C0C0C0"/>
          </w:tcPr>
          <w:p w:rsidR="005A6CB7" w:rsidRDefault="005A6CB7">
            <w:pPr>
              <w:rPr>
                <w:noProof/>
                <w:sz w:val="20"/>
                <w:lang w:eastAsia="bg-BG" w:bidi="bg-BG"/>
              </w:rPr>
            </w:pPr>
          </w:p>
        </w:tc>
        <w:tc>
          <w:tcPr>
            <w:tcW w:w="2126" w:type="dxa"/>
            <w:vAlign w:val="center"/>
          </w:tcPr>
          <w:p w:rsidR="005A6CB7" w:rsidRDefault="00C93832">
            <w:pPr>
              <w:rPr>
                <w:noProof/>
                <w:lang w:eastAsia="bg-BG" w:bidi="bg-BG"/>
              </w:rPr>
            </w:pPr>
            <w:r>
              <w:rPr>
                <w:noProof/>
                <w:sz w:val="18"/>
                <w:lang w:eastAsia="bg-BG" w:bidi="bg-BG"/>
              </w:rPr>
              <w:t>Плащания</w:t>
            </w:r>
          </w:p>
        </w:tc>
        <w:tc>
          <w:tcPr>
            <w:tcW w:w="1134" w:type="dxa"/>
            <w:vAlign w:val="center"/>
          </w:tcPr>
          <w:p w:rsidR="005A6CB7" w:rsidRDefault="00C93832">
            <w:pPr>
              <w:spacing w:before="60" w:after="60"/>
              <w:jc w:val="center"/>
              <w:rPr>
                <w:noProof/>
                <w:sz w:val="20"/>
                <w:szCs w:val="20"/>
                <w:lang w:eastAsia="bg-BG" w:bidi="bg-BG"/>
              </w:rPr>
            </w:pPr>
            <w:r>
              <w:rPr>
                <w:noProof/>
                <w:sz w:val="20"/>
                <w:lang w:eastAsia="bg-BG" w:bidi="bg-BG"/>
              </w:rPr>
              <w:t>0,064</w:t>
            </w:r>
          </w:p>
        </w:tc>
        <w:tc>
          <w:tcPr>
            <w:tcW w:w="851" w:type="dxa"/>
            <w:vAlign w:val="center"/>
          </w:tcPr>
          <w:p w:rsidR="005A6CB7" w:rsidRDefault="00C93832">
            <w:pPr>
              <w:spacing w:before="60" w:after="60"/>
              <w:jc w:val="center"/>
              <w:rPr>
                <w:noProof/>
                <w:sz w:val="20"/>
                <w:szCs w:val="20"/>
                <w:lang w:eastAsia="bg-BG" w:bidi="bg-BG"/>
              </w:rPr>
            </w:pPr>
            <w:r>
              <w:rPr>
                <w:noProof/>
                <w:sz w:val="20"/>
                <w:lang w:eastAsia="bg-BG" w:bidi="bg-BG"/>
              </w:rPr>
              <w:t>0,044</w:t>
            </w:r>
          </w:p>
        </w:tc>
        <w:tc>
          <w:tcPr>
            <w:tcW w:w="850" w:type="dxa"/>
            <w:vAlign w:val="center"/>
          </w:tcPr>
          <w:p w:rsidR="005A6CB7" w:rsidRDefault="00C93832">
            <w:pPr>
              <w:spacing w:before="60" w:after="60"/>
              <w:jc w:val="center"/>
              <w:rPr>
                <w:noProof/>
                <w:sz w:val="20"/>
                <w:szCs w:val="20"/>
                <w:lang w:eastAsia="bg-BG" w:bidi="bg-BG"/>
              </w:rPr>
            </w:pPr>
            <w:r>
              <w:rPr>
                <w:noProof/>
                <w:sz w:val="20"/>
                <w:lang w:eastAsia="bg-BG" w:bidi="bg-BG"/>
              </w:rPr>
              <w:t>31,571</w:t>
            </w:r>
          </w:p>
        </w:tc>
        <w:tc>
          <w:tcPr>
            <w:tcW w:w="851" w:type="dxa"/>
            <w:vAlign w:val="center"/>
          </w:tcPr>
          <w:p w:rsidR="005A6CB7" w:rsidRDefault="00C93832">
            <w:pPr>
              <w:spacing w:before="60" w:after="60"/>
              <w:jc w:val="center"/>
              <w:rPr>
                <w:noProof/>
                <w:sz w:val="20"/>
                <w:szCs w:val="20"/>
                <w:lang w:eastAsia="bg-BG" w:bidi="bg-BG"/>
              </w:rPr>
            </w:pPr>
            <w:r>
              <w:rPr>
                <w:noProof/>
                <w:sz w:val="20"/>
                <w:lang w:eastAsia="bg-BG" w:bidi="bg-BG"/>
              </w:rPr>
              <w:t>13,616</w:t>
            </w:r>
          </w:p>
        </w:tc>
        <w:tc>
          <w:tcPr>
            <w:tcW w:w="992" w:type="dxa"/>
            <w:vAlign w:val="center"/>
          </w:tcPr>
          <w:p w:rsidR="005A6CB7" w:rsidRDefault="00C93832">
            <w:pPr>
              <w:spacing w:before="60" w:after="60"/>
              <w:jc w:val="center"/>
              <w:rPr>
                <w:b/>
                <w:noProof/>
                <w:sz w:val="20"/>
                <w:szCs w:val="20"/>
                <w:lang w:eastAsia="bg-BG" w:bidi="bg-BG"/>
              </w:rPr>
            </w:pPr>
            <w:r>
              <w:rPr>
                <w:b/>
                <w:noProof/>
                <w:sz w:val="20"/>
                <w:lang w:eastAsia="bg-BG" w:bidi="bg-BG"/>
              </w:rPr>
              <w:t>45,295</w:t>
            </w:r>
          </w:p>
        </w:tc>
      </w:tr>
    </w:tbl>
    <w:p w:rsidR="005A6CB7" w:rsidRDefault="005A6CB7">
      <w:pPr>
        <w:rPr>
          <w:noProof/>
          <w:lang w:eastAsia="bg-BG" w:bidi="bg-BG"/>
        </w:rPr>
        <w:sectPr w:rsidR="005A6CB7">
          <w:pgSz w:w="11907" w:h="16840" w:code="9"/>
          <w:pgMar w:top="1418" w:right="1134" w:bottom="1418" w:left="1134" w:header="709" w:footer="709" w:gutter="0"/>
          <w:cols w:space="708"/>
          <w:docGrid w:linePitch="360"/>
        </w:sectPr>
      </w:pPr>
    </w:p>
    <w:p w:rsidR="005A6CB7" w:rsidRDefault="00C93832">
      <w:pPr>
        <w:pStyle w:val="ManualHeading3"/>
        <w:rPr>
          <w:noProof/>
          <w:lang w:eastAsia="bg-BG" w:bidi="bg-BG"/>
        </w:rPr>
      </w:pPr>
      <w:r>
        <w:rPr>
          <w:noProof/>
          <w:lang w:eastAsia="bg-BG" w:bidi="bg-BG"/>
        </w:rPr>
        <w:t>3.2.2.</w:t>
      </w:r>
      <w:r>
        <w:rPr>
          <w:noProof/>
          <w:lang w:eastAsia="bg-BG" w:bidi="bg-BG"/>
        </w:rPr>
        <w:tab/>
      </w:r>
      <w:r>
        <w:rPr>
          <w:noProof/>
          <w:lang w:eastAsia="bg-BG" w:bidi="bg-BG"/>
        </w:rPr>
        <w:t xml:space="preserve">Очаквано отражение върху бюджетните кредити за оперативни разходи </w:t>
      </w:r>
    </w:p>
    <w:p w:rsidR="005A6CB7" w:rsidRDefault="00C93832">
      <w:pPr>
        <w:pStyle w:val="ListDash1"/>
        <w:rPr>
          <w:noProof/>
          <w:lang w:val="bg-BG"/>
        </w:rPr>
      </w:pPr>
      <w:r>
        <w:rPr>
          <w:noProof/>
        </w:rPr>
        <w:sym w:font="Wingdings" w:char="F0A8"/>
      </w:r>
      <w:r>
        <w:rPr>
          <w:noProof/>
          <w:lang w:val="bg-BG"/>
        </w:rPr>
        <w:tab/>
        <w:t xml:space="preserve">Предложението/инициативата не налага използване на бюджетни кредити за оперативни разходи </w:t>
      </w:r>
    </w:p>
    <w:p w:rsidR="005A6CB7" w:rsidRDefault="00C93832">
      <w:pPr>
        <w:pStyle w:val="ListDash1"/>
        <w:rPr>
          <w:noProof/>
          <w:lang w:val="bg-BG"/>
        </w:rPr>
      </w:pPr>
      <w:r>
        <w:rPr>
          <w:noProof/>
        </w:rPr>
        <w:t>X</w:t>
      </w:r>
      <w:r>
        <w:rPr>
          <w:noProof/>
          <w:lang w:val="bg-BG"/>
        </w:rPr>
        <w:t xml:space="preserve"> Предложението/инициативата налага използване на бюджетни кредити за оперативни разходи съгласно обяснението по-долу:</w:t>
      </w:r>
    </w:p>
    <w:p w:rsidR="005A6CB7" w:rsidRDefault="00C93832">
      <w:pPr>
        <w:jc w:val="right"/>
        <w:rPr>
          <w:noProof/>
          <w:sz w:val="20"/>
          <w:lang w:eastAsia="bg-BG" w:bidi="bg-BG"/>
        </w:rPr>
      </w:pPr>
      <w:r>
        <w:rPr>
          <w:noProof/>
          <w:sz w:val="20"/>
          <w:lang w:eastAsia="bg-BG" w:bidi="bg-BG"/>
        </w:rPr>
        <w:t>Бюджетни кредити за поети задължения в млн. EUR (до третия знак след десетичната запетая)</w:t>
      </w:r>
    </w:p>
    <w:tbl>
      <w:tblPr>
        <w:tblW w:w="0" w:type="auto"/>
        <w:tblLook w:val="01E0" w:firstRow="1" w:lastRow="1" w:firstColumn="1" w:lastColumn="1" w:noHBand="0" w:noVBand="0"/>
      </w:tblPr>
      <w:tblGrid>
        <w:gridCol w:w="2164"/>
        <w:gridCol w:w="435"/>
        <w:gridCol w:w="61"/>
        <w:gridCol w:w="1326"/>
        <w:gridCol w:w="332"/>
        <w:gridCol w:w="185"/>
        <w:gridCol w:w="141"/>
        <w:gridCol w:w="809"/>
        <w:gridCol w:w="334"/>
        <w:gridCol w:w="541"/>
        <w:gridCol w:w="447"/>
        <w:gridCol w:w="396"/>
        <w:gridCol w:w="579"/>
        <w:gridCol w:w="496"/>
        <w:gridCol w:w="289"/>
        <w:gridCol w:w="880"/>
        <w:gridCol w:w="15"/>
        <w:gridCol w:w="265"/>
        <w:gridCol w:w="807"/>
        <w:gridCol w:w="51"/>
        <w:gridCol w:w="843"/>
        <w:gridCol w:w="371"/>
        <w:gridCol w:w="504"/>
        <w:gridCol w:w="217"/>
        <w:gridCol w:w="267"/>
        <w:gridCol w:w="408"/>
        <w:gridCol w:w="508"/>
        <w:gridCol w:w="479"/>
      </w:tblGrid>
      <w:tr w:rsidR="005A6CB7">
        <w:trPr>
          <w:gridAfter w:val="4"/>
          <w:wAfter w:w="1662" w:type="dxa"/>
        </w:trPr>
        <w:tc>
          <w:tcPr>
            <w:tcW w:w="2599" w:type="dxa"/>
            <w:gridSpan w:val="2"/>
          </w:tcPr>
          <w:p w:rsidR="005A6CB7" w:rsidRDefault="00C93832">
            <w:pPr>
              <w:ind w:right="-29"/>
              <w:jc w:val="center"/>
              <w:rPr>
                <w:noProof/>
                <w:lang w:eastAsia="bg-BG" w:bidi="bg-BG"/>
              </w:rPr>
            </w:pPr>
            <w:r>
              <w:rPr>
                <w:b/>
                <w:noProof/>
                <w:sz w:val="18"/>
                <w:lang w:eastAsia="bg-BG" w:bidi="bg-BG"/>
              </w:rPr>
              <w:t xml:space="preserve">Да се посочат целите и резултатите </w:t>
            </w:r>
          </w:p>
          <w:p w:rsidR="005A6CB7" w:rsidRDefault="005A6CB7">
            <w:pPr>
              <w:ind w:right="-29"/>
              <w:jc w:val="center"/>
              <w:rPr>
                <w:b/>
                <w:noProof/>
                <w:sz w:val="18"/>
                <w:lang w:eastAsia="bg-BG" w:bidi="bg-BG"/>
              </w:rPr>
            </w:pPr>
          </w:p>
          <w:p w:rsidR="005A6CB7" w:rsidRDefault="00C93832">
            <w:pPr>
              <w:ind w:right="-29"/>
              <w:jc w:val="center"/>
              <w:rPr>
                <w:noProof/>
                <w:sz w:val="18"/>
                <w:lang w:eastAsia="bg-BG" w:bidi="bg-BG"/>
              </w:rPr>
            </w:pPr>
            <w:r>
              <w:rPr>
                <w:noProof/>
                <w:sz w:val="18"/>
                <w:szCs w:val="18"/>
                <w:lang w:eastAsia="bg-BG" w:bidi="bg-BG"/>
              </w:rPr>
              <w:sym w:font="Wingdings" w:char="F0F2"/>
            </w:r>
          </w:p>
        </w:tc>
        <w:tc>
          <w:tcPr>
            <w:tcW w:w="1719" w:type="dxa"/>
            <w:gridSpan w:val="3"/>
          </w:tcPr>
          <w:p w:rsidR="005A6CB7" w:rsidRDefault="005A6CB7">
            <w:pPr>
              <w:ind w:right="-29"/>
              <w:jc w:val="center"/>
              <w:rPr>
                <w:noProof/>
                <w:sz w:val="18"/>
                <w:lang w:eastAsia="bg-BG" w:bidi="bg-BG"/>
              </w:rPr>
            </w:pPr>
          </w:p>
        </w:tc>
        <w:tc>
          <w:tcPr>
            <w:tcW w:w="1135" w:type="dxa"/>
            <w:gridSpan w:val="3"/>
          </w:tcPr>
          <w:p w:rsidR="005A6CB7" w:rsidRDefault="005A6CB7">
            <w:pPr>
              <w:ind w:right="-29"/>
              <w:jc w:val="center"/>
              <w:rPr>
                <w:noProof/>
                <w:sz w:val="18"/>
                <w:lang w:eastAsia="bg-BG" w:bidi="bg-BG"/>
              </w:rPr>
            </w:pPr>
          </w:p>
        </w:tc>
        <w:tc>
          <w:tcPr>
            <w:tcW w:w="1122" w:type="dxa"/>
            <w:gridSpan w:val="3"/>
          </w:tcPr>
          <w:p w:rsidR="005A6CB7" w:rsidRDefault="005A6CB7">
            <w:pPr>
              <w:ind w:right="-29"/>
              <w:jc w:val="center"/>
              <w:rPr>
                <w:noProof/>
                <w:lang w:eastAsia="bg-BG" w:bidi="bg-BG"/>
              </w:rPr>
            </w:pPr>
          </w:p>
        </w:tc>
        <w:tc>
          <w:tcPr>
            <w:tcW w:w="2640" w:type="dxa"/>
            <w:gridSpan w:val="5"/>
          </w:tcPr>
          <w:p w:rsidR="005A6CB7" w:rsidRDefault="005A6CB7">
            <w:pPr>
              <w:ind w:right="-29"/>
              <w:jc w:val="center"/>
              <w:rPr>
                <w:noProof/>
                <w:lang w:eastAsia="bg-BG" w:bidi="bg-BG"/>
              </w:rPr>
            </w:pPr>
          </w:p>
        </w:tc>
        <w:tc>
          <w:tcPr>
            <w:tcW w:w="1087" w:type="dxa"/>
            <w:gridSpan w:val="3"/>
          </w:tcPr>
          <w:p w:rsidR="005A6CB7" w:rsidRDefault="005A6CB7">
            <w:pPr>
              <w:ind w:right="-29"/>
              <w:jc w:val="center"/>
              <w:rPr>
                <w:b/>
                <w:noProof/>
                <w:sz w:val="18"/>
                <w:lang w:eastAsia="bg-BG" w:bidi="bg-BG"/>
              </w:rPr>
            </w:pPr>
          </w:p>
        </w:tc>
        <w:tc>
          <w:tcPr>
            <w:tcW w:w="1780" w:type="dxa"/>
            <w:gridSpan w:val="5"/>
          </w:tcPr>
          <w:p w:rsidR="005A6CB7" w:rsidRDefault="005A6CB7">
            <w:pPr>
              <w:ind w:right="-29"/>
              <w:jc w:val="center"/>
              <w:rPr>
                <w:noProof/>
                <w:sz w:val="18"/>
                <w:lang w:eastAsia="bg-BG" w:bidi="bg-BG"/>
              </w:rPr>
            </w:pPr>
          </w:p>
        </w:tc>
      </w:tr>
      <w:tr w:rsidR="005A6CB7">
        <w:tc>
          <w:tcPr>
            <w:tcW w:w="5453" w:type="dxa"/>
            <w:gridSpan w:val="8"/>
          </w:tcPr>
          <w:p w:rsidR="005A6CB7" w:rsidRDefault="00C93832">
            <w:pPr>
              <w:ind w:right="-29"/>
              <w:rPr>
                <w:noProof/>
                <w:sz w:val="18"/>
                <w:lang w:eastAsia="bg-BG" w:bidi="bg-BG"/>
              </w:rPr>
            </w:pPr>
            <w:r>
              <w:rPr>
                <w:noProof/>
                <w:sz w:val="18"/>
                <w:lang w:eastAsia="bg-BG" w:bidi="bg-BG"/>
              </w:rPr>
              <w:t xml:space="preserve">   КОНКРЕТНА ЦЕЛ № 1</w:t>
            </w:r>
          </w:p>
        </w:tc>
        <w:tc>
          <w:tcPr>
            <w:tcW w:w="675" w:type="dxa"/>
            <w:gridSpan w:val="2"/>
          </w:tcPr>
          <w:p w:rsidR="005A6CB7" w:rsidRDefault="005A6CB7">
            <w:pPr>
              <w:spacing w:before="60" w:after="60"/>
              <w:ind w:right="-29"/>
              <w:jc w:val="center"/>
              <w:rPr>
                <w:noProof/>
                <w:sz w:val="18"/>
                <w:lang w:eastAsia="bg-BG" w:bidi="bg-BG"/>
              </w:rPr>
            </w:pPr>
          </w:p>
        </w:tc>
        <w:tc>
          <w:tcPr>
            <w:tcW w:w="843" w:type="dxa"/>
            <w:gridSpan w:val="2"/>
          </w:tcPr>
          <w:p w:rsidR="005A6CB7" w:rsidRDefault="005A6CB7">
            <w:pPr>
              <w:spacing w:before="60" w:after="60"/>
              <w:ind w:right="-29"/>
              <w:jc w:val="center"/>
              <w:rPr>
                <w:noProof/>
                <w:sz w:val="18"/>
                <w:lang w:eastAsia="bg-BG" w:bidi="bg-BG"/>
              </w:rPr>
            </w:pPr>
          </w:p>
        </w:tc>
        <w:tc>
          <w:tcPr>
            <w:tcW w:w="1364" w:type="dxa"/>
            <w:gridSpan w:val="3"/>
          </w:tcPr>
          <w:p w:rsidR="005A6CB7" w:rsidRDefault="005A6CB7">
            <w:pPr>
              <w:spacing w:before="60" w:after="60"/>
              <w:ind w:right="-29"/>
              <w:jc w:val="center"/>
              <w:rPr>
                <w:noProof/>
                <w:sz w:val="18"/>
                <w:lang w:eastAsia="bg-BG" w:bidi="bg-BG"/>
              </w:rPr>
            </w:pPr>
          </w:p>
        </w:tc>
        <w:tc>
          <w:tcPr>
            <w:tcW w:w="895" w:type="dxa"/>
            <w:gridSpan w:val="2"/>
          </w:tcPr>
          <w:p w:rsidR="005A6CB7" w:rsidRDefault="005A6CB7">
            <w:pPr>
              <w:spacing w:before="60" w:after="60"/>
              <w:ind w:right="-29"/>
              <w:jc w:val="center"/>
              <w:rPr>
                <w:noProof/>
                <w:sz w:val="18"/>
                <w:lang w:eastAsia="bg-BG" w:bidi="bg-BG"/>
              </w:rPr>
            </w:pPr>
          </w:p>
        </w:tc>
        <w:tc>
          <w:tcPr>
            <w:tcW w:w="1123" w:type="dxa"/>
            <w:gridSpan w:val="3"/>
          </w:tcPr>
          <w:p w:rsidR="005A6CB7" w:rsidRDefault="005A6CB7">
            <w:pPr>
              <w:spacing w:before="60" w:after="60"/>
              <w:ind w:right="-29"/>
              <w:jc w:val="center"/>
              <w:rPr>
                <w:noProof/>
                <w:sz w:val="18"/>
                <w:lang w:eastAsia="bg-BG" w:bidi="bg-BG"/>
              </w:rPr>
            </w:pPr>
          </w:p>
        </w:tc>
        <w:tc>
          <w:tcPr>
            <w:tcW w:w="843" w:type="dxa"/>
          </w:tcPr>
          <w:p w:rsidR="005A6CB7" w:rsidRDefault="005A6CB7">
            <w:pPr>
              <w:spacing w:before="60" w:after="60"/>
              <w:ind w:right="-29"/>
              <w:jc w:val="center"/>
              <w:rPr>
                <w:noProof/>
                <w:sz w:val="18"/>
                <w:lang w:eastAsia="bg-BG" w:bidi="bg-BG"/>
              </w:rPr>
            </w:pPr>
          </w:p>
        </w:tc>
        <w:tc>
          <w:tcPr>
            <w:tcW w:w="669" w:type="dxa"/>
            <w:gridSpan w:val="2"/>
          </w:tcPr>
          <w:p w:rsidR="005A6CB7" w:rsidRDefault="005A6CB7">
            <w:pPr>
              <w:spacing w:before="60" w:after="60"/>
              <w:ind w:right="-29"/>
              <w:jc w:val="center"/>
              <w:rPr>
                <w:noProof/>
                <w:sz w:val="18"/>
                <w:lang w:eastAsia="bg-BG" w:bidi="bg-BG"/>
              </w:rPr>
            </w:pPr>
          </w:p>
        </w:tc>
        <w:tc>
          <w:tcPr>
            <w:tcW w:w="892" w:type="dxa"/>
            <w:gridSpan w:val="3"/>
          </w:tcPr>
          <w:p w:rsidR="005A6CB7" w:rsidRDefault="005A6CB7">
            <w:pPr>
              <w:spacing w:before="60" w:after="60"/>
              <w:ind w:right="-29"/>
              <w:jc w:val="center"/>
              <w:rPr>
                <w:noProof/>
                <w:sz w:val="18"/>
                <w:lang w:eastAsia="bg-BG" w:bidi="bg-BG"/>
              </w:rPr>
            </w:pPr>
          </w:p>
        </w:tc>
        <w:tc>
          <w:tcPr>
            <w:tcW w:w="987" w:type="dxa"/>
            <w:gridSpan w:val="2"/>
          </w:tcPr>
          <w:p w:rsidR="005A6CB7" w:rsidRDefault="005A6CB7">
            <w:pPr>
              <w:spacing w:before="60" w:after="60"/>
              <w:ind w:right="-29"/>
              <w:jc w:val="center"/>
              <w:rPr>
                <w:noProof/>
                <w:sz w:val="18"/>
                <w:lang w:eastAsia="bg-BG" w:bidi="bg-BG"/>
              </w:rPr>
            </w:pPr>
          </w:p>
        </w:tc>
      </w:tr>
      <w:tr w:rsidR="005A6C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9" w:type="dxa"/>
          <w:trHeight w:hRule="exact" w:val="646"/>
          <w:jc w:val="center"/>
        </w:trPr>
        <w:tc>
          <w:tcPr>
            <w:tcW w:w="2164" w:type="dxa"/>
          </w:tcPr>
          <w:p w:rsidR="005A6CB7" w:rsidRDefault="005A6CB7">
            <w:pPr>
              <w:ind w:right="-29"/>
              <w:jc w:val="center"/>
              <w:rPr>
                <w:noProof/>
                <w:sz w:val="18"/>
                <w:lang w:eastAsia="bg-BG" w:bidi="bg-BG"/>
              </w:rPr>
            </w:pPr>
          </w:p>
        </w:tc>
        <w:tc>
          <w:tcPr>
            <w:tcW w:w="1822" w:type="dxa"/>
            <w:gridSpan w:val="3"/>
          </w:tcPr>
          <w:p w:rsidR="005A6CB7" w:rsidRDefault="005A6CB7">
            <w:pPr>
              <w:ind w:right="-29"/>
              <w:jc w:val="center"/>
              <w:rPr>
                <w:noProof/>
                <w:sz w:val="18"/>
                <w:szCs w:val="18"/>
                <w:lang w:eastAsia="bg-BG" w:bidi="bg-BG"/>
              </w:rPr>
            </w:pPr>
          </w:p>
        </w:tc>
        <w:tc>
          <w:tcPr>
            <w:tcW w:w="1722" w:type="dxa"/>
            <w:gridSpan w:val="5"/>
            <w:tcBorders>
              <w:right w:val="dashSmallGap" w:sz="4" w:space="0" w:color="auto"/>
            </w:tcBorders>
          </w:tcPr>
          <w:p w:rsidR="005A6CB7" w:rsidRDefault="00C93832">
            <w:pPr>
              <w:ind w:right="-29"/>
              <w:jc w:val="center"/>
              <w:rPr>
                <w:noProof/>
                <w:sz w:val="20"/>
                <w:szCs w:val="20"/>
                <w:lang w:eastAsia="bg-BG" w:bidi="bg-BG"/>
              </w:rPr>
            </w:pPr>
            <w:r>
              <w:rPr>
                <w:noProof/>
                <w:sz w:val="18"/>
                <w:lang w:eastAsia="bg-BG" w:bidi="bg-BG"/>
              </w:rPr>
              <w:t>Година 2016</w:t>
            </w:r>
          </w:p>
        </w:tc>
        <w:tc>
          <w:tcPr>
            <w:tcW w:w="1842" w:type="dxa"/>
            <w:gridSpan w:val="4"/>
            <w:tcBorders>
              <w:left w:val="dashSmallGap" w:sz="4" w:space="0" w:color="auto"/>
              <w:right w:val="dashSmallGap" w:sz="4" w:space="0" w:color="auto"/>
            </w:tcBorders>
          </w:tcPr>
          <w:p w:rsidR="005A6CB7" w:rsidRDefault="00C93832">
            <w:pPr>
              <w:ind w:right="-29"/>
              <w:jc w:val="center"/>
              <w:rPr>
                <w:noProof/>
                <w:sz w:val="20"/>
                <w:szCs w:val="20"/>
                <w:lang w:eastAsia="bg-BG" w:bidi="bg-BG"/>
              </w:rPr>
            </w:pPr>
            <w:r>
              <w:rPr>
                <w:noProof/>
                <w:sz w:val="20"/>
                <w:lang w:eastAsia="bg-BG" w:bidi="bg-BG"/>
              </w:rPr>
              <w:t>Година 2017</w:t>
            </w:r>
          </w:p>
        </w:tc>
        <w:tc>
          <w:tcPr>
            <w:tcW w:w="1945" w:type="dxa"/>
            <w:gridSpan w:val="5"/>
            <w:tcBorders>
              <w:left w:val="dashSmallGap" w:sz="4" w:space="0" w:color="auto"/>
              <w:right w:val="dashSmallGap" w:sz="4" w:space="0" w:color="auto"/>
            </w:tcBorders>
          </w:tcPr>
          <w:p w:rsidR="005A6CB7" w:rsidRDefault="00C93832">
            <w:pPr>
              <w:ind w:right="-29"/>
              <w:jc w:val="center"/>
              <w:rPr>
                <w:noProof/>
                <w:sz w:val="20"/>
                <w:szCs w:val="20"/>
                <w:lang w:eastAsia="bg-BG" w:bidi="bg-BG"/>
              </w:rPr>
            </w:pPr>
            <w:r>
              <w:rPr>
                <w:noProof/>
                <w:sz w:val="20"/>
                <w:lang w:eastAsia="bg-BG" w:bidi="bg-BG"/>
              </w:rPr>
              <w:t>Година 2018</w:t>
            </w:r>
          </w:p>
        </w:tc>
        <w:tc>
          <w:tcPr>
            <w:tcW w:w="1966" w:type="dxa"/>
            <w:gridSpan w:val="4"/>
            <w:tcBorders>
              <w:left w:val="dashSmallGap" w:sz="4" w:space="0" w:color="auto"/>
            </w:tcBorders>
          </w:tcPr>
          <w:p w:rsidR="005A6CB7" w:rsidRDefault="00C93832">
            <w:pPr>
              <w:ind w:right="-29"/>
              <w:jc w:val="center"/>
              <w:rPr>
                <w:noProof/>
                <w:sz w:val="20"/>
                <w:szCs w:val="20"/>
                <w:lang w:eastAsia="bg-BG" w:bidi="bg-BG"/>
              </w:rPr>
            </w:pPr>
            <w:r>
              <w:rPr>
                <w:noProof/>
                <w:sz w:val="20"/>
                <w:lang w:eastAsia="bg-BG" w:bidi="bg-BG"/>
              </w:rPr>
              <w:t>Година 2019</w:t>
            </w:r>
          </w:p>
        </w:tc>
        <w:tc>
          <w:tcPr>
            <w:tcW w:w="888" w:type="dxa"/>
            <w:gridSpan w:val="3"/>
          </w:tcPr>
          <w:p w:rsidR="005A6CB7" w:rsidRDefault="005A6CB7">
            <w:pPr>
              <w:ind w:right="-29"/>
              <w:jc w:val="center"/>
              <w:rPr>
                <w:noProof/>
                <w:sz w:val="20"/>
                <w:szCs w:val="20"/>
                <w:lang w:eastAsia="bg-BG" w:bidi="bg-BG"/>
              </w:rPr>
            </w:pPr>
          </w:p>
        </w:tc>
        <w:tc>
          <w:tcPr>
            <w:tcW w:w="916" w:type="dxa"/>
            <w:gridSpan w:val="2"/>
          </w:tcPr>
          <w:p w:rsidR="005A6CB7" w:rsidRDefault="005A6CB7">
            <w:pPr>
              <w:ind w:right="-29"/>
              <w:jc w:val="center"/>
              <w:rPr>
                <w:noProof/>
                <w:sz w:val="20"/>
                <w:szCs w:val="20"/>
                <w:lang w:eastAsia="bg-BG" w:bidi="bg-BG"/>
              </w:rPr>
            </w:pPr>
          </w:p>
        </w:tc>
      </w:tr>
      <w:tr w:rsidR="005A6CB7">
        <w:trPr>
          <w:trHeight w:hRule="exact" w:val="646"/>
        </w:trPr>
        <w:tc>
          <w:tcPr>
            <w:tcW w:w="2660" w:type="dxa"/>
            <w:gridSpan w:val="3"/>
          </w:tcPr>
          <w:p w:rsidR="005A6CB7" w:rsidRDefault="005A6CB7">
            <w:pPr>
              <w:ind w:right="-29"/>
              <w:jc w:val="center"/>
              <w:rPr>
                <w:noProof/>
                <w:sz w:val="18"/>
                <w:lang w:eastAsia="bg-BG" w:bidi="bg-BG"/>
              </w:rPr>
            </w:pPr>
          </w:p>
        </w:tc>
        <w:tc>
          <w:tcPr>
            <w:tcW w:w="1843" w:type="dxa"/>
            <w:gridSpan w:val="3"/>
          </w:tcPr>
          <w:p w:rsidR="005A6CB7" w:rsidRDefault="00C93832">
            <w:pPr>
              <w:ind w:right="-29"/>
              <w:jc w:val="center"/>
              <w:rPr>
                <w:noProof/>
                <w:sz w:val="18"/>
                <w:szCs w:val="18"/>
                <w:lang w:eastAsia="bg-BG" w:bidi="bg-BG"/>
              </w:rPr>
            </w:pPr>
            <w:r>
              <w:rPr>
                <w:noProof/>
                <w:sz w:val="18"/>
                <w:lang w:eastAsia="bg-BG" w:bidi="bg-BG"/>
              </w:rPr>
              <w:t>Вид</w:t>
            </w:r>
          </w:p>
        </w:tc>
        <w:tc>
          <w:tcPr>
            <w:tcW w:w="950" w:type="dxa"/>
            <w:gridSpan w:val="2"/>
          </w:tcPr>
          <w:p w:rsidR="005A6CB7" w:rsidRDefault="00C93832">
            <w:pPr>
              <w:ind w:right="-29"/>
              <w:jc w:val="center"/>
              <w:rPr>
                <w:noProof/>
                <w:sz w:val="18"/>
                <w:lang w:eastAsia="bg-BG" w:bidi="bg-BG"/>
              </w:rPr>
            </w:pPr>
            <w:r>
              <w:rPr>
                <w:noProof/>
                <w:sz w:val="18"/>
                <w:lang w:eastAsia="bg-BG" w:bidi="bg-BG"/>
              </w:rPr>
              <w:t>Номер</w:t>
            </w:r>
          </w:p>
        </w:tc>
        <w:tc>
          <w:tcPr>
            <w:tcW w:w="675" w:type="dxa"/>
            <w:gridSpan w:val="2"/>
          </w:tcPr>
          <w:p w:rsidR="005A6CB7" w:rsidRDefault="00C93832">
            <w:pPr>
              <w:ind w:right="-29"/>
              <w:jc w:val="center"/>
              <w:rPr>
                <w:noProof/>
                <w:sz w:val="20"/>
                <w:szCs w:val="20"/>
                <w:lang w:eastAsia="bg-BG" w:bidi="bg-BG"/>
              </w:rPr>
            </w:pPr>
            <w:r>
              <w:rPr>
                <w:noProof/>
                <w:sz w:val="20"/>
                <w:lang w:eastAsia="bg-BG" w:bidi="bg-BG"/>
              </w:rPr>
              <w:t>Разходи</w:t>
            </w:r>
          </w:p>
        </w:tc>
        <w:tc>
          <w:tcPr>
            <w:tcW w:w="843" w:type="dxa"/>
            <w:gridSpan w:val="2"/>
          </w:tcPr>
          <w:p w:rsidR="005A6CB7" w:rsidRDefault="00C93832">
            <w:pPr>
              <w:ind w:right="-29"/>
              <w:jc w:val="center"/>
              <w:rPr>
                <w:noProof/>
                <w:sz w:val="20"/>
                <w:szCs w:val="20"/>
                <w:lang w:eastAsia="bg-BG" w:bidi="bg-BG"/>
              </w:rPr>
            </w:pPr>
            <w:r>
              <w:rPr>
                <w:noProof/>
                <w:sz w:val="20"/>
                <w:lang w:eastAsia="bg-BG" w:bidi="bg-BG"/>
              </w:rPr>
              <w:t>Номер</w:t>
            </w:r>
          </w:p>
        </w:tc>
        <w:tc>
          <w:tcPr>
            <w:tcW w:w="1075" w:type="dxa"/>
            <w:gridSpan w:val="2"/>
          </w:tcPr>
          <w:p w:rsidR="005A6CB7" w:rsidRDefault="00C93832">
            <w:pPr>
              <w:ind w:right="-29"/>
              <w:jc w:val="center"/>
              <w:rPr>
                <w:noProof/>
                <w:sz w:val="20"/>
                <w:szCs w:val="20"/>
                <w:lang w:eastAsia="bg-BG" w:bidi="bg-BG"/>
              </w:rPr>
            </w:pPr>
            <w:r>
              <w:rPr>
                <w:noProof/>
                <w:sz w:val="20"/>
                <w:lang w:eastAsia="bg-BG" w:bidi="bg-BG"/>
              </w:rPr>
              <w:t>Разходи</w:t>
            </w:r>
          </w:p>
        </w:tc>
        <w:tc>
          <w:tcPr>
            <w:tcW w:w="1169" w:type="dxa"/>
            <w:gridSpan w:val="2"/>
          </w:tcPr>
          <w:p w:rsidR="005A6CB7" w:rsidRDefault="00C93832">
            <w:pPr>
              <w:ind w:right="-29"/>
              <w:jc w:val="center"/>
              <w:rPr>
                <w:noProof/>
                <w:sz w:val="20"/>
                <w:szCs w:val="20"/>
                <w:lang w:eastAsia="bg-BG" w:bidi="bg-BG"/>
              </w:rPr>
            </w:pPr>
            <w:r>
              <w:rPr>
                <w:noProof/>
                <w:sz w:val="20"/>
                <w:lang w:eastAsia="bg-BG" w:bidi="bg-BG"/>
              </w:rPr>
              <w:t>Номер</w:t>
            </w:r>
          </w:p>
        </w:tc>
        <w:tc>
          <w:tcPr>
            <w:tcW w:w="1087" w:type="dxa"/>
            <w:gridSpan w:val="3"/>
          </w:tcPr>
          <w:p w:rsidR="005A6CB7" w:rsidRDefault="00C93832">
            <w:pPr>
              <w:ind w:right="-29"/>
              <w:jc w:val="center"/>
              <w:rPr>
                <w:noProof/>
                <w:sz w:val="20"/>
                <w:szCs w:val="20"/>
                <w:lang w:eastAsia="bg-BG" w:bidi="bg-BG"/>
              </w:rPr>
            </w:pPr>
            <w:r>
              <w:rPr>
                <w:noProof/>
                <w:sz w:val="20"/>
                <w:lang w:eastAsia="bg-BG" w:bidi="bg-BG"/>
              </w:rPr>
              <w:t>Разходи</w:t>
            </w:r>
          </w:p>
        </w:tc>
        <w:tc>
          <w:tcPr>
            <w:tcW w:w="894" w:type="dxa"/>
            <w:gridSpan w:val="2"/>
          </w:tcPr>
          <w:p w:rsidR="005A6CB7" w:rsidRDefault="00C93832">
            <w:pPr>
              <w:ind w:right="-29"/>
              <w:jc w:val="center"/>
              <w:rPr>
                <w:noProof/>
                <w:sz w:val="20"/>
                <w:szCs w:val="20"/>
                <w:lang w:eastAsia="bg-BG" w:bidi="bg-BG"/>
              </w:rPr>
            </w:pPr>
            <w:r>
              <w:rPr>
                <w:noProof/>
                <w:sz w:val="20"/>
                <w:lang w:eastAsia="bg-BG" w:bidi="bg-BG"/>
              </w:rPr>
              <w:t>Номер</w:t>
            </w:r>
          </w:p>
        </w:tc>
        <w:tc>
          <w:tcPr>
            <w:tcW w:w="669" w:type="dxa"/>
            <w:gridSpan w:val="2"/>
          </w:tcPr>
          <w:p w:rsidR="005A6CB7" w:rsidRDefault="00C93832">
            <w:pPr>
              <w:ind w:right="-29"/>
              <w:jc w:val="center"/>
              <w:rPr>
                <w:noProof/>
                <w:sz w:val="20"/>
                <w:szCs w:val="20"/>
                <w:lang w:eastAsia="bg-BG" w:bidi="bg-BG"/>
              </w:rPr>
            </w:pPr>
            <w:r>
              <w:rPr>
                <w:noProof/>
                <w:sz w:val="20"/>
                <w:lang w:eastAsia="bg-BG" w:bidi="bg-BG"/>
              </w:rPr>
              <w:t>Разходи</w:t>
            </w:r>
          </w:p>
        </w:tc>
        <w:tc>
          <w:tcPr>
            <w:tcW w:w="892" w:type="dxa"/>
            <w:gridSpan w:val="3"/>
          </w:tcPr>
          <w:p w:rsidR="005A6CB7" w:rsidRDefault="00C93832">
            <w:pPr>
              <w:ind w:right="-29"/>
              <w:jc w:val="center"/>
              <w:rPr>
                <w:noProof/>
                <w:sz w:val="20"/>
                <w:szCs w:val="20"/>
                <w:lang w:eastAsia="bg-BG" w:bidi="bg-BG"/>
              </w:rPr>
            </w:pPr>
            <w:r>
              <w:rPr>
                <w:noProof/>
                <w:sz w:val="20"/>
                <w:lang w:eastAsia="bg-BG" w:bidi="bg-BG"/>
              </w:rPr>
              <w:t>Общ брой</w:t>
            </w:r>
          </w:p>
        </w:tc>
        <w:tc>
          <w:tcPr>
            <w:tcW w:w="987" w:type="dxa"/>
            <w:gridSpan w:val="2"/>
          </w:tcPr>
          <w:p w:rsidR="005A6CB7" w:rsidRDefault="00C93832">
            <w:pPr>
              <w:ind w:right="-29"/>
              <w:jc w:val="center"/>
              <w:rPr>
                <w:noProof/>
                <w:sz w:val="20"/>
                <w:szCs w:val="20"/>
                <w:lang w:eastAsia="bg-BG" w:bidi="bg-BG"/>
              </w:rPr>
            </w:pPr>
            <w:r>
              <w:rPr>
                <w:noProof/>
                <w:sz w:val="20"/>
                <w:lang w:eastAsia="bg-BG" w:bidi="bg-BG"/>
              </w:rPr>
              <w:t>Общо разходи</w:t>
            </w:r>
          </w:p>
        </w:tc>
      </w:tr>
      <w:tr w:rsidR="005A6CB7">
        <w:trPr>
          <w:trHeight w:hRule="exact" w:val="646"/>
        </w:trPr>
        <w:tc>
          <w:tcPr>
            <w:tcW w:w="2660" w:type="dxa"/>
            <w:gridSpan w:val="3"/>
          </w:tcPr>
          <w:p w:rsidR="005A6CB7" w:rsidRDefault="005A6CB7">
            <w:pPr>
              <w:ind w:right="-29"/>
              <w:jc w:val="center"/>
              <w:rPr>
                <w:noProof/>
                <w:lang w:eastAsia="bg-BG" w:bidi="bg-BG"/>
              </w:rPr>
            </w:pPr>
          </w:p>
        </w:tc>
        <w:tc>
          <w:tcPr>
            <w:tcW w:w="1843" w:type="dxa"/>
            <w:gridSpan w:val="3"/>
          </w:tcPr>
          <w:p w:rsidR="005A6CB7" w:rsidRDefault="005A6CB7">
            <w:pPr>
              <w:ind w:right="-29"/>
              <w:jc w:val="center"/>
              <w:rPr>
                <w:noProof/>
                <w:sz w:val="18"/>
                <w:szCs w:val="18"/>
                <w:lang w:eastAsia="bg-BG" w:bidi="bg-BG"/>
              </w:rPr>
            </w:pPr>
          </w:p>
        </w:tc>
        <w:tc>
          <w:tcPr>
            <w:tcW w:w="950" w:type="dxa"/>
            <w:gridSpan w:val="2"/>
          </w:tcPr>
          <w:p w:rsidR="005A6CB7" w:rsidRDefault="005A6CB7">
            <w:pPr>
              <w:ind w:right="-29"/>
              <w:jc w:val="center"/>
              <w:rPr>
                <w:noProof/>
                <w:sz w:val="18"/>
                <w:lang w:eastAsia="bg-BG" w:bidi="bg-BG"/>
              </w:rPr>
            </w:pPr>
          </w:p>
        </w:tc>
        <w:tc>
          <w:tcPr>
            <w:tcW w:w="675" w:type="dxa"/>
            <w:gridSpan w:val="2"/>
          </w:tcPr>
          <w:p w:rsidR="005A6CB7" w:rsidRDefault="005A6CB7">
            <w:pPr>
              <w:ind w:right="-29"/>
              <w:jc w:val="center"/>
              <w:rPr>
                <w:noProof/>
                <w:sz w:val="20"/>
                <w:szCs w:val="20"/>
                <w:lang w:eastAsia="bg-BG" w:bidi="bg-BG"/>
              </w:rPr>
            </w:pPr>
          </w:p>
        </w:tc>
        <w:tc>
          <w:tcPr>
            <w:tcW w:w="843" w:type="dxa"/>
            <w:gridSpan w:val="2"/>
          </w:tcPr>
          <w:p w:rsidR="005A6CB7" w:rsidRDefault="005A6CB7">
            <w:pPr>
              <w:ind w:right="-29"/>
              <w:jc w:val="center"/>
              <w:rPr>
                <w:noProof/>
                <w:sz w:val="20"/>
                <w:szCs w:val="20"/>
                <w:lang w:eastAsia="bg-BG" w:bidi="bg-BG"/>
              </w:rPr>
            </w:pPr>
          </w:p>
        </w:tc>
        <w:tc>
          <w:tcPr>
            <w:tcW w:w="1075" w:type="dxa"/>
            <w:gridSpan w:val="2"/>
          </w:tcPr>
          <w:p w:rsidR="005A6CB7" w:rsidRDefault="005A6CB7">
            <w:pPr>
              <w:ind w:right="-29"/>
              <w:jc w:val="center"/>
              <w:rPr>
                <w:noProof/>
                <w:sz w:val="20"/>
                <w:szCs w:val="20"/>
                <w:lang w:eastAsia="bg-BG" w:bidi="bg-BG"/>
              </w:rPr>
            </w:pPr>
          </w:p>
        </w:tc>
        <w:tc>
          <w:tcPr>
            <w:tcW w:w="1169" w:type="dxa"/>
            <w:gridSpan w:val="2"/>
          </w:tcPr>
          <w:p w:rsidR="005A6CB7" w:rsidRDefault="005A6CB7">
            <w:pPr>
              <w:ind w:right="-29"/>
              <w:jc w:val="center"/>
              <w:rPr>
                <w:noProof/>
                <w:sz w:val="20"/>
                <w:szCs w:val="20"/>
                <w:lang w:eastAsia="bg-BG" w:bidi="bg-BG"/>
              </w:rPr>
            </w:pPr>
          </w:p>
        </w:tc>
        <w:tc>
          <w:tcPr>
            <w:tcW w:w="1087" w:type="dxa"/>
            <w:gridSpan w:val="3"/>
          </w:tcPr>
          <w:p w:rsidR="005A6CB7" w:rsidRDefault="005A6CB7">
            <w:pPr>
              <w:ind w:right="-29"/>
              <w:jc w:val="center"/>
              <w:rPr>
                <w:noProof/>
                <w:sz w:val="20"/>
                <w:szCs w:val="20"/>
                <w:lang w:eastAsia="bg-BG" w:bidi="bg-BG"/>
              </w:rPr>
            </w:pPr>
          </w:p>
        </w:tc>
        <w:tc>
          <w:tcPr>
            <w:tcW w:w="894" w:type="dxa"/>
            <w:gridSpan w:val="2"/>
          </w:tcPr>
          <w:p w:rsidR="005A6CB7" w:rsidRDefault="005A6CB7">
            <w:pPr>
              <w:ind w:right="-29"/>
              <w:jc w:val="center"/>
              <w:rPr>
                <w:noProof/>
                <w:sz w:val="20"/>
                <w:szCs w:val="20"/>
                <w:lang w:eastAsia="bg-BG" w:bidi="bg-BG"/>
              </w:rPr>
            </w:pPr>
          </w:p>
        </w:tc>
        <w:tc>
          <w:tcPr>
            <w:tcW w:w="669" w:type="dxa"/>
            <w:gridSpan w:val="2"/>
          </w:tcPr>
          <w:p w:rsidR="005A6CB7" w:rsidRDefault="005A6CB7">
            <w:pPr>
              <w:ind w:right="-29"/>
              <w:jc w:val="center"/>
              <w:rPr>
                <w:noProof/>
                <w:sz w:val="20"/>
                <w:szCs w:val="20"/>
                <w:lang w:eastAsia="bg-BG" w:bidi="bg-BG"/>
              </w:rPr>
            </w:pPr>
          </w:p>
        </w:tc>
        <w:tc>
          <w:tcPr>
            <w:tcW w:w="892" w:type="dxa"/>
            <w:gridSpan w:val="3"/>
          </w:tcPr>
          <w:p w:rsidR="005A6CB7" w:rsidRDefault="005A6CB7">
            <w:pPr>
              <w:ind w:right="-29"/>
              <w:jc w:val="center"/>
              <w:rPr>
                <w:noProof/>
                <w:sz w:val="20"/>
                <w:szCs w:val="20"/>
                <w:lang w:eastAsia="bg-BG" w:bidi="bg-BG"/>
              </w:rPr>
            </w:pPr>
          </w:p>
        </w:tc>
        <w:tc>
          <w:tcPr>
            <w:tcW w:w="987" w:type="dxa"/>
            <w:gridSpan w:val="2"/>
          </w:tcPr>
          <w:p w:rsidR="005A6CB7" w:rsidRDefault="005A6CB7">
            <w:pPr>
              <w:ind w:right="-29"/>
              <w:jc w:val="center"/>
              <w:rPr>
                <w:noProof/>
                <w:sz w:val="20"/>
                <w:szCs w:val="20"/>
                <w:lang w:eastAsia="bg-BG" w:bidi="bg-BG"/>
              </w:rPr>
            </w:pPr>
          </w:p>
        </w:tc>
      </w:tr>
      <w:tr w:rsidR="005A6CB7">
        <w:trPr>
          <w:trHeight w:hRule="exact" w:val="557"/>
        </w:trPr>
        <w:tc>
          <w:tcPr>
            <w:tcW w:w="2660" w:type="dxa"/>
            <w:gridSpan w:val="3"/>
          </w:tcPr>
          <w:p w:rsidR="005A6CB7" w:rsidRDefault="00C93832">
            <w:pPr>
              <w:ind w:right="-29"/>
              <w:jc w:val="center"/>
              <w:rPr>
                <w:noProof/>
                <w:lang w:eastAsia="bg-BG" w:bidi="bg-BG"/>
              </w:rPr>
            </w:pPr>
            <w:r>
              <w:rPr>
                <w:noProof/>
                <w:sz w:val="18"/>
                <w:lang w:eastAsia="bg-BG" w:bidi="bg-BG"/>
              </w:rPr>
              <w:t>Резултат 1</w:t>
            </w:r>
          </w:p>
        </w:tc>
        <w:tc>
          <w:tcPr>
            <w:tcW w:w="1843" w:type="dxa"/>
            <w:gridSpan w:val="3"/>
          </w:tcPr>
          <w:p w:rsidR="005A6CB7" w:rsidRDefault="00C93832">
            <w:pPr>
              <w:ind w:right="-29"/>
              <w:jc w:val="center"/>
              <w:rPr>
                <w:noProof/>
                <w:sz w:val="18"/>
                <w:szCs w:val="18"/>
                <w:lang w:eastAsia="bg-BG" w:bidi="bg-BG"/>
              </w:rPr>
            </w:pPr>
            <w:r>
              <w:rPr>
                <w:noProof/>
                <w:sz w:val="18"/>
                <w:lang w:eastAsia="bg-BG" w:bidi="bg-BG"/>
              </w:rPr>
              <w:t>Последваща оценка</w:t>
            </w:r>
          </w:p>
        </w:tc>
        <w:tc>
          <w:tcPr>
            <w:tcW w:w="950" w:type="dxa"/>
            <w:gridSpan w:val="2"/>
          </w:tcPr>
          <w:p w:rsidR="005A6CB7" w:rsidRDefault="005A6CB7">
            <w:pPr>
              <w:ind w:right="-29"/>
              <w:jc w:val="center"/>
              <w:rPr>
                <w:noProof/>
                <w:sz w:val="18"/>
                <w:lang w:eastAsia="bg-BG" w:bidi="bg-BG"/>
              </w:rPr>
            </w:pPr>
          </w:p>
        </w:tc>
        <w:tc>
          <w:tcPr>
            <w:tcW w:w="675" w:type="dxa"/>
            <w:gridSpan w:val="2"/>
          </w:tcPr>
          <w:p w:rsidR="005A6CB7" w:rsidRDefault="005A6CB7">
            <w:pPr>
              <w:ind w:right="-29"/>
              <w:jc w:val="center"/>
              <w:rPr>
                <w:noProof/>
                <w:sz w:val="20"/>
                <w:szCs w:val="20"/>
                <w:lang w:eastAsia="bg-BG" w:bidi="bg-BG"/>
              </w:rPr>
            </w:pPr>
          </w:p>
        </w:tc>
        <w:tc>
          <w:tcPr>
            <w:tcW w:w="843" w:type="dxa"/>
            <w:gridSpan w:val="2"/>
          </w:tcPr>
          <w:p w:rsidR="005A6CB7" w:rsidRDefault="005A6CB7">
            <w:pPr>
              <w:ind w:right="-29"/>
              <w:jc w:val="center"/>
              <w:rPr>
                <w:noProof/>
                <w:sz w:val="20"/>
                <w:szCs w:val="20"/>
                <w:lang w:eastAsia="bg-BG" w:bidi="bg-BG"/>
              </w:rPr>
            </w:pPr>
          </w:p>
        </w:tc>
        <w:tc>
          <w:tcPr>
            <w:tcW w:w="1075" w:type="dxa"/>
            <w:gridSpan w:val="2"/>
          </w:tcPr>
          <w:p w:rsidR="005A6CB7" w:rsidRDefault="005A6CB7">
            <w:pPr>
              <w:ind w:right="-29"/>
              <w:jc w:val="center"/>
              <w:rPr>
                <w:noProof/>
                <w:sz w:val="20"/>
                <w:szCs w:val="20"/>
                <w:lang w:eastAsia="bg-BG" w:bidi="bg-BG"/>
              </w:rPr>
            </w:pPr>
          </w:p>
        </w:tc>
        <w:tc>
          <w:tcPr>
            <w:tcW w:w="1169" w:type="dxa"/>
            <w:gridSpan w:val="2"/>
          </w:tcPr>
          <w:p w:rsidR="005A6CB7" w:rsidRDefault="00C93832">
            <w:pPr>
              <w:ind w:right="-29"/>
              <w:jc w:val="center"/>
              <w:rPr>
                <w:noProof/>
                <w:sz w:val="20"/>
                <w:szCs w:val="20"/>
                <w:lang w:eastAsia="bg-BG" w:bidi="bg-BG"/>
              </w:rPr>
            </w:pPr>
            <w:r>
              <w:rPr>
                <w:noProof/>
                <w:sz w:val="20"/>
                <w:lang w:eastAsia="bg-BG" w:bidi="bg-BG"/>
              </w:rPr>
              <w:t>1</w:t>
            </w:r>
          </w:p>
        </w:tc>
        <w:tc>
          <w:tcPr>
            <w:tcW w:w="1087" w:type="dxa"/>
            <w:gridSpan w:val="3"/>
          </w:tcPr>
          <w:p w:rsidR="005A6CB7" w:rsidRDefault="00C93832">
            <w:pPr>
              <w:ind w:right="-29"/>
              <w:jc w:val="center"/>
              <w:rPr>
                <w:noProof/>
                <w:sz w:val="20"/>
                <w:szCs w:val="20"/>
                <w:lang w:eastAsia="bg-BG" w:bidi="bg-BG"/>
              </w:rPr>
            </w:pPr>
            <w:r>
              <w:rPr>
                <w:noProof/>
                <w:sz w:val="20"/>
                <w:lang w:eastAsia="bg-BG" w:bidi="bg-BG"/>
              </w:rPr>
              <w:t>0,15</w:t>
            </w:r>
          </w:p>
        </w:tc>
        <w:tc>
          <w:tcPr>
            <w:tcW w:w="894" w:type="dxa"/>
            <w:gridSpan w:val="2"/>
          </w:tcPr>
          <w:p w:rsidR="005A6CB7" w:rsidRDefault="005A6CB7">
            <w:pPr>
              <w:ind w:right="-29"/>
              <w:jc w:val="center"/>
              <w:rPr>
                <w:noProof/>
                <w:sz w:val="20"/>
                <w:szCs w:val="20"/>
                <w:lang w:eastAsia="bg-BG" w:bidi="bg-BG"/>
              </w:rPr>
            </w:pPr>
          </w:p>
        </w:tc>
        <w:tc>
          <w:tcPr>
            <w:tcW w:w="669" w:type="dxa"/>
            <w:gridSpan w:val="2"/>
          </w:tcPr>
          <w:p w:rsidR="005A6CB7" w:rsidRDefault="005A6CB7">
            <w:pPr>
              <w:ind w:right="-29"/>
              <w:jc w:val="center"/>
              <w:rPr>
                <w:noProof/>
                <w:sz w:val="20"/>
                <w:szCs w:val="20"/>
                <w:lang w:eastAsia="bg-BG" w:bidi="bg-BG"/>
              </w:rPr>
            </w:pPr>
          </w:p>
        </w:tc>
        <w:tc>
          <w:tcPr>
            <w:tcW w:w="892" w:type="dxa"/>
            <w:gridSpan w:val="3"/>
          </w:tcPr>
          <w:p w:rsidR="005A6CB7" w:rsidRDefault="00C93832">
            <w:pPr>
              <w:ind w:right="-29"/>
              <w:jc w:val="center"/>
              <w:rPr>
                <w:noProof/>
                <w:sz w:val="20"/>
                <w:szCs w:val="20"/>
                <w:lang w:eastAsia="bg-BG" w:bidi="bg-BG"/>
              </w:rPr>
            </w:pPr>
            <w:r>
              <w:rPr>
                <w:noProof/>
                <w:sz w:val="20"/>
                <w:lang w:eastAsia="bg-BG" w:bidi="bg-BG"/>
              </w:rPr>
              <w:t>1</w:t>
            </w:r>
          </w:p>
        </w:tc>
        <w:tc>
          <w:tcPr>
            <w:tcW w:w="987" w:type="dxa"/>
            <w:gridSpan w:val="2"/>
          </w:tcPr>
          <w:p w:rsidR="005A6CB7" w:rsidRDefault="00C93832">
            <w:pPr>
              <w:ind w:right="-29"/>
              <w:jc w:val="center"/>
              <w:rPr>
                <w:noProof/>
                <w:sz w:val="20"/>
                <w:szCs w:val="20"/>
                <w:lang w:eastAsia="bg-BG" w:bidi="bg-BG"/>
              </w:rPr>
            </w:pPr>
            <w:r>
              <w:rPr>
                <w:noProof/>
                <w:sz w:val="20"/>
                <w:lang w:eastAsia="bg-BG" w:bidi="bg-BG"/>
              </w:rPr>
              <w:t>0,15</w:t>
            </w:r>
          </w:p>
        </w:tc>
      </w:tr>
      <w:tr w:rsidR="005A6CB7">
        <w:trPr>
          <w:trHeight w:hRule="exact" w:val="707"/>
        </w:trPr>
        <w:tc>
          <w:tcPr>
            <w:tcW w:w="2660" w:type="dxa"/>
            <w:gridSpan w:val="3"/>
          </w:tcPr>
          <w:p w:rsidR="005A6CB7" w:rsidRDefault="00C93832">
            <w:pPr>
              <w:ind w:right="-29"/>
              <w:jc w:val="center"/>
              <w:rPr>
                <w:noProof/>
                <w:lang w:eastAsia="bg-BG" w:bidi="bg-BG"/>
              </w:rPr>
            </w:pPr>
            <w:r>
              <w:rPr>
                <w:noProof/>
                <w:sz w:val="18"/>
                <w:lang w:eastAsia="bg-BG" w:bidi="bg-BG"/>
              </w:rPr>
              <w:t>Резултат 2</w:t>
            </w:r>
          </w:p>
        </w:tc>
        <w:tc>
          <w:tcPr>
            <w:tcW w:w="1843" w:type="dxa"/>
            <w:gridSpan w:val="3"/>
          </w:tcPr>
          <w:p w:rsidR="005A6CB7" w:rsidRDefault="00C93832">
            <w:pPr>
              <w:ind w:right="-29"/>
              <w:jc w:val="center"/>
              <w:rPr>
                <w:noProof/>
                <w:sz w:val="18"/>
                <w:szCs w:val="18"/>
                <w:lang w:eastAsia="bg-BG" w:bidi="bg-BG"/>
              </w:rPr>
            </w:pPr>
            <w:r>
              <w:rPr>
                <w:noProof/>
                <w:sz w:val="18"/>
                <w:lang w:eastAsia="bg-BG" w:bidi="bg-BG"/>
              </w:rPr>
              <w:t xml:space="preserve">Обезпечаване </w:t>
            </w:r>
            <w:r>
              <w:rPr>
                <w:noProof/>
                <w:sz w:val="18"/>
                <w:lang w:eastAsia="bg-BG" w:bidi="bg-BG"/>
              </w:rPr>
              <w:t>на Гаранционния фонд</w:t>
            </w:r>
          </w:p>
        </w:tc>
        <w:tc>
          <w:tcPr>
            <w:tcW w:w="950" w:type="dxa"/>
            <w:gridSpan w:val="2"/>
          </w:tcPr>
          <w:p w:rsidR="005A6CB7" w:rsidRDefault="005A6CB7">
            <w:pPr>
              <w:ind w:right="-29"/>
              <w:jc w:val="center"/>
              <w:rPr>
                <w:noProof/>
                <w:sz w:val="18"/>
                <w:lang w:eastAsia="bg-BG" w:bidi="bg-BG"/>
              </w:rPr>
            </w:pPr>
          </w:p>
        </w:tc>
        <w:tc>
          <w:tcPr>
            <w:tcW w:w="675" w:type="dxa"/>
            <w:gridSpan w:val="2"/>
          </w:tcPr>
          <w:p w:rsidR="005A6CB7" w:rsidRDefault="005A6CB7">
            <w:pPr>
              <w:ind w:right="-29"/>
              <w:jc w:val="center"/>
              <w:rPr>
                <w:noProof/>
                <w:sz w:val="20"/>
                <w:szCs w:val="20"/>
                <w:lang w:eastAsia="bg-BG" w:bidi="bg-BG"/>
              </w:rPr>
            </w:pPr>
          </w:p>
        </w:tc>
        <w:tc>
          <w:tcPr>
            <w:tcW w:w="843" w:type="dxa"/>
            <w:gridSpan w:val="2"/>
          </w:tcPr>
          <w:p w:rsidR="005A6CB7" w:rsidRDefault="005A6CB7">
            <w:pPr>
              <w:ind w:right="-29"/>
              <w:jc w:val="center"/>
              <w:rPr>
                <w:noProof/>
                <w:sz w:val="20"/>
                <w:szCs w:val="20"/>
                <w:lang w:eastAsia="bg-BG" w:bidi="bg-BG"/>
              </w:rPr>
            </w:pPr>
          </w:p>
        </w:tc>
        <w:tc>
          <w:tcPr>
            <w:tcW w:w="1075" w:type="dxa"/>
            <w:gridSpan w:val="2"/>
          </w:tcPr>
          <w:p w:rsidR="005A6CB7" w:rsidRDefault="005A6CB7">
            <w:pPr>
              <w:ind w:right="-29"/>
              <w:jc w:val="center"/>
              <w:rPr>
                <w:noProof/>
                <w:sz w:val="20"/>
                <w:szCs w:val="20"/>
                <w:lang w:eastAsia="bg-BG" w:bidi="bg-BG"/>
              </w:rPr>
            </w:pPr>
          </w:p>
        </w:tc>
        <w:tc>
          <w:tcPr>
            <w:tcW w:w="1169" w:type="dxa"/>
            <w:gridSpan w:val="2"/>
          </w:tcPr>
          <w:p w:rsidR="005A6CB7" w:rsidRDefault="00C93832">
            <w:pPr>
              <w:ind w:right="-29"/>
              <w:jc w:val="center"/>
              <w:rPr>
                <w:noProof/>
                <w:sz w:val="20"/>
                <w:szCs w:val="20"/>
                <w:lang w:eastAsia="bg-BG" w:bidi="bg-BG"/>
              </w:rPr>
            </w:pPr>
            <w:r>
              <w:rPr>
                <w:noProof/>
                <w:sz w:val="20"/>
                <w:lang w:eastAsia="bg-BG" w:bidi="bg-BG"/>
              </w:rPr>
              <w:t>1</w:t>
            </w:r>
          </w:p>
        </w:tc>
        <w:tc>
          <w:tcPr>
            <w:tcW w:w="1087" w:type="dxa"/>
            <w:gridSpan w:val="3"/>
          </w:tcPr>
          <w:p w:rsidR="005A6CB7" w:rsidRDefault="00C93832">
            <w:pPr>
              <w:ind w:right="-29"/>
              <w:jc w:val="center"/>
              <w:rPr>
                <w:noProof/>
                <w:sz w:val="20"/>
                <w:szCs w:val="20"/>
                <w:lang w:eastAsia="bg-BG" w:bidi="bg-BG"/>
              </w:rPr>
            </w:pPr>
            <w:r>
              <w:rPr>
                <w:noProof/>
                <w:sz w:val="20"/>
                <w:lang w:eastAsia="bg-BG" w:bidi="bg-BG"/>
              </w:rPr>
              <w:t>31,5</w:t>
            </w:r>
          </w:p>
        </w:tc>
        <w:tc>
          <w:tcPr>
            <w:tcW w:w="894" w:type="dxa"/>
            <w:gridSpan w:val="2"/>
          </w:tcPr>
          <w:p w:rsidR="005A6CB7" w:rsidRDefault="00C93832">
            <w:pPr>
              <w:ind w:right="-29"/>
              <w:jc w:val="center"/>
              <w:rPr>
                <w:noProof/>
                <w:sz w:val="20"/>
                <w:szCs w:val="20"/>
                <w:lang w:eastAsia="bg-BG" w:bidi="bg-BG"/>
              </w:rPr>
            </w:pPr>
            <w:r>
              <w:rPr>
                <w:noProof/>
                <w:sz w:val="20"/>
                <w:lang w:eastAsia="bg-BG" w:bidi="bg-BG"/>
              </w:rPr>
              <w:t>1</w:t>
            </w:r>
          </w:p>
        </w:tc>
        <w:tc>
          <w:tcPr>
            <w:tcW w:w="669" w:type="dxa"/>
            <w:gridSpan w:val="2"/>
          </w:tcPr>
          <w:p w:rsidR="005A6CB7" w:rsidRDefault="00C93832">
            <w:pPr>
              <w:ind w:right="-29"/>
              <w:jc w:val="center"/>
              <w:rPr>
                <w:noProof/>
                <w:sz w:val="20"/>
                <w:szCs w:val="20"/>
                <w:lang w:eastAsia="bg-BG" w:bidi="bg-BG"/>
              </w:rPr>
            </w:pPr>
            <w:r>
              <w:rPr>
                <w:noProof/>
                <w:sz w:val="20"/>
                <w:lang w:eastAsia="bg-BG" w:bidi="bg-BG"/>
              </w:rPr>
              <w:t>13,5</w:t>
            </w:r>
          </w:p>
        </w:tc>
        <w:tc>
          <w:tcPr>
            <w:tcW w:w="892" w:type="dxa"/>
            <w:gridSpan w:val="3"/>
          </w:tcPr>
          <w:p w:rsidR="005A6CB7" w:rsidRDefault="00C93832">
            <w:pPr>
              <w:ind w:right="-29"/>
              <w:jc w:val="center"/>
              <w:rPr>
                <w:noProof/>
                <w:sz w:val="20"/>
                <w:szCs w:val="20"/>
                <w:lang w:eastAsia="bg-BG" w:bidi="bg-BG"/>
              </w:rPr>
            </w:pPr>
            <w:r>
              <w:rPr>
                <w:noProof/>
                <w:sz w:val="20"/>
                <w:lang w:eastAsia="bg-BG" w:bidi="bg-BG"/>
              </w:rPr>
              <w:t>2</w:t>
            </w:r>
          </w:p>
        </w:tc>
        <w:tc>
          <w:tcPr>
            <w:tcW w:w="987" w:type="dxa"/>
            <w:gridSpan w:val="2"/>
          </w:tcPr>
          <w:p w:rsidR="005A6CB7" w:rsidRDefault="00C93832">
            <w:pPr>
              <w:ind w:right="-29"/>
              <w:jc w:val="center"/>
              <w:rPr>
                <w:noProof/>
                <w:sz w:val="20"/>
                <w:szCs w:val="20"/>
                <w:lang w:eastAsia="bg-BG" w:bidi="bg-BG"/>
              </w:rPr>
            </w:pPr>
            <w:r>
              <w:rPr>
                <w:noProof/>
                <w:sz w:val="20"/>
                <w:lang w:eastAsia="bg-BG" w:bidi="bg-BG"/>
              </w:rPr>
              <w:t>45</w:t>
            </w:r>
          </w:p>
        </w:tc>
      </w:tr>
      <w:tr w:rsidR="005A6CB7">
        <w:trPr>
          <w:trHeight w:hRule="exact" w:val="707"/>
        </w:trPr>
        <w:tc>
          <w:tcPr>
            <w:tcW w:w="4644" w:type="dxa"/>
            <w:gridSpan w:val="7"/>
          </w:tcPr>
          <w:p w:rsidR="005A6CB7" w:rsidRDefault="00C93832">
            <w:pPr>
              <w:ind w:right="-29"/>
              <w:jc w:val="center"/>
              <w:rPr>
                <w:noProof/>
                <w:sz w:val="18"/>
                <w:szCs w:val="18"/>
                <w:lang w:eastAsia="bg-BG" w:bidi="bg-BG"/>
              </w:rPr>
            </w:pPr>
            <w:r>
              <w:rPr>
                <w:noProof/>
                <w:sz w:val="18"/>
                <w:lang w:eastAsia="bg-BG" w:bidi="bg-BG"/>
              </w:rPr>
              <w:t>Междинен сбор за конкретна цел № 1</w:t>
            </w:r>
          </w:p>
        </w:tc>
        <w:tc>
          <w:tcPr>
            <w:tcW w:w="809" w:type="dxa"/>
          </w:tcPr>
          <w:p w:rsidR="005A6CB7" w:rsidRDefault="005A6CB7">
            <w:pPr>
              <w:ind w:right="-29"/>
              <w:jc w:val="center"/>
              <w:rPr>
                <w:noProof/>
                <w:sz w:val="18"/>
                <w:lang w:eastAsia="bg-BG" w:bidi="bg-BG"/>
              </w:rPr>
            </w:pPr>
          </w:p>
        </w:tc>
        <w:tc>
          <w:tcPr>
            <w:tcW w:w="675" w:type="dxa"/>
            <w:gridSpan w:val="2"/>
          </w:tcPr>
          <w:p w:rsidR="005A6CB7" w:rsidRDefault="005A6CB7">
            <w:pPr>
              <w:ind w:right="-29"/>
              <w:jc w:val="center"/>
              <w:rPr>
                <w:noProof/>
                <w:sz w:val="20"/>
                <w:szCs w:val="20"/>
                <w:lang w:eastAsia="bg-BG" w:bidi="bg-BG"/>
              </w:rPr>
            </w:pPr>
          </w:p>
        </w:tc>
        <w:tc>
          <w:tcPr>
            <w:tcW w:w="843" w:type="dxa"/>
            <w:gridSpan w:val="2"/>
          </w:tcPr>
          <w:p w:rsidR="005A6CB7" w:rsidRDefault="005A6CB7">
            <w:pPr>
              <w:ind w:right="-29"/>
              <w:jc w:val="center"/>
              <w:rPr>
                <w:noProof/>
                <w:sz w:val="20"/>
                <w:szCs w:val="20"/>
                <w:lang w:eastAsia="bg-BG" w:bidi="bg-BG"/>
              </w:rPr>
            </w:pPr>
          </w:p>
        </w:tc>
        <w:tc>
          <w:tcPr>
            <w:tcW w:w="1075" w:type="dxa"/>
            <w:gridSpan w:val="2"/>
          </w:tcPr>
          <w:p w:rsidR="005A6CB7" w:rsidRDefault="005A6CB7">
            <w:pPr>
              <w:ind w:right="-29"/>
              <w:jc w:val="center"/>
              <w:rPr>
                <w:noProof/>
                <w:sz w:val="20"/>
                <w:szCs w:val="20"/>
                <w:lang w:eastAsia="bg-BG" w:bidi="bg-BG"/>
              </w:rPr>
            </w:pPr>
          </w:p>
        </w:tc>
        <w:tc>
          <w:tcPr>
            <w:tcW w:w="1169" w:type="dxa"/>
            <w:gridSpan w:val="2"/>
          </w:tcPr>
          <w:p w:rsidR="005A6CB7" w:rsidRDefault="00C93832">
            <w:pPr>
              <w:ind w:right="-29"/>
              <w:jc w:val="center"/>
              <w:rPr>
                <w:noProof/>
                <w:sz w:val="20"/>
                <w:szCs w:val="20"/>
                <w:lang w:eastAsia="bg-BG" w:bidi="bg-BG"/>
              </w:rPr>
            </w:pPr>
            <w:r>
              <w:rPr>
                <w:noProof/>
                <w:sz w:val="20"/>
                <w:lang w:eastAsia="bg-BG" w:bidi="bg-BG"/>
              </w:rPr>
              <w:t>2</w:t>
            </w:r>
          </w:p>
        </w:tc>
        <w:tc>
          <w:tcPr>
            <w:tcW w:w="1087" w:type="dxa"/>
            <w:gridSpan w:val="3"/>
          </w:tcPr>
          <w:p w:rsidR="005A6CB7" w:rsidRDefault="00C93832">
            <w:pPr>
              <w:ind w:right="-29"/>
              <w:jc w:val="center"/>
              <w:rPr>
                <w:noProof/>
                <w:sz w:val="20"/>
                <w:szCs w:val="20"/>
                <w:lang w:eastAsia="bg-BG" w:bidi="bg-BG"/>
              </w:rPr>
            </w:pPr>
            <w:r>
              <w:rPr>
                <w:noProof/>
                <w:sz w:val="20"/>
                <w:lang w:eastAsia="bg-BG" w:bidi="bg-BG"/>
              </w:rPr>
              <w:t>31,65</w:t>
            </w:r>
          </w:p>
        </w:tc>
        <w:tc>
          <w:tcPr>
            <w:tcW w:w="894" w:type="dxa"/>
            <w:gridSpan w:val="2"/>
          </w:tcPr>
          <w:p w:rsidR="005A6CB7" w:rsidRDefault="00C93832">
            <w:pPr>
              <w:ind w:right="-29"/>
              <w:jc w:val="center"/>
              <w:rPr>
                <w:noProof/>
                <w:sz w:val="20"/>
                <w:szCs w:val="20"/>
                <w:lang w:eastAsia="bg-BG" w:bidi="bg-BG"/>
              </w:rPr>
            </w:pPr>
            <w:r>
              <w:rPr>
                <w:noProof/>
                <w:sz w:val="20"/>
                <w:lang w:eastAsia="bg-BG" w:bidi="bg-BG"/>
              </w:rPr>
              <w:t>1</w:t>
            </w:r>
          </w:p>
        </w:tc>
        <w:tc>
          <w:tcPr>
            <w:tcW w:w="669" w:type="dxa"/>
            <w:gridSpan w:val="2"/>
          </w:tcPr>
          <w:p w:rsidR="005A6CB7" w:rsidRDefault="00C93832">
            <w:pPr>
              <w:ind w:right="-29"/>
              <w:jc w:val="center"/>
              <w:rPr>
                <w:noProof/>
                <w:sz w:val="20"/>
                <w:szCs w:val="20"/>
                <w:lang w:eastAsia="bg-BG" w:bidi="bg-BG"/>
              </w:rPr>
            </w:pPr>
            <w:r>
              <w:rPr>
                <w:noProof/>
                <w:sz w:val="20"/>
                <w:lang w:eastAsia="bg-BG" w:bidi="bg-BG"/>
              </w:rPr>
              <w:t>13,5</w:t>
            </w:r>
          </w:p>
        </w:tc>
        <w:tc>
          <w:tcPr>
            <w:tcW w:w="892" w:type="dxa"/>
            <w:gridSpan w:val="3"/>
          </w:tcPr>
          <w:p w:rsidR="005A6CB7" w:rsidRDefault="00C93832">
            <w:pPr>
              <w:ind w:right="-29"/>
              <w:jc w:val="center"/>
              <w:rPr>
                <w:noProof/>
                <w:sz w:val="20"/>
                <w:szCs w:val="20"/>
                <w:lang w:eastAsia="bg-BG" w:bidi="bg-BG"/>
              </w:rPr>
            </w:pPr>
            <w:r>
              <w:rPr>
                <w:noProof/>
                <w:sz w:val="20"/>
                <w:lang w:eastAsia="bg-BG" w:bidi="bg-BG"/>
              </w:rPr>
              <w:t>3</w:t>
            </w:r>
          </w:p>
        </w:tc>
        <w:tc>
          <w:tcPr>
            <w:tcW w:w="987" w:type="dxa"/>
            <w:gridSpan w:val="2"/>
          </w:tcPr>
          <w:p w:rsidR="005A6CB7" w:rsidRDefault="00C93832">
            <w:pPr>
              <w:ind w:right="-29"/>
              <w:jc w:val="center"/>
              <w:rPr>
                <w:noProof/>
                <w:sz w:val="20"/>
                <w:szCs w:val="20"/>
                <w:lang w:eastAsia="bg-BG" w:bidi="bg-BG"/>
              </w:rPr>
            </w:pPr>
            <w:r>
              <w:rPr>
                <w:noProof/>
                <w:sz w:val="20"/>
                <w:lang w:eastAsia="bg-BG" w:bidi="bg-BG"/>
              </w:rPr>
              <w:t>45,15</w:t>
            </w:r>
          </w:p>
        </w:tc>
      </w:tr>
      <w:tr w:rsidR="005A6CB7">
        <w:trPr>
          <w:trHeight w:hRule="exact" w:val="707"/>
        </w:trPr>
        <w:tc>
          <w:tcPr>
            <w:tcW w:w="4318" w:type="dxa"/>
            <w:gridSpan w:val="5"/>
          </w:tcPr>
          <w:p w:rsidR="005A6CB7" w:rsidRDefault="00C93832">
            <w:pPr>
              <w:ind w:right="-29"/>
              <w:jc w:val="center"/>
              <w:rPr>
                <w:noProof/>
                <w:sz w:val="18"/>
                <w:szCs w:val="18"/>
                <w:lang w:eastAsia="bg-BG" w:bidi="bg-BG"/>
              </w:rPr>
            </w:pPr>
            <w:r>
              <w:rPr>
                <w:b/>
                <w:noProof/>
                <w:sz w:val="18"/>
                <w:lang w:eastAsia="bg-BG" w:bidi="bg-BG"/>
              </w:rPr>
              <w:t>ОБЩО РАЗХОДИ</w:t>
            </w:r>
          </w:p>
        </w:tc>
        <w:tc>
          <w:tcPr>
            <w:tcW w:w="1135" w:type="dxa"/>
            <w:gridSpan w:val="3"/>
          </w:tcPr>
          <w:p w:rsidR="005A6CB7" w:rsidRDefault="005A6CB7">
            <w:pPr>
              <w:ind w:right="-29"/>
              <w:jc w:val="center"/>
              <w:rPr>
                <w:noProof/>
                <w:sz w:val="18"/>
                <w:lang w:eastAsia="bg-BG" w:bidi="bg-BG"/>
              </w:rPr>
            </w:pPr>
          </w:p>
        </w:tc>
        <w:tc>
          <w:tcPr>
            <w:tcW w:w="675" w:type="dxa"/>
            <w:gridSpan w:val="2"/>
          </w:tcPr>
          <w:p w:rsidR="005A6CB7" w:rsidRDefault="005A6CB7">
            <w:pPr>
              <w:ind w:right="-29"/>
              <w:jc w:val="center"/>
              <w:rPr>
                <w:noProof/>
                <w:sz w:val="20"/>
                <w:szCs w:val="20"/>
                <w:lang w:eastAsia="bg-BG" w:bidi="bg-BG"/>
              </w:rPr>
            </w:pPr>
          </w:p>
        </w:tc>
        <w:tc>
          <w:tcPr>
            <w:tcW w:w="843" w:type="dxa"/>
            <w:gridSpan w:val="2"/>
          </w:tcPr>
          <w:p w:rsidR="005A6CB7" w:rsidRDefault="005A6CB7">
            <w:pPr>
              <w:ind w:right="-29"/>
              <w:jc w:val="center"/>
              <w:rPr>
                <w:noProof/>
                <w:sz w:val="20"/>
                <w:szCs w:val="20"/>
                <w:lang w:eastAsia="bg-BG" w:bidi="bg-BG"/>
              </w:rPr>
            </w:pPr>
          </w:p>
        </w:tc>
        <w:tc>
          <w:tcPr>
            <w:tcW w:w="1364" w:type="dxa"/>
            <w:gridSpan w:val="3"/>
          </w:tcPr>
          <w:p w:rsidR="005A6CB7" w:rsidRDefault="005A6CB7">
            <w:pPr>
              <w:ind w:right="-29"/>
              <w:jc w:val="center"/>
              <w:rPr>
                <w:noProof/>
                <w:sz w:val="20"/>
                <w:szCs w:val="20"/>
                <w:lang w:eastAsia="bg-BG" w:bidi="bg-BG"/>
              </w:rPr>
            </w:pPr>
          </w:p>
        </w:tc>
        <w:tc>
          <w:tcPr>
            <w:tcW w:w="880" w:type="dxa"/>
          </w:tcPr>
          <w:p w:rsidR="005A6CB7" w:rsidRDefault="00C93832">
            <w:pPr>
              <w:ind w:right="-29"/>
              <w:jc w:val="center"/>
              <w:rPr>
                <w:noProof/>
                <w:sz w:val="20"/>
                <w:szCs w:val="20"/>
                <w:lang w:eastAsia="bg-BG" w:bidi="bg-BG"/>
              </w:rPr>
            </w:pPr>
            <w:r>
              <w:rPr>
                <w:noProof/>
                <w:sz w:val="20"/>
                <w:lang w:eastAsia="bg-BG" w:bidi="bg-BG"/>
              </w:rPr>
              <w:t>2</w:t>
            </w:r>
          </w:p>
        </w:tc>
        <w:tc>
          <w:tcPr>
            <w:tcW w:w="1087" w:type="dxa"/>
            <w:gridSpan w:val="3"/>
          </w:tcPr>
          <w:p w:rsidR="005A6CB7" w:rsidRDefault="00C93832">
            <w:pPr>
              <w:ind w:right="-29"/>
              <w:jc w:val="center"/>
              <w:rPr>
                <w:noProof/>
                <w:sz w:val="20"/>
                <w:szCs w:val="20"/>
                <w:lang w:eastAsia="bg-BG" w:bidi="bg-BG"/>
              </w:rPr>
            </w:pPr>
            <w:r>
              <w:rPr>
                <w:noProof/>
                <w:sz w:val="20"/>
                <w:lang w:eastAsia="bg-BG" w:bidi="bg-BG"/>
              </w:rPr>
              <w:t>31,65</w:t>
            </w:r>
          </w:p>
        </w:tc>
        <w:tc>
          <w:tcPr>
            <w:tcW w:w="894" w:type="dxa"/>
            <w:gridSpan w:val="2"/>
          </w:tcPr>
          <w:p w:rsidR="005A6CB7" w:rsidRDefault="00C93832">
            <w:pPr>
              <w:ind w:right="-29"/>
              <w:jc w:val="center"/>
              <w:rPr>
                <w:noProof/>
                <w:sz w:val="20"/>
                <w:szCs w:val="20"/>
                <w:lang w:eastAsia="bg-BG" w:bidi="bg-BG"/>
              </w:rPr>
            </w:pPr>
            <w:r>
              <w:rPr>
                <w:noProof/>
                <w:sz w:val="20"/>
                <w:lang w:eastAsia="bg-BG" w:bidi="bg-BG"/>
              </w:rPr>
              <w:t>1</w:t>
            </w:r>
          </w:p>
        </w:tc>
        <w:tc>
          <w:tcPr>
            <w:tcW w:w="669" w:type="dxa"/>
            <w:gridSpan w:val="2"/>
          </w:tcPr>
          <w:p w:rsidR="005A6CB7" w:rsidRDefault="00C93832">
            <w:pPr>
              <w:ind w:right="-29"/>
              <w:jc w:val="center"/>
              <w:rPr>
                <w:noProof/>
                <w:sz w:val="20"/>
                <w:szCs w:val="20"/>
                <w:lang w:eastAsia="bg-BG" w:bidi="bg-BG"/>
              </w:rPr>
            </w:pPr>
            <w:r>
              <w:rPr>
                <w:noProof/>
                <w:sz w:val="20"/>
                <w:lang w:eastAsia="bg-BG" w:bidi="bg-BG"/>
              </w:rPr>
              <w:t>13,5</w:t>
            </w:r>
          </w:p>
        </w:tc>
        <w:tc>
          <w:tcPr>
            <w:tcW w:w="892" w:type="dxa"/>
            <w:gridSpan w:val="3"/>
          </w:tcPr>
          <w:p w:rsidR="005A6CB7" w:rsidRDefault="00C93832">
            <w:pPr>
              <w:ind w:right="-29"/>
              <w:jc w:val="center"/>
              <w:rPr>
                <w:noProof/>
                <w:sz w:val="20"/>
                <w:szCs w:val="20"/>
                <w:lang w:eastAsia="bg-BG" w:bidi="bg-BG"/>
              </w:rPr>
            </w:pPr>
            <w:r>
              <w:rPr>
                <w:noProof/>
                <w:sz w:val="20"/>
                <w:lang w:eastAsia="bg-BG" w:bidi="bg-BG"/>
              </w:rPr>
              <w:t>3</w:t>
            </w:r>
          </w:p>
        </w:tc>
        <w:tc>
          <w:tcPr>
            <w:tcW w:w="987" w:type="dxa"/>
            <w:gridSpan w:val="2"/>
          </w:tcPr>
          <w:p w:rsidR="005A6CB7" w:rsidRDefault="00C93832">
            <w:pPr>
              <w:ind w:right="-29"/>
              <w:jc w:val="center"/>
              <w:rPr>
                <w:noProof/>
                <w:sz w:val="20"/>
                <w:szCs w:val="20"/>
                <w:lang w:eastAsia="bg-BG" w:bidi="bg-BG"/>
              </w:rPr>
            </w:pPr>
            <w:r>
              <w:rPr>
                <w:noProof/>
                <w:sz w:val="20"/>
                <w:lang w:eastAsia="bg-BG" w:bidi="bg-BG"/>
              </w:rPr>
              <w:t>45,15</w:t>
            </w:r>
          </w:p>
        </w:tc>
      </w:tr>
    </w:tbl>
    <w:p w:rsidR="005A6CB7" w:rsidRDefault="005A6CB7">
      <w:pPr>
        <w:rPr>
          <w:noProof/>
          <w:lang w:eastAsia="bg-BG" w:bidi="bg-BG"/>
        </w:rPr>
        <w:sectPr w:rsidR="005A6CB7">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rsidR="005A6CB7" w:rsidRDefault="00C93832">
      <w:pPr>
        <w:pStyle w:val="ManualHeading3"/>
        <w:rPr>
          <w:noProof/>
          <w:lang w:eastAsia="bg-BG" w:bidi="bg-BG"/>
        </w:rPr>
      </w:pPr>
      <w:r>
        <w:rPr>
          <w:noProof/>
          <w:lang w:eastAsia="bg-BG" w:bidi="bg-BG"/>
        </w:rPr>
        <w:t>3.2.3.</w:t>
      </w:r>
      <w:r>
        <w:rPr>
          <w:noProof/>
          <w:lang w:eastAsia="bg-BG" w:bidi="bg-BG"/>
        </w:rPr>
        <w:tab/>
        <w:t>Очаквано отражение върху бюджетните кредити за административни разходи</w:t>
      </w:r>
    </w:p>
    <w:p w:rsidR="005A6CB7" w:rsidRDefault="00C93832">
      <w:pPr>
        <w:pStyle w:val="ManualHeading4"/>
        <w:rPr>
          <w:noProof/>
          <w:lang w:eastAsia="bg-BG" w:bidi="bg-BG"/>
        </w:rPr>
      </w:pPr>
      <w:r>
        <w:rPr>
          <w:noProof/>
          <w:lang w:eastAsia="bg-BG" w:bidi="bg-BG"/>
        </w:rPr>
        <w:t>3.2.3.1.</w:t>
      </w:r>
      <w:r>
        <w:rPr>
          <w:noProof/>
          <w:lang w:eastAsia="bg-BG" w:bidi="bg-BG"/>
        </w:rPr>
        <w:tab/>
        <w:t xml:space="preserve">Обобщение </w:t>
      </w:r>
    </w:p>
    <w:p w:rsidR="005A6CB7" w:rsidRDefault="00C93832">
      <w:pPr>
        <w:pStyle w:val="ListDash1"/>
        <w:rPr>
          <w:noProof/>
          <w:lang w:val="bg-BG"/>
        </w:rPr>
      </w:pPr>
      <w:r>
        <w:rPr>
          <w:noProof/>
        </w:rPr>
        <w:sym w:font="Wingdings" w:char="F0A8"/>
      </w:r>
      <w:r>
        <w:rPr>
          <w:noProof/>
          <w:lang w:val="bg-BG"/>
        </w:rPr>
        <w:tab/>
        <w:t xml:space="preserve">Предложението/инициативата не налага използване на бюджетни кредити за административни разходи </w:t>
      </w:r>
    </w:p>
    <w:p w:rsidR="005A6CB7" w:rsidRDefault="00C93832">
      <w:pPr>
        <w:pStyle w:val="ListDash1"/>
        <w:rPr>
          <w:noProof/>
          <w:lang w:val="bg-BG"/>
        </w:rPr>
      </w:pPr>
      <w:r>
        <w:rPr>
          <w:noProof/>
        </w:rPr>
        <w:t>X</w:t>
      </w:r>
      <w:r>
        <w:rPr>
          <w:noProof/>
          <w:lang w:val="bg-BG"/>
        </w:rPr>
        <w:t xml:space="preserve"> Предложението/инициативата нала</w:t>
      </w:r>
      <w:r>
        <w:rPr>
          <w:noProof/>
          <w:lang w:val="bg-BG"/>
        </w:rPr>
        <w:t>га използване на бюджетни кредити за административни разходи съгласно обяснението по-долу:</w:t>
      </w:r>
    </w:p>
    <w:p w:rsidR="005A6CB7" w:rsidRDefault="00C93832">
      <w:pPr>
        <w:rPr>
          <w:noProof/>
          <w:sz w:val="20"/>
          <w:lang w:eastAsia="bg-BG" w:bidi="bg-BG"/>
        </w:rPr>
      </w:pPr>
      <w:r>
        <w:rPr>
          <w:noProof/>
          <w:sz w:val="20"/>
          <w:lang w:eastAsia="bg-BG" w:bidi="bg-BG"/>
        </w:rPr>
        <w:t>млн. EUR (до третия знак след десетичната запетая)</w:t>
      </w: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rsidR="005A6CB7">
        <w:trPr>
          <w:trHeight w:val="585"/>
        </w:trPr>
        <w:tc>
          <w:tcPr>
            <w:tcW w:w="1980" w:type="dxa"/>
          </w:tcPr>
          <w:p w:rsidR="005A6CB7" w:rsidRDefault="005A6CB7">
            <w:pPr>
              <w:spacing w:before="60" w:after="60" w:line="200" w:lineRule="exact"/>
              <w:rPr>
                <w:noProof/>
                <w:sz w:val="16"/>
                <w:lang w:eastAsia="bg-BG" w:bidi="bg-BG"/>
              </w:rPr>
            </w:pPr>
          </w:p>
        </w:tc>
        <w:tc>
          <w:tcPr>
            <w:tcW w:w="725" w:type="dxa"/>
          </w:tcPr>
          <w:p w:rsidR="005A6CB7" w:rsidRDefault="00C93832">
            <w:pPr>
              <w:spacing w:before="60" w:after="60" w:line="200" w:lineRule="exact"/>
              <w:jc w:val="center"/>
              <w:rPr>
                <w:noProof/>
                <w:lang w:eastAsia="bg-BG" w:bidi="bg-BG"/>
              </w:rPr>
            </w:pPr>
            <w:r>
              <w:rPr>
                <w:noProof/>
                <w:sz w:val="16"/>
                <w:lang w:eastAsia="bg-BG" w:bidi="bg-BG"/>
              </w:rPr>
              <w:t>Година</w:t>
            </w:r>
            <w:r>
              <w:rPr>
                <w:noProof/>
                <w:sz w:val="16"/>
                <w:lang w:eastAsia="bg-BG" w:bidi="bg-BG"/>
              </w:rPr>
              <w:br/>
            </w:r>
            <w:r>
              <w:rPr>
                <w:b/>
                <w:noProof/>
                <w:sz w:val="16"/>
                <w:lang w:eastAsia="bg-BG" w:bidi="bg-BG"/>
              </w:rPr>
              <w:t>2016</w:t>
            </w:r>
            <w:r>
              <w:rPr>
                <w:rStyle w:val="FootnoteReference"/>
                <w:noProof/>
              </w:rPr>
              <w:footnoteReference w:id="21"/>
            </w:r>
          </w:p>
          <w:p w:rsidR="005A6CB7" w:rsidRDefault="005A6CB7">
            <w:pPr>
              <w:jc w:val="center"/>
              <w:rPr>
                <w:noProof/>
                <w:sz w:val="16"/>
                <w:lang w:eastAsia="bg-BG" w:bidi="bg-BG"/>
              </w:rPr>
            </w:pPr>
          </w:p>
        </w:tc>
        <w:tc>
          <w:tcPr>
            <w:tcW w:w="709" w:type="dxa"/>
          </w:tcPr>
          <w:p w:rsidR="005A6CB7" w:rsidRDefault="00C93832">
            <w:pPr>
              <w:spacing w:before="60" w:after="60" w:line="200" w:lineRule="exact"/>
              <w:jc w:val="center"/>
              <w:rPr>
                <w:noProof/>
                <w:spacing w:val="-4"/>
                <w:lang w:eastAsia="bg-BG" w:bidi="bg-BG"/>
              </w:rPr>
            </w:pPr>
            <w:r>
              <w:rPr>
                <w:noProof/>
                <w:spacing w:val="-4"/>
                <w:sz w:val="16"/>
                <w:lang w:eastAsia="bg-BG" w:bidi="bg-BG"/>
              </w:rPr>
              <w:t>Година</w:t>
            </w:r>
            <w:r>
              <w:rPr>
                <w:noProof/>
                <w:spacing w:val="-4"/>
                <w:sz w:val="16"/>
                <w:lang w:eastAsia="bg-BG" w:bidi="bg-BG"/>
              </w:rPr>
              <w:br/>
            </w:r>
            <w:r>
              <w:rPr>
                <w:b/>
                <w:noProof/>
                <w:spacing w:val="-4"/>
                <w:sz w:val="16"/>
                <w:lang w:eastAsia="bg-BG" w:bidi="bg-BG"/>
              </w:rPr>
              <w:t>2017</w:t>
            </w:r>
          </w:p>
        </w:tc>
        <w:tc>
          <w:tcPr>
            <w:tcW w:w="708" w:type="dxa"/>
          </w:tcPr>
          <w:p w:rsidR="005A6CB7" w:rsidRDefault="00C93832">
            <w:pPr>
              <w:spacing w:before="60" w:after="60" w:line="200" w:lineRule="exact"/>
              <w:jc w:val="center"/>
              <w:rPr>
                <w:noProof/>
                <w:spacing w:val="-4"/>
                <w:lang w:eastAsia="bg-BG" w:bidi="bg-BG"/>
              </w:rPr>
            </w:pPr>
            <w:r>
              <w:rPr>
                <w:noProof/>
                <w:spacing w:val="-4"/>
                <w:sz w:val="16"/>
                <w:lang w:eastAsia="bg-BG" w:bidi="bg-BG"/>
              </w:rPr>
              <w:t>Година</w:t>
            </w:r>
            <w:r>
              <w:rPr>
                <w:noProof/>
                <w:spacing w:val="-4"/>
                <w:sz w:val="16"/>
                <w:lang w:eastAsia="bg-BG" w:bidi="bg-BG"/>
              </w:rPr>
              <w:br/>
            </w:r>
            <w:r>
              <w:rPr>
                <w:b/>
                <w:noProof/>
                <w:spacing w:val="-4"/>
                <w:sz w:val="16"/>
                <w:lang w:eastAsia="bg-BG" w:bidi="bg-BG"/>
              </w:rPr>
              <w:t>2018</w:t>
            </w:r>
          </w:p>
        </w:tc>
        <w:tc>
          <w:tcPr>
            <w:tcW w:w="709" w:type="dxa"/>
          </w:tcPr>
          <w:p w:rsidR="005A6CB7" w:rsidRDefault="00C93832">
            <w:pPr>
              <w:spacing w:line="200" w:lineRule="exact"/>
              <w:jc w:val="center"/>
              <w:rPr>
                <w:noProof/>
                <w:spacing w:val="-4"/>
                <w:sz w:val="16"/>
                <w:lang w:eastAsia="bg-BG" w:bidi="bg-BG"/>
              </w:rPr>
            </w:pPr>
            <w:r>
              <w:rPr>
                <w:noProof/>
                <w:spacing w:val="-4"/>
                <w:sz w:val="16"/>
                <w:lang w:eastAsia="bg-BG" w:bidi="bg-BG"/>
              </w:rPr>
              <w:t>Година</w:t>
            </w:r>
            <w:r>
              <w:rPr>
                <w:noProof/>
                <w:spacing w:val="-4"/>
                <w:sz w:val="16"/>
                <w:lang w:eastAsia="bg-BG" w:bidi="bg-BG"/>
              </w:rPr>
              <w:br/>
            </w:r>
            <w:r>
              <w:rPr>
                <w:b/>
                <w:noProof/>
                <w:spacing w:val="-4"/>
                <w:sz w:val="16"/>
                <w:lang w:eastAsia="bg-BG" w:bidi="bg-BG"/>
              </w:rPr>
              <w:t>2019</w:t>
            </w:r>
          </w:p>
        </w:tc>
        <w:tc>
          <w:tcPr>
            <w:tcW w:w="2081" w:type="dxa"/>
            <w:gridSpan w:val="3"/>
          </w:tcPr>
          <w:p w:rsidR="005A6CB7" w:rsidRDefault="00C93832">
            <w:pPr>
              <w:spacing w:line="200" w:lineRule="exact"/>
              <w:jc w:val="center"/>
              <w:rPr>
                <w:noProof/>
                <w:lang w:eastAsia="bg-BG" w:bidi="bg-BG"/>
              </w:rPr>
            </w:pPr>
            <w:r>
              <w:rPr>
                <w:noProof/>
                <w:sz w:val="16"/>
                <w:lang w:eastAsia="bg-BG" w:bidi="bg-BG"/>
              </w:rPr>
              <w:t xml:space="preserve">Да се добавят толкова години, колкото е необходимо, за да се </w:t>
            </w:r>
            <w:r>
              <w:rPr>
                <w:noProof/>
                <w:sz w:val="16"/>
                <w:lang w:eastAsia="bg-BG" w:bidi="bg-BG"/>
              </w:rPr>
              <w:t>обхване продължителността на отражението (вж. точка 1.6)</w:t>
            </w:r>
          </w:p>
        </w:tc>
        <w:tc>
          <w:tcPr>
            <w:tcW w:w="1037" w:type="dxa"/>
          </w:tcPr>
          <w:p w:rsidR="005A6CB7" w:rsidRDefault="00C93832">
            <w:pPr>
              <w:spacing w:before="60" w:after="60" w:line="200" w:lineRule="exact"/>
              <w:jc w:val="center"/>
              <w:rPr>
                <w:b/>
                <w:noProof/>
                <w:sz w:val="16"/>
                <w:lang w:eastAsia="bg-BG" w:bidi="bg-BG"/>
              </w:rPr>
            </w:pPr>
            <w:r>
              <w:rPr>
                <w:b/>
                <w:noProof/>
                <w:sz w:val="16"/>
                <w:lang w:eastAsia="bg-BG" w:bidi="bg-BG"/>
              </w:rPr>
              <w:t>ОБЩО</w:t>
            </w: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5A6CB7" w:rsidRDefault="00C93832">
            <w:pPr>
              <w:spacing w:before="60" w:after="60" w:line="200" w:lineRule="exact"/>
              <w:jc w:val="center"/>
              <w:rPr>
                <w:noProof/>
                <w:lang w:eastAsia="bg-BG" w:bidi="bg-BG"/>
              </w:rPr>
            </w:pPr>
            <w:r>
              <w:rPr>
                <w:b/>
                <w:noProof/>
                <w:sz w:val="16"/>
                <w:lang w:eastAsia="bg-BG" w:bidi="bg-BG"/>
              </w:rPr>
              <w:t>ФУНКЦИЯ 5</w:t>
            </w:r>
            <w:r>
              <w:rPr>
                <w:b/>
                <w:noProof/>
                <w:sz w:val="16"/>
                <w:lang w:eastAsia="bg-BG" w:bidi="bg-BG"/>
              </w:rPr>
              <w:br/>
              <w:t>от многогодишната финансова рамка</w:t>
            </w:r>
          </w:p>
        </w:tc>
        <w:tc>
          <w:tcPr>
            <w:tcW w:w="725"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noProof/>
                <w:sz w:val="16"/>
                <w:lang w:eastAsia="bg-BG" w:bidi="bg-BG"/>
              </w:rPr>
            </w:pPr>
          </w:p>
        </w:tc>
        <w:tc>
          <w:tcPr>
            <w:tcW w:w="709" w:type="dxa"/>
          </w:tcPr>
          <w:p w:rsidR="005A6CB7" w:rsidRDefault="005A6CB7">
            <w:pPr>
              <w:spacing w:before="60" w:after="60" w:line="200" w:lineRule="exact"/>
              <w:jc w:val="right"/>
              <w:rPr>
                <w:noProof/>
                <w:sz w:val="16"/>
                <w:lang w:eastAsia="bg-BG" w:bidi="bg-BG"/>
              </w:rPr>
            </w:pPr>
          </w:p>
        </w:tc>
        <w:tc>
          <w:tcPr>
            <w:tcW w:w="664"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b/>
                <w:noProof/>
                <w:sz w:val="16"/>
                <w:lang w:eastAsia="bg-BG" w:bidi="bg-BG"/>
              </w:rPr>
            </w:pPr>
          </w:p>
        </w:tc>
        <w:tc>
          <w:tcPr>
            <w:tcW w:w="1037" w:type="dxa"/>
            <w:vAlign w:val="center"/>
          </w:tcPr>
          <w:p w:rsidR="005A6CB7" w:rsidRDefault="005A6CB7">
            <w:pPr>
              <w:spacing w:before="60" w:after="60" w:line="200" w:lineRule="exact"/>
              <w:jc w:val="right"/>
              <w:rPr>
                <w:b/>
                <w:noProof/>
                <w:sz w:val="16"/>
                <w:lang w:eastAsia="bg-BG" w:bidi="bg-BG"/>
              </w:rPr>
            </w:pP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5A6CB7" w:rsidRDefault="00C93832">
            <w:pPr>
              <w:spacing w:before="60" w:after="60" w:line="200" w:lineRule="exact"/>
              <w:ind w:left="72"/>
              <w:rPr>
                <w:noProof/>
                <w:lang w:eastAsia="bg-BG" w:bidi="bg-BG"/>
              </w:rPr>
            </w:pPr>
            <w:r>
              <w:rPr>
                <w:noProof/>
                <w:sz w:val="16"/>
                <w:lang w:eastAsia="bg-BG" w:bidi="bg-BG"/>
              </w:rPr>
              <w:t xml:space="preserve">Човешки ресурси </w:t>
            </w:r>
          </w:p>
        </w:tc>
        <w:tc>
          <w:tcPr>
            <w:tcW w:w="725"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0,039</w:t>
            </w:r>
          </w:p>
        </w:tc>
        <w:tc>
          <w:tcPr>
            <w:tcW w:w="709"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0,029</w:t>
            </w:r>
          </w:p>
        </w:tc>
        <w:tc>
          <w:tcPr>
            <w:tcW w:w="708"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0,021</w:t>
            </w:r>
          </w:p>
        </w:tc>
        <w:tc>
          <w:tcPr>
            <w:tcW w:w="709"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0,016</w:t>
            </w:r>
          </w:p>
        </w:tc>
        <w:tc>
          <w:tcPr>
            <w:tcW w:w="664" w:type="dxa"/>
            <w:vAlign w:val="center"/>
          </w:tcPr>
          <w:p w:rsidR="005A6CB7" w:rsidRDefault="005A6CB7">
            <w:pPr>
              <w:spacing w:before="60" w:after="60" w:line="200" w:lineRule="exact"/>
              <w:jc w:val="right"/>
              <w:rPr>
                <w:noProof/>
                <w:sz w:val="20"/>
                <w:szCs w:val="20"/>
                <w:lang w:eastAsia="bg-BG" w:bidi="bg-BG"/>
              </w:rPr>
            </w:pPr>
          </w:p>
        </w:tc>
        <w:tc>
          <w:tcPr>
            <w:tcW w:w="709" w:type="dxa"/>
            <w:vAlign w:val="center"/>
          </w:tcPr>
          <w:p w:rsidR="005A6CB7" w:rsidRDefault="005A6CB7">
            <w:pPr>
              <w:spacing w:before="60" w:after="60" w:line="200" w:lineRule="exact"/>
              <w:jc w:val="right"/>
              <w:rPr>
                <w:noProof/>
                <w:sz w:val="20"/>
                <w:szCs w:val="20"/>
                <w:lang w:eastAsia="bg-BG" w:bidi="bg-BG"/>
              </w:rPr>
            </w:pPr>
          </w:p>
        </w:tc>
        <w:tc>
          <w:tcPr>
            <w:tcW w:w="708" w:type="dxa"/>
            <w:vAlign w:val="center"/>
          </w:tcPr>
          <w:p w:rsidR="005A6CB7" w:rsidRDefault="005A6CB7">
            <w:pPr>
              <w:spacing w:before="60" w:after="60" w:line="200" w:lineRule="exact"/>
              <w:jc w:val="right"/>
              <w:rPr>
                <w:b/>
                <w:noProof/>
                <w:sz w:val="20"/>
                <w:szCs w:val="20"/>
                <w:lang w:eastAsia="bg-BG" w:bidi="bg-BG"/>
              </w:rPr>
            </w:pPr>
          </w:p>
        </w:tc>
        <w:tc>
          <w:tcPr>
            <w:tcW w:w="1037" w:type="dxa"/>
            <w:vAlign w:val="center"/>
          </w:tcPr>
          <w:p w:rsidR="005A6CB7" w:rsidRDefault="00C93832">
            <w:pPr>
              <w:spacing w:before="60" w:after="60" w:line="200" w:lineRule="exact"/>
              <w:jc w:val="right"/>
              <w:rPr>
                <w:b/>
                <w:noProof/>
                <w:sz w:val="20"/>
                <w:szCs w:val="20"/>
                <w:lang w:eastAsia="bg-BG" w:bidi="bg-BG"/>
              </w:rPr>
            </w:pPr>
            <w:r>
              <w:rPr>
                <w:b/>
                <w:noProof/>
                <w:sz w:val="20"/>
                <w:lang w:eastAsia="bg-BG" w:bidi="bg-BG"/>
              </w:rPr>
              <w:t>0,105</w:t>
            </w: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5A6CB7" w:rsidRDefault="00C93832">
            <w:pPr>
              <w:spacing w:before="60" w:after="60" w:line="200" w:lineRule="exact"/>
              <w:ind w:left="72"/>
              <w:jc w:val="left"/>
              <w:rPr>
                <w:noProof/>
                <w:lang w:eastAsia="bg-BG" w:bidi="bg-BG"/>
              </w:rPr>
            </w:pPr>
            <w:r>
              <w:rPr>
                <w:noProof/>
                <w:sz w:val="16"/>
                <w:lang w:eastAsia="bg-BG" w:bidi="bg-BG"/>
              </w:rPr>
              <w:t xml:space="preserve">Други административни разходи </w:t>
            </w:r>
          </w:p>
        </w:tc>
        <w:tc>
          <w:tcPr>
            <w:tcW w:w="725"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0,025</w:t>
            </w:r>
          </w:p>
        </w:tc>
        <w:tc>
          <w:tcPr>
            <w:tcW w:w="709"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0,015</w:t>
            </w:r>
          </w:p>
        </w:tc>
        <w:tc>
          <w:tcPr>
            <w:tcW w:w="708" w:type="dxa"/>
            <w:vAlign w:val="center"/>
          </w:tcPr>
          <w:p w:rsidR="005A6CB7" w:rsidRDefault="005A6CB7">
            <w:pPr>
              <w:spacing w:before="60" w:after="60" w:line="200" w:lineRule="exact"/>
              <w:jc w:val="right"/>
              <w:rPr>
                <w:noProof/>
                <w:sz w:val="20"/>
                <w:szCs w:val="20"/>
                <w:lang w:eastAsia="bg-BG" w:bidi="bg-BG"/>
              </w:rPr>
            </w:pPr>
          </w:p>
        </w:tc>
        <w:tc>
          <w:tcPr>
            <w:tcW w:w="709" w:type="dxa"/>
          </w:tcPr>
          <w:p w:rsidR="005A6CB7" w:rsidRDefault="005A6CB7">
            <w:pPr>
              <w:spacing w:before="60" w:after="60" w:line="200" w:lineRule="exact"/>
              <w:jc w:val="right"/>
              <w:rPr>
                <w:noProof/>
                <w:sz w:val="20"/>
                <w:szCs w:val="20"/>
                <w:lang w:eastAsia="bg-BG" w:bidi="bg-BG"/>
              </w:rPr>
            </w:pPr>
          </w:p>
        </w:tc>
        <w:tc>
          <w:tcPr>
            <w:tcW w:w="664" w:type="dxa"/>
            <w:vAlign w:val="center"/>
          </w:tcPr>
          <w:p w:rsidR="005A6CB7" w:rsidRDefault="005A6CB7">
            <w:pPr>
              <w:spacing w:before="60" w:after="60" w:line="200" w:lineRule="exact"/>
              <w:jc w:val="right"/>
              <w:rPr>
                <w:noProof/>
                <w:sz w:val="20"/>
                <w:szCs w:val="20"/>
                <w:lang w:eastAsia="bg-BG" w:bidi="bg-BG"/>
              </w:rPr>
            </w:pPr>
          </w:p>
        </w:tc>
        <w:tc>
          <w:tcPr>
            <w:tcW w:w="709" w:type="dxa"/>
            <w:vAlign w:val="center"/>
          </w:tcPr>
          <w:p w:rsidR="005A6CB7" w:rsidRDefault="005A6CB7">
            <w:pPr>
              <w:spacing w:before="60" w:after="60" w:line="200" w:lineRule="exact"/>
              <w:jc w:val="right"/>
              <w:rPr>
                <w:noProof/>
                <w:sz w:val="20"/>
                <w:szCs w:val="20"/>
                <w:lang w:eastAsia="bg-BG" w:bidi="bg-BG"/>
              </w:rPr>
            </w:pPr>
          </w:p>
        </w:tc>
        <w:tc>
          <w:tcPr>
            <w:tcW w:w="708" w:type="dxa"/>
            <w:vAlign w:val="center"/>
          </w:tcPr>
          <w:p w:rsidR="005A6CB7" w:rsidRDefault="005A6CB7">
            <w:pPr>
              <w:spacing w:before="60" w:after="60" w:line="200" w:lineRule="exact"/>
              <w:jc w:val="right"/>
              <w:rPr>
                <w:b/>
                <w:noProof/>
                <w:sz w:val="20"/>
                <w:szCs w:val="20"/>
                <w:lang w:eastAsia="bg-BG" w:bidi="bg-BG"/>
              </w:rPr>
            </w:pPr>
          </w:p>
        </w:tc>
        <w:tc>
          <w:tcPr>
            <w:tcW w:w="1037" w:type="dxa"/>
            <w:vAlign w:val="center"/>
          </w:tcPr>
          <w:p w:rsidR="005A6CB7" w:rsidRDefault="00C93832">
            <w:pPr>
              <w:spacing w:before="60" w:after="60" w:line="200" w:lineRule="exact"/>
              <w:jc w:val="right"/>
              <w:rPr>
                <w:b/>
                <w:noProof/>
                <w:sz w:val="20"/>
                <w:szCs w:val="20"/>
                <w:lang w:eastAsia="bg-BG" w:bidi="bg-BG"/>
              </w:rPr>
            </w:pPr>
            <w:r>
              <w:rPr>
                <w:b/>
                <w:noProof/>
                <w:sz w:val="20"/>
                <w:lang w:eastAsia="bg-BG" w:bidi="bg-BG"/>
              </w:rPr>
              <w:t>0,040</w:t>
            </w: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5A6CB7" w:rsidRDefault="00C93832">
            <w:pPr>
              <w:spacing w:before="60" w:after="60" w:line="200" w:lineRule="exact"/>
              <w:jc w:val="center"/>
              <w:rPr>
                <w:noProof/>
                <w:lang w:eastAsia="bg-BG" w:bidi="bg-BG"/>
              </w:rPr>
            </w:pPr>
            <w:r>
              <w:rPr>
                <w:b/>
                <w:noProof/>
                <w:sz w:val="16"/>
                <w:lang w:eastAsia="bg-BG" w:bidi="bg-BG"/>
              </w:rPr>
              <w:t>Междинна сума по ФУНКЦИЯ 5</w:t>
            </w:r>
            <w:r>
              <w:rPr>
                <w:b/>
                <w:noProof/>
                <w:sz w:val="16"/>
                <w:lang w:eastAsia="bg-BG" w:bidi="bg-BG"/>
              </w:rPr>
              <w:br/>
            </w:r>
            <w:r>
              <w:rPr>
                <w:b/>
                <w:noProof/>
                <w:sz w:val="16"/>
                <w:lang w:eastAsia="bg-BG" w:bidi="bg-BG"/>
              </w:rPr>
              <w:t xml:space="preserve">от многогодишната финансова рамка </w:t>
            </w:r>
          </w:p>
        </w:tc>
        <w:tc>
          <w:tcPr>
            <w:tcW w:w="725"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0,064</w:t>
            </w:r>
          </w:p>
        </w:tc>
        <w:tc>
          <w:tcPr>
            <w:tcW w:w="709"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0,044</w:t>
            </w:r>
          </w:p>
        </w:tc>
        <w:tc>
          <w:tcPr>
            <w:tcW w:w="708"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0,021</w:t>
            </w:r>
          </w:p>
        </w:tc>
        <w:tc>
          <w:tcPr>
            <w:tcW w:w="709" w:type="dxa"/>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0,016</w:t>
            </w:r>
          </w:p>
        </w:tc>
        <w:tc>
          <w:tcPr>
            <w:tcW w:w="664" w:type="dxa"/>
            <w:vAlign w:val="center"/>
          </w:tcPr>
          <w:p w:rsidR="005A6CB7" w:rsidRDefault="005A6CB7">
            <w:pPr>
              <w:spacing w:before="60" w:after="60" w:line="200" w:lineRule="exact"/>
              <w:jc w:val="right"/>
              <w:rPr>
                <w:noProof/>
                <w:sz w:val="20"/>
                <w:szCs w:val="20"/>
                <w:lang w:eastAsia="bg-BG" w:bidi="bg-BG"/>
              </w:rPr>
            </w:pPr>
          </w:p>
        </w:tc>
        <w:tc>
          <w:tcPr>
            <w:tcW w:w="709" w:type="dxa"/>
            <w:vAlign w:val="center"/>
          </w:tcPr>
          <w:p w:rsidR="005A6CB7" w:rsidRDefault="005A6CB7">
            <w:pPr>
              <w:spacing w:before="60" w:after="60" w:line="200" w:lineRule="exact"/>
              <w:jc w:val="right"/>
              <w:rPr>
                <w:noProof/>
                <w:sz w:val="20"/>
                <w:szCs w:val="20"/>
                <w:lang w:eastAsia="bg-BG" w:bidi="bg-BG"/>
              </w:rPr>
            </w:pPr>
          </w:p>
        </w:tc>
        <w:tc>
          <w:tcPr>
            <w:tcW w:w="708" w:type="dxa"/>
            <w:vAlign w:val="center"/>
          </w:tcPr>
          <w:p w:rsidR="005A6CB7" w:rsidRDefault="005A6CB7">
            <w:pPr>
              <w:spacing w:before="60" w:after="60" w:line="200" w:lineRule="exact"/>
              <w:jc w:val="right"/>
              <w:rPr>
                <w:b/>
                <w:noProof/>
                <w:sz w:val="20"/>
                <w:szCs w:val="20"/>
                <w:lang w:eastAsia="bg-BG" w:bidi="bg-BG"/>
              </w:rPr>
            </w:pPr>
          </w:p>
        </w:tc>
        <w:tc>
          <w:tcPr>
            <w:tcW w:w="1037" w:type="dxa"/>
            <w:vAlign w:val="center"/>
          </w:tcPr>
          <w:p w:rsidR="005A6CB7" w:rsidRDefault="00C93832">
            <w:pPr>
              <w:spacing w:before="60" w:after="60" w:line="200" w:lineRule="exact"/>
              <w:jc w:val="right"/>
              <w:rPr>
                <w:b/>
                <w:noProof/>
                <w:sz w:val="20"/>
                <w:szCs w:val="20"/>
                <w:lang w:eastAsia="bg-BG" w:bidi="bg-BG"/>
              </w:rPr>
            </w:pPr>
            <w:r>
              <w:rPr>
                <w:b/>
                <w:noProof/>
                <w:sz w:val="20"/>
                <w:lang w:eastAsia="bg-BG" w:bidi="bg-BG"/>
              </w:rPr>
              <w:t>0,145</w:t>
            </w: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5A6CB7" w:rsidRDefault="00C93832">
            <w:pPr>
              <w:spacing w:before="60" w:after="60" w:line="200" w:lineRule="exact"/>
              <w:jc w:val="center"/>
              <w:rPr>
                <w:noProof/>
                <w:lang w:eastAsia="bg-BG" w:bidi="bg-BG"/>
              </w:rPr>
            </w:pPr>
            <w:r>
              <w:rPr>
                <w:b/>
                <w:noProof/>
                <w:sz w:val="16"/>
                <w:lang w:eastAsia="bg-BG" w:bidi="bg-BG"/>
              </w:rPr>
              <w:t>Извън ФУНКЦИЯ 5</w:t>
            </w:r>
            <w:r>
              <w:rPr>
                <w:rStyle w:val="FootnoteReference"/>
                <w:noProof/>
              </w:rPr>
              <w:footnoteReference w:id="22"/>
            </w:r>
            <w:r>
              <w:rPr>
                <w:b/>
                <w:noProof/>
                <w:sz w:val="16"/>
                <w:lang w:eastAsia="bg-BG" w:bidi="bg-BG"/>
              </w:rPr>
              <w:t xml:space="preserve"> от многогодишната финансова рамка </w:t>
            </w:r>
          </w:p>
          <w:p w:rsidR="005A6CB7" w:rsidRDefault="005A6CB7">
            <w:pPr>
              <w:spacing w:line="200" w:lineRule="exact"/>
              <w:jc w:val="center"/>
              <w:rPr>
                <w:b/>
                <w:noProof/>
                <w:sz w:val="16"/>
                <w:lang w:eastAsia="bg-BG" w:bidi="bg-BG"/>
              </w:rPr>
            </w:pPr>
          </w:p>
        </w:tc>
        <w:tc>
          <w:tcPr>
            <w:tcW w:w="725"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noProof/>
                <w:sz w:val="16"/>
                <w:lang w:eastAsia="bg-BG" w:bidi="bg-BG"/>
              </w:rPr>
            </w:pPr>
          </w:p>
        </w:tc>
        <w:tc>
          <w:tcPr>
            <w:tcW w:w="709" w:type="dxa"/>
          </w:tcPr>
          <w:p w:rsidR="005A6CB7" w:rsidRDefault="005A6CB7">
            <w:pPr>
              <w:spacing w:before="60" w:after="60" w:line="200" w:lineRule="exact"/>
              <w:jc w:val="right"/>
              <w:rPr>
                <w:noProof/>
                <w:sz w:val="16"/>
                <w:lang w:eastAsia="bg-BG" w:bidi="bg-BG"/>
              </w:rPr>
            </w:pPr>
          </w:p>
        </w:tc>
        <w:tc>
          <w:tcPr>
            <w:tcW w:w="664"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b/>
                <w:noProof/>
                <w:sz w:val="16"/>
                <w:lang w:eastAsia="bg-BG" w:bidi="bg-BG"/>
              </w:rPr>
            </w:pPr>
          </w:p>
        </w:tc>
        <w:tc>
          <w:tcPr>
            <w:tcW w:w="1037" w:type="dxa"/>
            <w:vAlign w:val="center"/>
          </w:tcPr>
          <w:p w:rsidR="005A6CB7" w:rsidRDefault="005A6CB7">
            <w:pPr>
              <w:spacing w:before="60" w:after="60" w:line="200" w:lineRule="exact"/>
              <w:jc w:val="right"/>
              <w:rPr>
                <w:b/>
                <w:noProof/>
                <w:sz w:val="16"/>
                <w:lang w:eastAsia="bg-BG" w:bidi="bg-BG"/>
              </w:rPr>
            </w:pP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5A6CB7" w:rsidRDefault="00C93832">
            <w:pPr>
              <w:spacing w:before="60" w:after="60" w:line="200" w:lineRule="exact"/>
              <w:ind w:left="72"/>
              <w:rPr>
                <w:noProof/>
                <w:lang w:eastAsia="bg-BG" w:bidi="bg-BG"/>
              </w:rPr>
            </w:pPr>
            <w:r>
              <w:rPr>
                <w:noProof/>
                <w:sz w:val="16"/>
                <w:lang w:eastAsia="bg-BG" w:bidi="bg-BG"/>
              </w:rPr>
              <w:t xml:space="preserve">Човешки ресурси </w:t>
            </w:r>
          </w:p>
        </w:tc>
        <w:tc>
          <w:tcPr>
            <w:tcW w:w="725"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noProof/>
                <w:sz w:val="16"/>
                <w:lang w:eastAsia="bg-BG" w:bidi="bg-BG"/>
              </w:rPr>
            </w:pPr>
          </w:p>
        </w:tc>
        <w:tc>
          <w:tcPr>
            <w:tcW w:w="709" w:type="dxa"/>
          </w:tcPr>
          <w:p w:rsidR="005A6CB7" w:rsidRDefault="005A6CB7">
            <w:pPr>
              <w:spacing w:before="60" w:after="60" w:line="200" w:lineRule="exact"/>
              <w:jc w:val="right"/>
              <w:rPr>
                <w:noProof/>
                <w:sz w:val="16"/>
                <w:lang w:eastAsia="bg-BG" w:bidi="bg-BG"/>
              </w:rPr>
            </w:pPr>
          </w:p>
        </w:tc>
        <w:tc>
          <w:tcPr>
            <w:tcW w:w="664"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b/>
                <w:noProof/>
                <w:sz w:val="16"/>
                <w:lang w:eastAsia="bg-BG" w:bidi="bg-BG"/>
              </w:rPr>
            </w:pPr>
          </w:p>
        </w:tc>
        <w:tc>
          <w:tcPr>
            <w:tcW w:w="1037" w:type="dxa"/>
            <w:vAlign w:val="center"/>
          </w:tcPr>
          <w:p w:rsidR="005A6CB7" w:rsidRDefault="005A6CB7">
            <w:pPr>
              <w:spacing w:before="60" w:after="60" w:line="200" w:lineRule="exact"/>
              <w:jc w:val="right"/>
              <w:rPr>
                <w:b/>
                <w:noProof/>
                <w:sz w:val="16"/>
                <w:lang w:eastAsia="bg-BG" w:bidi="bg-BG"/>
              </w:rPr>
            </w:pP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5A6CB7" w:rsidRDefault="00C93832">
            <w:pPr>
              <w:spacing w:before="60" w:after="60" w:line="200" w:lineRule="exact"/>
              <w:ind w:left="72"/>
              <w:rPr>
                <w:noProof/>
                <w:lang w:eastAsia="bg-BG" w:bidi="bg-BG"/>
              </w:rPr>
            </w:pPr>
            <w:r>
              <w:rPr>
                <w:noProof/>
                <w:sz w:val="16"/>
                <w:lang w:eastAsia="bg-BG" w:bidi="bg-BG"/>
              </w:rPr>
              <w:t xml:space="preserve">Човешки ресурси </w:t>
            </w:r>
            <w:r>
              <w:rPr>
                <w:noProof/>
                <w:sz w:val="16"/>
                <w:lang w:eastAsia="bg-BG" w:bidi="bg-BG"/>
              </w:rPr>
              <w:br/>
              <w:t>от административен характер</w:t>
            </w:r>
          </w:p>
        </w:tc>
        <w:tc>
          <w:tcPr>
            <w:tcW w:w="725"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noProof/>
                <w:sz w:val="16"/>
                <w:lang w:eastAsia="bg-BG" w:bidi="bg-BG"/>
              </w:rPr>
            </w:pPr>
          </w:p>
        </w:tc>
        <w:tc>
          <w:tcPr>
            <w:tcW w:w="709" w:type="dxa"/>
          </w:tcPr>
          <w:p w:rsidR="005A6CB7" w:rsidRDefault="005A6CB7">
            <w:pPr>
              <w:spacing w:before="60" w:after="60" w:line="200" w:lineRule="exact"/>
              <w:jc w:val="right"/>
              <w:rPr>
                <w:noProof/>
                <w:sz w:val="16"/>
                <w:lang w:eastAsia="bg-BG" w:bidi="bg-BG"/>
              </w:rPr>
            </w:pPr>
          </w:p>
        </w:tc>
        <w:tc>
          <w:tcPr>
            <w:tcW w:w="664"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b/>
                <w:noProof/>
                <w:sz w:val="16"/>
                <w:lang w:eastAsia="bg-BG" w:bidi="bg-BG"/>
              </w:rPr>
            </w:pPr>
          </w:p>
        </w:tc>
        <w:tc>
          <w:tcPr>
            <w:tcW w:w="1037" w:type="dxa"/>
            <w:vAlign w:val="center"/>
          </w:tcPr>
          <w:p w:rsidR="005A6CB7" w:rsidRDefault="005A6CB7">
            <w:pPr>
              <w:spacing w:before="60" w:after="60" w:line="200" w:lineRule="exact"/>
              <w:jc w:val="right"/>
              <w:rPr>
                <w:b/>
                <w:noProof/>
                <w:sz w:val="16"/>
                <w:lang w:eastAsia="bg-BG" w:bidi="bg-BG"/>
              </w:rPr>
            </w:pPr>
          </w:p>
        </w:tc>
      </w:tr>
      <w:tr w:rsidR="005A6C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5A6CB7" w:rsidRDefault="00C93832">
            <w:pPr>
              <w:spacing w:before="60" w:after="60" w:line="200" w:lineRule="exact"/>
              <w:jc w:val="center"/>
              <w:rPr>
                <w:noProof/>
                <w:lang w:eastAsia="bg-BG" w:bidi="bg-BG"/>
              </w:rPr>
            </w:pPr>
            <w:r>
              <w:rPr>
                <w:b/>
                <w:noProof/>
                <w:sz w:val="16"/>
                <w:lang w:eastAsia="bg-BG" w:bidi="bg-BG"/>
              </w:rPr>
              <w:t xml:space="preserve">Междинна сума </w:t>
            </w:r>
            <w:r>
              <w:rPr>
                <w:b/>
                <w:noProof/>
                <w:sz w:val="16"/>
                <w:lang w:eastAsia="bg-BG" w:bidi="bg-BG"/>
              </w:rPr>
              <w:br/>
              <w:t>извън ФУНКЦИЯ 5</w:t>
            </w:r>
            <w:r>
              <w:rPr>
                <w:b/>
                <w:noProof/>
                <w:sz w:val="16"/>
                <w:lang w:eastAsia="bg-BG" w:bidi="bg-BG"/>
              </w:rPr>
              <w:br/>
            </w:r>
            <w:r>
              <w:rPr>
                <w:b/>
                <w:noProof/>
                <w:sz w:val="16"/>
                <w:lang w:eastAsia="bg-BG" w:bidi="bg-BG"/>
              </w:rPr>
              <w:t xml:space="preserve">от многогодишната финансова рамка </w:t>
            </w:r>
          </w:p>
        </w:tc>
        <w:tc>
          <w:tcPr>
            <w:tcW w:w="725"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noProof/>
                <w:sz w:val="16"/>
                <w:lang w:eastAsia="bg-BG" w:bidi="bg-BG"/>
              </w:rPr>
            </w:pPr>
          </w:p>
        </w:tc>
        <w:tc>
          <w:tcPr>
            <w:tcW w:w="709" w:type="dxa"/>
          </w:tcPr>
          <w:p w:rsidR="005A6CB7" w:rsidRDefault="005A6CB7">
            <w:pPr>
              <w:spacing w:before="60" w:after="60" w:line="200" w:lineRule="exact"/>
              <w:jc w:val="right"/>
              <w:rPr>
                <w:noProof/>
                <w:sz w:val="16"/>
                <w:lang w:eastAsia="bg-BG" w:bidi="bg-BG"/>
              </w:rPr>
            </w:pPr>
          </w:p>
        </w:tc>
        <w:tc>
          <w:tcPr>
            <w:tcW w:w="664" w:type="dxa"/>
            <w:vAlign w:val="center"/>
          </w:tcPr>
          <w:p w:rsidR="005A6CB7" w:rsidRDefault="005A6CB7">
            <w:pPr>
              <w:spacing w:before="60" w:after="60" w:line="200" w:lineRule="exact"/>
              <w:jc w:val="right"/>
              <w:rPr>
                <w:noProof/>
                <w:sz w:val="16"/>
                <w:lang w:eastAsia="bg-BG" w:bidi="bg-BG"/>
              </w:rPr>
            </w:pPr>
          </w:p>
        </w:tc>
        <w:tc>
          <w:tcPr>
            <w:tcW w:w="709" w:type="dxa"/>
            <w:vAlign w:val="center"/>
          </w:tcPr>
          <w:p w:rsidR="005A6CB7" w:rsidRDefault="005A6CB7">
            <w:pPr>
              <w:spacing w:before="60" w:after="60" w:line="200" w:lineRule="exact"/>
              <w:jc w:val="right"/>
              <w:rPr>
                <w:noProof/>
                <w:sz w:val="16"/>
                <w:lang w:eastAsia="bg-BG" w:bidi="bg-BG"/>
              </w:rPr>
            </w:pPr>
          </w:p>
        </w:tc>
        <w:tc>
          <w:tcPr>
            <w:tcW w:w="708" w:type="dxa"/>
            <w:vAlign w:val="center"/>
          </w:tcPr>
          <w:p w:rsidR="005A6CB7" w:rsidRDefault="005A6CB7">
            <w:pPr>
              <w:spacing w:before="60" w:after="60" w:line="200" w:lineRule="exact"/>
              <w:jc w:val="right"/>
              <w:rPr>
                <w:b/>
                <w:noProof/>
                <w:sz w:val="16"/>
                <w:lang w:eastAsia="bg-BG" w:bidi="bg-BG"/>
              </w:rPr>
            </w:pPr>
          </w:p>
        </w:tc>
        <w:tc>
          <w:tcPr>
            <w:tcW w:w="1037" w:type="dxa"/>
            <w:vAlign w:val="center"/>
          </w:tcPr>
          <w:p w:rsidR="005A6CB7" w:rsidRDefault="005A6CB7">
            <w:pPr>
              <w:spacing w:before="60" w:after="60" w:line="200" w:lineRule="exact"/>
              <w:jc w:val="right"/>
              <w:rPr>
                <w:b/>
                <w:noProof/>
                <w:sz w:val="16"/>
                <w:lang w:eastAsia="bg-BG" w:bidi="bg-BG"/>
              </w:rPr>
            </w:pPr>
          </w:p>
        </w:tc>
      </w:tr>
    </w:tbl>
    <w:p w:rsidR="005A6CB7" w:rsidRDefault="005A6CB7">
      <w:pPr>
        <w:spacing w:line="200" w:lineRule="exact"/>
        <w:rPr>
          <w:noProof/>
          <w:sz w:val="4"/>
          <w:szCs w:val="4"/>
          <w:lang w:eastAsia="bg-BG" w:bidi="bg-BG"/>
        </w:rPr>
      </w:pP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rsidR="005A6CB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A6CB7" w:rsidRDefault="00C93832">
            <w:pPr>
              <w:spacing w:before="60" w:after="60" w:line="200" w:lineRule="exact"/>
              <w:jc w:val="center"/>
              <w:rPr>
                <w:noProof/>
                <w:sz w:val="16"/>
                <w:lang w:eastAsia="bg-BG" w:bidi="bg-BG"/>
              </w:rPr>
            </w:pPr>
            <w:r>
              <w:rPr>
                <w:b/>
                <w:noProof/>
                <w:sz w:val="16"/>
                <w:lang w:eastAsia="bg-BG" w:bidi="bg-BG"/>
              </w:rPr>
              <w:t>ОБЩО</w:t>
            </w:r>
          </w:p>
        </w:tc>
        <w:tc>
          <w:tcPr>
            <w:tcW w:w="725" w:type="dxa"/>
            <w:tcBorders>
              <w:top w:val="single" w:sz="12" w:space="0" w:color="auto"/>
              <w:left w:val="single" w:sz="2" w:space="0" w:color="auto"/>
              <w:bottom w:val="single" w:sz="12" w:space="0" w:color="auto"/>
              <w:right w:val="single" w:sz="2" w:space="0" w:color="auto"/>
            </w:tcBorders>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0,065</w:t>
            </w:r>
          </w:p>
        </w:tc>
        <w:tc>
          <w:tcPr>
            <w:tcW w:w="709" w:type="dxa"/>
            <w:tcBorders>
              <w:top w:val="single" w:sz="12" w:space="0" w:color="auto"/>
              <w:left w:val="single" w:sz="2" w:space="0" w:color="auto"/>
              <w:bottom w:val="single" w:sz="12" w:space="0" w:color="auto"/>
              <w:right w:val="single" w:sz="2" w:space="0" w:color="auto"/>
            </w:tcBorders>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0,044</w:t>
            </w:r>
          </w:p>
        </w:tc>
        <w:tc>
          <w:tcPr>
            <w:tcW w:w="708" w:type="dxa"/>
            <w:tcBorders>
              <w:top w:val="single" w:sz="12" w:space="0" w:color="auto"/>
              <w:left w:val="single" w:sz="2" w:space="0" w:color="auto"/>
              <w:bottom w:val="single" w:sz="12" w:space="0" w:color="auto"/>
              <w:right w:val="single" w:sz="2" w:space="0" w:color="auto"/>
            </w:tcBorders>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0,021</w:t>
            </w:r>
          </w:p>
        </w:tc>
        <w:tc>
          <w:tcPr>
            <w:tcW w:w="709" w:type="dxa"/>
            <w:tcBorders>
              <w:top w:val="single" w:sz="12" w:space="0" w:color="auto"/>
              <w:left w:val="single" w:sz="2" w:space="0" w:color="auto"/>
              <w:bottom w:val="single" w:sz="12" w:space="0" w:color="auto"/>
              <w:right w:val="single" w:sz="2" w:space="0" w:color="auto"/>
            </w:tcBorders>
            <w:vAlign w:val="center"/>
          </w:tcPr>
          <w:p w:rsidR="005A6CB7" w:rsidRDefault="00C93832">
            <w:pPr>
              <w:spacing w:before="60" w:after="60" w:line="200" w:lineRule="exact"/>
              <w:jc w:val="right"/>
              <w:rPr>
                <w:noProof/>
                <w:sz w:val="20"/>
                <w:szCs w:val="20"/>
                <w:lang w:eastAsia="bg-BG" w:bidi="bg-BG"/>
              </w:rPr>
            </w:pPr>
            <w:r>
              <w:rPr>
                <w:noProof/>
                <w:sz w:val="20"/>
                <w:lang w:eastAsia="bg-BG" w:bidi="bg-BG"/>
              </w:rPr>
              <w:t>0,016</w:t>
            </w:r>
          </w:p>
        </w:tc>
        <w:tc>
          <w:tcPr>
            <w:tcW w:w="664" w:type="dxa"/>
            <w:tcBorders>
              <w:top w:val="single" w:sz="12" w:space="0" w:color="auto"/>
              <w:left w:val="single" w:sz="2" w:space="0" w:color="auto"/>
              <w:bottom w:val="single" w:sz="12" w:space="0" w:color="auto"/>
              <w:right w:val="single" w:sz="2" w:space="0" w:color="auto"/>
            </w:tcBorders>
          </w:tcPr>
          <w:p w:rsidR="005A6CB7" w:rsidRDefault="005A6CB7">
            <w:pPr>
              <w:spacing w:before="60" w:after="60" w:line="200" w:lineRule="exact"/>
              <w:jc w:val="right"/>
              <w:rPr>
                <w:noProof/>
                <w:sz w:val="20"/>
                <w:szCs w:val="20"/>
                <w:lang w:eastAsia="bg-BG" w:bidi="bg-BG"/>
              </w:rPr>
            </w:pPr>
          </w:p>
        </w:tc>
        <w:tc>
          <w:tcPr>
            <w:tcW w:w="709" w:type="dxa"/>
            <w:tcBorders>
              <w:top w:val="single" w:sz="12" w:space="0" w:color="auto"/>
              <w:left w:val="single" w:sz="2" w:space="0" w:color="auto"/>
              <w:bottom w:val="single" w:sz="12" w:space="0" w:color="auto"/>
              <w:right w:val="single" w:sz="2" w:space="0" w:color="auto"/>
            </w:tcBorders>
            <w:vAlign w:val="center"/>
          </w:tcPr>
          <w:p w:rsidR="005A6CB7" w:rsidRDefault="005A6CB7">
            <w:pPr>
              <w:spacing w:before="60" w:after="60" w:line="200" w:lineRule="exact"/>
              <w:jc w:val="right"/>
              <w:rPr>
                <w:noProof/>
                <w:sz w:val="20"/>
                <w:szCs w:val="20"/>
                <w:lang w:eastAsia="bg-BG" w:bidi="bg-BG"/>
              </w:rPr>
            </w:pPr>
          </w:p>
        </w:tc>
        <w:tc>
          <w:tcPr>
            <w:tcW w:w="708" w:type="dxa"/>
            <w:tcBorders>
              <w:top w:val="single" w:sz="12" w:space="0" w:color="auto"/>
              <w:left w:val="single" w:sz="2" w:space="0" w:color="auto"/>
              <w:bottom w:val="single" w:sz="12" w:space="0" w:color="auto"/>
              <w:right w:val="single" w:sz="2" w:space="0" w:color="auto"/>
            </w:tcBorders>
            <w:vAlign w:val="center"/>
          </w:tcPr>
          <w:p w:rsidR="005A6CB7" w:rsidRDefault="005A6CB7">
            <w:pPr>
              <w:spacing w:before="60" w:after="60" w:line="200" w:lineRule="exact"/>
              <w:jc w:val="right"/>
              <w:rPr>
                <w:b/>
                <w:noProof/>
                <w:sz w:val="20"/>
                <w:szCs w:val="20"/>
                <w:lang w:eastAsia="bg-BG" w:bidi="bg-BG"/>
              </w:rPr>
            </w:pPr>
          </w:p>
        </w:tc>
        <w:tc>
          <w:tcPr>
            <w:tcW w:w="1037" w:type="dxa"/>
            <w:tcBorders>
              <w:top w:val="single" w:sz="12" w:space="0" w:color="auto"/>
              <w:left w:val="single" w:sz="2" w:space="0" w:color="auto"/>
              <w:bottom w:val="single" w:sz="12" w:space="0" w:color="auto"/>
              <w:right w:val="single" w:sz="12" w:space="0" w:color="auto"/>
            </w:tcBorders>
            <w:vAlign w:val="center"/>
          </w:tcPr>
          <w:p w:rsidR="005A6CB7" w:rsidRDefault="00C93832">
            <w:pPr>
              <w:spacing w:before="60" w:after="60" w:line="200" w:lineRule="exact"/>
              <w:jc w:val="right"/>
              <w:rPr>
                <w:b/>
                <w:noProof/>
                <w:sz w:val="20"/>
                <w:szCs w:val="20"/>
                <w:lang w:eastAsia="bg-BG" w:bidi="bg-BG"/>
              </w:rPr>
            </w:pPr>
            <w:r>
              <w:rPr>
                <w:b/>
                <w:noProof/>
                <w:sz w:val="20"/>
                <w:lang w:eastAsia="bg-BG" w:bidi="bg-BG"/>
              </w:rPr>
              <w:t>0,145</w:t>
            </w:r>
          </w:p>
        </w:tc>
      </w:tr>
    </w:tbl>
    <w:p w:rsidR="005A6CB7" w:rsidRDefault="00C93832">
      <w:pPr>
        <w:rPr>
          <w:noProof/>
          <w:u w:val="single"/>
          <w:lang w:eastAsia="bg-BG" w:bidi="bg-BG"/>
        </w:rPr>
        <w:sectPr w:rsidR="005A6CB7">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lang w:eastAsia="bg-BG" w:bidi="bg-BG"/>
        </w:rPr>
        <w:t>Необходимите бюджетни кредити за административни разходи ще бъдат</w:t>
      </w:r>
      <w:r>
        <w:rPr>
          <w:noProof/>
          <w:sz w:val="18"/>
          <w:lang w:eastAsia="bg-BG" w:bidi="bg-BG"/>
        </w:rPr>
        <w:t xml:space="preserve"> покрити чрез бюджетните кредити на ГД, които вече са предвидени за управлението на дейността и/или които са преразпределени в рамките на ГД, при необходимост заедно с всички допълнителни отпуснати ресурси, които могат да бъдат предоставени на управляващат</w:t>
      </w:r>
      <w:r>
        <w:rPr>
          <w:noProof/>
          <w:sz w:val="18"/>
          <w:lang w:eastAsia="bg-BG" w:bidi="bg-BG"/>
        </w:rPr>
        <w:t>а ГД в рамките на годишната процедура за отпускане на средства, и като се имат предвид бюджетните ограничения.</w:t>
      </w:r>
    </w:p>
    <w:p w:rsidR="005A6CB7" w:rsidRDefault="00C93832">
      <w:pPr>
        <w:pStyle w:val="ManualHeading4"/>
        <w:spacing w:before="60" w:after="60"/>
        <w:ind w:left="851" w:hanging="851"/>
        <w:rPr>
          <w:noProof/>
          <w:lang w:eastAsia="bg-BG" w:bidi="bg-BG"/>
        </w:rPr>
      </w:pPr>
      <w:r>
        <w:rPr>
          <w:noProof/>
          <w:lang w:eastAsia="bg-BG" w:bidi="bg-BG"/>
        </w:rPr>
        <w:t>3.2.3.2.</w:t>
      </w:r>
      <w:r>
        <w:rPr>
          <w:noProof/>
          <w:lang w:eastAsia="bg-BG" w:bidi="bg-BG"/>
        </w:rPr>
        <w:tab/>
        <w:t xml:space="preserve"> Очаквани нужди от човешки ресурси </w:t>
      </w:r>
    </w:p>
    <w:p w:rsidR="005A6CB7" w:rsidRDefault="00C93832">
      <w:pPr>
        <w:pStyle w:val="ListDash1"/>
        <w:spacing w:before="60" w:after="60"/>
        <w:ind w:left="1135" w:hanging="284"/>
        <w:rPr>
          <w:noProof/>
          <w:lang w:val="bg-BG"/>
        </w:rPr>
      </w:pPr>
      <w:r>
        <w:rPr>
          <w:noProof/>
        </w:rPr>
        <w:sym w:font="Wingdings" w:char="F0A8"/>
      </w:r>
      <w:r>
        <w:rPr>
          <w:noProof/>
          <w:lang w:val="bg-BG"/>
        </w:rPr>
        <w:tab/>
        <w:t xml:space="preserve">Предложението/инициативата не налага използване на човешки ресурси. </w:t>
      </w:r>
    </w:p>
    <w:p w:rsidR="005A6CB7" w:rsidRDefault="00C93832">
      <w:pPr>
        <w:pStyle w:val="ListDash1"/>
        <w:spacing w:before="0" w:after="0"/>
        <w:ind w:left="1135" w:hanging="284"/>
        <w:rPr>
          <w:noProof/>
          <w:lang w:val="bg-BG"/>
        </w:rPr>
      </w:pPr>
      <w:r>
        <w:rPr>
          <w:noProof/>
        </w:rPr>
        <w:t>X</w:t>
      </w:r>
      <w:r>
        <w:rPr>
          <w:noProof/>
          <w:lang w:val="bg-BG"/>
        </w:rPr>
        <w:t xml:space="preserve"> Предложението/инициативата налага използването на човешки ресурси съгласно обяснението по-долу:</w:t>
      </w:r>
    </w:p>
    <w:p w:rsidR="005A6CB7" w:rsidRDefault="00C93832">
      <w:pPr>
        <w:spacing w:before="0" w:after="60"/>
        <w:jc w:val="right"/>
        <w:rPr>
          <w:i/>
          <w:noProof/>
          <w:sz w:val="20"/>
          <w:lang w:eastAsia="bg-BG" w:bidi="bg-BG"/>
        </w:rPr>
      </w:pPr>
      <w:r>
        <w:rPr>
          <w:i/>
          <w:noProof/>
          <w:sz w:val="20"/>
          <w:lang w:eastAsia="bg-BG" w:bidi="bg-BG"/>
        </w:rPr>
        <w:t>Оценката се посочва в еквиваленти на пълно работно време</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8"/>
        <w:gridCol w:w="1739"/>
        <w:gridCol w:w="989"/>
        <w:gridCol w:w="989"/>
        <w:gridCol w:w="991"/>
        <w:gridCol w:w="504"/>
        <w:gridCol w:w="487"/>
        <w:gridCol w:w="853"/>
        <w:gridCol w:w="853"/>
        <w:gridCol w:w="853"/>
      </w:tblGrid>
      <w:tr w:rsidR="005A6CB7">
        <w:trPr>
          <w:trHeight w:val="207"/>
          <w:jc w:val="center"/>
        </w:trPr>
        <w:tc>
          <w:tcPr>
            <w:tcW w:w="1652" w:type="pct"/>
            <w:gridSpan w:val="2"/>
          </w:tcPr>
          <w:p w:rsidR="005A6CB7" w:rsidRDefault="005A6CB7">
            <w:pPr>
              <w:spacing w:before="40" w:after="40"/>
              <w:jc w:val="center"/>
              <w:rPr>
                <w:i/>
                <w:noProof/>
                <w:sz w:val="16"/>
                <w:lang w:eastAsia="bg-BG" w:bidi="bg-BG"/>
              </w:rPr>
            </w:pPr>
          </w:p>
        </w:tc>
        <w:tc>
          <w:tcPr>
            <w:tcW w:w="508" w:type="pct"/>
            <w:vAlign w:val="center"/>
          </w:tcPr>
          <w:p w:rsidR="005A6CB7" w:rsidRDefault="00C93832">
            <w:pPr>
              <w:spacing w:before="20" w:after="20"/>
              <w:jc w:val="center"/>
              <w:rPr>
                <w:noProof/>
                <w:lang w:eastAsia="bg-BG" w:bidi="bg-BG"/>
              </w:rPr>
            </w:pPr>
            <w:r>
              <w:rPr>
                <w:noProof/>
                <w:sz w:val="16"/>
                <w:lang w:eastAsia="bg-BG" w:bidi="bg-BG"/>
              </w:rPr>
              <w:t>Година</w:t>
            </w:r>
            <w:r>
              <w:rPr>
                <w:noProof/>
                <w:sz w:val="16"/>
                <w:lang w:eastAsia="bg-BG" w:bidi="bg-BG"/>
              </w:rPr>
              <w:br/>
            </w:r>
            <w:r>
              <w:rPr>
                <w:b/>
                <w:noProof/>
                <w:sz w:val="16"/>
                <w:lang w:eastAsia="bg-BG" w:bidi="bg-BG"/>
              </w:rPr>
              <w:t>2016</w:t>
            </w:r>
          </w:p>
        </w:tc>
        <w:tc>
          <w:tcPr>
            <w:tcW w:w="508" w:type="pct"/>
            <w:vAlign w:val="center"/>
          </w:tcPr>
          <w:p w:rsidR="005A6CB7" w:rsidRDefault="00C93832">
            <w:pPr>
              <w:spacing w:before="20" w:after="20"/>
              <w:jc w:val="center"/>
              <w:rPr>
                <w:noProof/>
                <w:lang w:eastAsia="bg-BG" w:bidi="bg-BG"/>
              </w:rPr>
            </w:pPr>
            <w:r>
              <w:rPr>
                <w:noProof/>
                <w:sz w:val="16"/>
                <w:lang w:eastAsia="bg-BG" w:bidi="bg-BG"/>
              </w:rPr>
              <w:t>Година</w:t>
            </w:r>
            <w:r>
              <w:rPr>
                <w:noProof/>
                <w:sz w:val="16"/>
                <w:lang w:eastAsia="bg-BG" w:bidi="bg-BG"/>
              </w:rPr>
              <w:br/>
            </w:r>
            <w:r>
              <w:rPr>
                <w:b/>
                <w:noProof/>
                <w:sz w:val="16"/>
                <w:lang w:eastAsia="bg-BG" w:bidi="bg-BG"/>
              </w:rPr>
              <w:t>2017</w:t>
            </w:r>
          </w:p>
        </w:tc>
        <w:tc>
          <w:tcPr>
            <w:tcW w:w="509" w:type="pct"/>
            <w:vAlign w:val="center"/>
          </w:tcPr>
          <w:p w:rsidR="005A6CB7" w:rsidRDefault="00C93832">
            <w:pPr>
              <w:spacing w:before="20" w:after="20"/>
              <w:jc w:val="center"/>
              <w:rPr>
                <w:noProof/>
                <w:lang w:eastAsia="bg-BG" w:bidi="bg-BG"/>
              </w:rPr>
            </w:pPr>
            <w:r>
              <w:rPr>
                <w:noProof/>
                <w:sz w:val="16"/>
                <w:lang w:eastAsia="bg-BG" w:bidi="bg-BG"/>
              </w:rPr>
              <w:t>Година 2018</w:t>
            </w:r>
          </w:p>
        </w:tc>
        <w:tc>
          <w:tcPr>
            <w:tcW w:w="509" w:type="pct"/>
            <w:gridSpan w:val="2"/>
            <w:vAlign w:val="center"/>
          </w:tcPr>
          <w:p w:rsidR="005A6CB7" w:rsidRDefault="00C93832">
            <w:pPr>
              <w:spacing w:before="20" w:after="20"/>
              <w:jc w:val="center"/>
              <w:rPr>
                <w:noProof/>
                <w:sz w:val="16"/>
                <w:lang w:eastAsia="bg-BG" w:bidi="bg-BG"/>
              </w:rPr>
            </w:pPr>
            <w:r>
              <w:rPr>
                <w:noProof/>
                <w:sz w:val="16"/>
                <w:lang w:eastAsia="bg-BG" w:bidi="bg-BG"/>
              </w:rPr>
              <w:t>Година 2019</w:t>
            </w:r>
          </w:p>
        </w:tc>
        <w:tc>
          <w:tcPr>
            <w:tcW w:w="1314" w:type="pct"/>
            <w:gridSpan w:val="3"/>
            <w:vAlign w:val="center"/>
          </w:tcPr>
          <w:p w:rsidR="005A6CB7" w:rsidRDefault="00C93832">
            <w:pPr>
              <w:jc w:val="center"/>
              <w:rPr>
                <w:noProof/>
                <w:lang w:eastAsia="bg-BG" w:bidi="bg-BG"/>
              </w:rPr>
            </w:pPr>
            <w:r>
              <w:rPr>
                <w:noProof/>
                <w:sz w:val="16"/>
                <w:lang w:eastAsia="bg-BG" w:bidi="bg-BG"/>
              </w:rPr>
              <w:t>Да се добавят толкова години, колкото е необходимо, з</w:t>
            </w:r>
            <w:r>
              <w:rPr>
                <w:noProof/>
                <w:sz w:val="16"/>
                <w:lang w:eastAsia="bg-BG" w:bidi="bg-BG"/>
              </w:rPr>
              <w:t>а да се обхване продължителността на отражението (вж. точка 1.6)</w:t>
            </w:r>
          </w:p>
        </w:tc>
      </w:tr>
      <w:tr w:rsidR="005A6CB7">
        <w:trPr>
          <w:gridAfter w:val="4"/>
          <w:wAfter w:w="1564" w:type="pct"/>
          <w:trHeight w:val="178"/>
          <w:jc w:val="center"/>
        </w:trPr>
        <w:tc>
          <w:tcPr>
            <w:tcW w:w="3436" w:type="pct"/>
            <w:gridSpan w:val="6"/>
            <w:tcBorders>
              <w:right w:val="nil"/>
            </w:tcBorders>
            <w:vAlign w:val="center"/>
          </w:tcPr>
          <w:p w:rsidR="005A6CB7" w:rsidRDefault="00C93832">
            <w:pPr>
              <w:spacing w:before="60" w:after="60"/>
              <w:jc w:val="left"/>
              <w:rPr>
                <w:b/>
                <w:noProof/>
                <w:sz w:val="16"/>
                <w:szCs w:val="16"/>
                <w:lang w:eastAsia="bg-BG" w:bidi="bg-BG"/>
              </w:rPr>
            </w:pPr>
            <w:r>
              <w:rPr>
                <w:b/>
                <w:noProof/>
                <w:sz w:val="16"/>
                <w:szCs w:val="16"/>
                <w:lang w:eastAsia="bg-BG" w:bidi="bg-BG"/>
              </w:rPr>
              <w:sym w:font="Wingdings" w:char="F09F"/>
            </w:r>
            <w:r>
              <w:rPr>
                <w:b/>
                <w:noProof/>
                <w:sz w:val="16"/>
                <w:lang w:eastAsia="bg-BG" w:bidi="bg-BG"/>
              </w:rPr>
              <w:t xml:space="preserve"> Длъжности в щатното разписание (длъжностни лица и временно наети лица)</w:t>
            </w:r>
          </w:p>
        </w:tc>
      </w:tr>
      <w:tr w:rsidR="005A6CB7">
        <w:trPr>
          <w:trHeight w:val="207"/>
          <w:jc w:val="center"/>
        </w:trPr>
        <w:tc>
          <w:tcPr>
            <w:tcW w:w="1652" w:type="pct"/>
            <w:gridSpan w:val="2"/>
            <w:vAlign w:val="center"/>
          </w:tcPr>
          <w:p w:rsidR="005A6CB7" w:rsidRDefault="00C93832">
            <w:pPr>
              <w:spacing w:beforeLines="20" w:before="48" w:afterLines="20" w:after="48"/>
              <w:ind w:left="134"/>
              <w:jc w:val="left"/>
              <w:rPr>
                <w:noProof/>
                <w:lang w:eastAsia="bg-BG" w:bidi="bg-BG"/>
              </w:rPr>
            </w:pPr>
            <w:r>
              <w:rPr>
                <w:noProof/>
                <w:sz w:val="16"/>
                <w:lang w:eastAsia="bg-BG" w:bidi="bg-BG"/>
              </w:rPr>
              <w:t>01 01 01 01 (Централа и представителства на Комисията)</w:t>
            </w:r>
          </w:p>
        </w:tc>
        <w:tc>
          <w:tcPr>
            <w:tcW w:w="508" w:type="pct"/>
            <w:vAlign w:val="center"/>
          </w:tcPr>
          <w:p w:rsidR="005A6CB7" w:rsidRDefault="00C93832">
            <w:pPr>
              <w:spacing w:beforeLines="20" w:before="48" w:afterLines="20" w:after="48"/>
              <w:jc w:val="center"/>
              <w:rPr>
                <w:noProof/>
                <w:sz w:val="20"/>
                <w:szCs w:val="20"/>
                <w:lang w:eastAsia="bg-BG" w:bidi="bg-BG"/>
              </w:rPr>
            </w:pPr>
            <w:r>
              <w:rPr>
                <w:noProof/>
                <w:sz w:val="20"/>
                <w:lang w:eastAsia="bg-BG" w:bidi="bg-BG"/>
              </w:rPr>
              <w:t>0,39</w:t>
            </w:r>
          </w:p>
        </w:tc>
        <w:tc>
          <w:tcPr>
            <w:tcW w:w="508" w:type="pct"/>
            <w:vAlign w:val="center"/>
          </w:tcPr>
          <w:p w:rsidR="005A6CB7" w:rsidRDefault="00C93832">
            <w:pPr>
              <w:spacing w:beforeLines="20" w:before="48" w:afterLines="20" w:after="48"/>
              <w:jc w:val="center"/>
              <w:rPr>
                <w:noProof/>
                <w:sz w:val="20"/>
                <w:szCs w:val="20"/>
                <w:lang w:eastAsia="bg-BG" w:bidi="bg-BG"/>
              </w:rPr>
            </w:pPr>
            <w:r>
              <w:rPr>
                <w:noProof/>
                <w:sz w:val="20"/>
                <w:lang w:eastAsia="bg-BG" w:bidi="bg-BG"/>
              </w:rPr>
              <w:t>0,29</w:t>
            </w:r>
          </w:p>
        </w:tc>
        <w:tc>
          <w:tcPr>
            <w:tcW w:w="509" w:type="pct"/>
            <w:vAlign w:val="center"/>
          </w:tcPr>
          <w:p w:rsidR="005A6CB7" w:rsidRDefault="00C93832">
            <w:pPr>
              <w:spacing w:beforeLines="20" w:before="48" w:afterLines="20" w:after="48"/>
              <w:jc w:val="center"/>
              <w:rPr>
                <w:noProof/>
                <w:sz w:val="20"/>
                <w:szCs w:val="20"/>
                <w:lang w:eastAsia="bg-BG" w:bidi="bg-BG"/>
              </w:rPr>
            </w:pPr>
            <w:r>
              <w:rPr>
                <w:noProof/>
                <w:sz w:val="20"/>
                <w:lang w:eastAsia="bg-BG" w:bidi="bg-BG"/>
              </w:rPr>
              <w:t>0,21</w:t>
            </w:r>
          </w:p>
        </w:tc>
        <w:tc>
          <w:tcPr>
            <w:tcW w:w="509" w:type="pct"/>
            <w:gridSpan w:val="2"/>
            <w:vAlign w:val="center"/>
          </w:tcPr>
          <w:p w:rsidR="005A6CB7" w:rsidRDefault="00C93832">
            <w:pPr>
              <w:spacing w:beforeLines="20" w:before="48" w:afterLines="20" w:after="48"/>
              <w:jc w:val="center"/>
              <w:rPr>
                <w:noProof/>
                <w:sz w:val="20"/>
                <w:szCs w:val="20"/>
                <w:lang w:eastAsia="bg-BG" w:bidi="bg-BG"/>
              </w:rPr>
            </w:pPr>
            <w:r>
              <w:rPr>
                <w:noProof/>
                <w:sz w:val="20"/>
                <w:lang w:eastAsia="bg-BG" w:bidi="bg-BG"/>
              </w:rPr>
              <w:t>0,16</w:t>
            </w: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4"/>
              <w:jc w:val="left"/>
              <w:rPr>
                <w:noProof/>
                <w:lang w:eastAsia="bg-BG" w:bidi="bg-BG"/>
              </w:rPr>
            </w:pPr>
            <w:r>
              <w:rPr>
                <w:noProof/>
                <w:sz w:val="16"/>
                <w:lang w:eastAsia="bg-BG" w:bidi="bg-BG"/>
              </w:rPr>
              <w:t>XX 01 01 02 (Делегации)</w:t>
            </w:r>
          </w:p>
        </w:tc>
        <w:tc>
          <w:tcPr>
            <w:tcW w:w="508" w:type="pct"/>
            <w:vAlign w:val="center"/>
          </w:tcPr>
          <w:p w:rsidR="005A6CB7" w:rsidRDefault="005A6CB7">
            <w:pPr>
              <w:spacing w:beforeLines="20" w:before="48" w:afterLines="20" w:after="48"/>
              <w:jc w:val="center"/>
              <w:rPr>
                <w:noProof/>
                <w:sz w:val="20"/>
                <w:szCs w:val="20"/>
                <w:lang w:eastAsia="bg-BG" w:bidi="bg-BG"/>
              </w:rPr>
            </w:pPr>
          </w:p>
        </w:tc>
        <w:tc>
          <w:tcPr>
            <w:tcW w:w="508" w:type="pct"/>
            <w:vAlign w:val="center"/>
          </w:tcPr>
          <w:p w:rsidR="005A6CB7" w:rsidRDefault="005A6CB7">
            <w:pPr>
              <w:spacing w:beforeLines="20" w:before="48" w:afterLines="20" w:after="48"/>
              <w:jc w:val="center"/>
              <w:rPr>
                <w:noProof/>
                <w:sz w:val="20"/>
                <w:szCs w:val="20"/>
                <w:lang w:eastAsia="bg-BG" w:bidi="bg-BG"/>
              </w:rPr>
            </w:pPr>
          </w:p>
        </w:tc>
        <w:tc>
          <w:tcPr>
            <w:tcW w:w="509" w:type="pct"/>
            <w:vAlign w:val="center"/>
          </w:tcPr>
          <w:p w:rsidR="005A6CB7" w:rsidRDefault="005A6CB7">
            <w:pPr>
              <w:spacing w:beforeLines="20" w:before="48" w:afterLines="20" w:after="48"/>
              <w:jc w:val="center"/>
              <w:rPr>
                <w:noProof/>
                <w:sz w:val="20"/>
                <w:szCs w:val="20"/>
                <w:lang w:eastAsia="bg-BG" w:bidi="bg-BG"/>
              </w:rPr>
            </w:pPr>
          </w:p>
        </w:tc>
        <w:tc>
          <w:tcPr>
            <w:tcW w:w="509" w:type="pct"/>
            <w:gridSpan w:val="2"/>
          </w:tcPr>
          <w:p w:rsidR="005A6CB7" w:rsidRDefault="005A6CB7">
            <w:pPr>
              <w:spacing w:beforeLines="20" w:before="48" w:afterLines="20" w:after="48"/>
              <w:jc w:val="center"/>
              <w:rPr>
                <w:noProof/>
                <w:sz w:val="20"/>
                <w:szCs w:val="20"/>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4"/>
              <w:jc w:val="left"/>
              <w:rPr>
                <w:noProof/>
                <w:spacing w:val="-6"/>
                <w:lang w:eastAsia="bg-BG" w:bidi="bg-BG"/>
              </w:rPr>
            </w:pPr>
            <w:r>
              <w:rPr>
                <w:noProof/>
                <w:spacing w:val="-6"/>
                <w:sz w:val="16"/>
                <w:lang w:eastAsia="bg-BG" w:bidi="bg-BG"/>
              </w:rPr>
              <w:t>XX 01</w:t>
            </w:r>
            <w:r>
              <w:rPr>
                <w:noProof/>
                <w:spacing w:val="-6"/>
                <w:sz w:val="16"/>
                <w:lang w:eastAsia="bg-BG" w:bidi="bg-BG"/>
              </w:rPr>
              <w:t xml:space="preserve"> 05 01 (Непреки научни изследвания)</w:t>
            </w:r>
          </w:p>
        </w:tc>
        <w:tc>
          <w:tcPr>
            <w:tcW w:w="508" w:type="pct"/>
            <w:vAlign w:val="center"/>
          </w:tcPr>
          <w:p w:rsidR="005A6CB7" w:rsidRDefault="005A6CB7">
            <w:pPr>
              <w:spacing w:beforeLines="20" w:before="48" w:afterLines="20" w:after="48"/>
              <w:jc w:val="center"/>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4"/>
              <w:jc w:val="left"/>
              <w:rPr>
                <w:noProof/>
                <w:lang w:eastAsia="bg-BG" w:bidi="bg-BG"/>
              </w:rPr>
            </w:pPr>
            <w:r>
              <w:rPr>
                <w:noProof/>
                <w:sz w:val="16"/>
                <w:lang w:eastAsia="bg-BG" w:bidi="bg-BG"/>
              </w:rPr>
              <w:t>10 01 05 01 (Преки научни изследвания)</w:t>
            </w:r>
          </w:p>
        </w:tc>
        <w:tc>
          <w:tcPr>
            <w:tcW w:w="508" w:type="pct"/>
            <w:vAlign w:val="center"/>
          </w:tcPr>
          <w:p w:rsidR="005A6CB7" w:rsidRDefault="005A6CB7">
            <w:pPr>
              <w:spacing w:beforeLines="20" w:before="48" w:afterLines="20" w:after="48"/>
              <w:jc w:val="center"/>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178"/>
          <w:jc w:val="center"/>
        </w:trPr>
        <w:tc>
          <w:tcPr>
            <w:tcW w:w="5000" w:type="pct"/>
            <w:gridSpan w:val="10"/>
          </w:tcPr>
          <w:p w:rsidR="005A6CB7" w:rsidRDefault="00C93832">
            <w:pPr>
              <w:spacing w:before="60" w:after="60"/>
              <w:jc w:val="left"/>
              <w:rPr>
                <w:b/>
                <w:noProof/>
                <w:sz w:val="16"/>
                <w:lang w:eastAsia="bg-BG" w:bidi="bg-BG"/>
              </w:rPr>
            </w:pPr>
            <w:r>
              <w:rPr>
                <w:b/>
                <w:noProof/>
                <w:sz w:val="16"/>
                <w:szCs w:val="16"/>
                <w:lang w:eastAsia="bg-BG" w:bidi="bg-BG"/>
              </w:rPr>
              <w:sym w:font="Wingdings" w:char="F09F"/>
            </w:r>
            <w:r>
              <w:rPr>
                <w:b/>
                <w:noProof/>
                <w:sz w:val="16"/>
                <w:lang w:eastAsia="bg-BG" w:bidi="bg-BG"/>
              </w:rPr>
              <w:t xml:space="preserve"> Външен персонал (в еквивалент на пълно работно време: ПРВ)</w:t>
            </w:r>
            <w:r>
              <w:rPr>
                <w:rStyle w:val="FootnoteReference"/>
                <w:noProof/>
              </w:rPr>
              <w:footnoteReference w:id="23"/>
            </w:r>
          </w:p>
          <w:p w:rsidR="005A6CB7" w:rsidRDefault="005A6CB7">
            <w:pPr>
              <w:spacing w:before="0" w:after="0"/>
              <w:jc w:val="left"/>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6"/>
              <w:jc w:val="left"/>
              <w:rPr>
                <w:noProof/>
                <w:lang w:eastAsia="bg-BG" w:bidi="bg-BG"/>
              </w:rPr>
            </w:pPr>
            <w:r>
              <w:rPr>
                <w:noProof/>
                <w:sz w:val="16"/>
                <w:lang w:eastAsia="bg-BG" w:bidi="bg-BG"/>
              </w:rPr>
              <w:t>XX 01 02 01 (ДНП, ПНА, КНЕ от общия финансов пакет)</w:t>
            </w:r>
          </w:p>
        </w:tc>
        <w:tc>
          <w:tcPr>
            <w:tcW w:w="508" w:type="pct"/>
            <w:vAlign w:val="center"/>
          </w:tcPr>
          <w:p w:rsidR="005A6CB7" w:rsidRDefault="005A6CB7">
            <w:pPr>
              <w:spacing w:beforeLines="20" w:before="48" w:afterLines="20" w:after="48"/>
              <w:jc w:val="center"/>
              <w:rPr>
                <w:noProof/>
                <w:sz w:val="20"/>
                <w:szCs w:val="20"/>
                <w:lang w:eastAsia="bg-BG" w:bidi="bg-BG"/>
              </w:rPr>
            </w:pPr>
          </w:p>
        </w:tc>
        <w:tc>
          <w:tcPr>
            <w:tcW w:w="508" w:type="pct"/>
            <w:vAlign w:val="center"/>
          </w:tcPr>
          <w:p w:rsidR="005A6CB7" w:rsidRDefault="005A6CB7">
            <w:pPr>
              <w:spacing w:beforeLines="20" w:before="48" w:afterLines="20" w:after="48"/>
              <w:jc w:val="center"/>
              <w:rPr>
                <w:noProof/>
                <w:sz w:val="20"/>
                <w:szCs w:val="20"/>
                <w:lang w:eastAsia="bg-BG" w:bidi="bg-BG"/>
              </w:rPr>
            </w:pPr>
          </w:p>
        </w:tc>
        <w:tc>
          <w:tcPr>
            <w:tcW w:w="509" w:type="pct"/>
            <w:vAlign w:val="center"/>
          </w:tcPr>
          <w:p w:rsidR="005A6CB7" w:rsidRDefault="005A6CB7">
            <w:pPr>
              <w:spacing w:beforeLines="20" w:before="48" w:afterLines="20" w:after="48"/>
              <w:jc w:val="center"/>
              <w:rPr>
                <w:noProof/>
                <w:sz w:val="20"/>
                <w:szCs w:val="20"/>
                <w:lang w:eastAsia="bg-BG" w:bidi="bg-BG"/>
              </w:rPr>
            </w:pPr>
          </w:p>
        </w:tc>
        <w:tc>
          <w:tcPr>
            <w:tcW w:w="509" w:type="pct"/>
            <w:gridSpan w:val="2"/>
          </w:tcPr>
          <w:p w:rsidR="005A6CB7" w:rsidRDefault="005A6CB7">
            <w:pPr>
              <w:spacing w:beforeLines="20" w:before="48" w:afterLines="20" w:after="48"/>
              <w:jc w:val="center"/>
              <w:rPr>
                <w:noProof/>
                <w:sz w:val="20"/>
                <w:szCs w:val="20"/>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6"/>
              <w:jc w:val="left"/>
              <w:rPr>
                <w:noProof/>
                <w:lang w:eastAsia="bg-BG" w:bidi="bg-BG"/>
              </w:rPr>
            </w:pPr>
            <w:r>
              <w:rPr>
                <w:noProof/>
                <w:sz w:val="16"/>
                <w:lang w:eastAsia="bg-BG" w:bidi="bg-BG"/>
              </w:rPr>
              <w:t xml:space="preserve">XX 01 02 02 (ДНП, ПНА, МЕД, МП и КНЕ в </w:t>
            </w:r>
            <w:r>
              <w:rPr>
                <w:noProof/>
                <w:sz w:val="16"/>
                <w:lang w:eastAsia="bg-BG" w:bidi="bg-BG"/>
              </w:rPr>
              <w:t>делегациите)</w:t>
            </w:r>
          </w:p>
        </w:tc>
        <w:tc>
          <w:tcPr>
            <w:tcW w:w="508" w:type="pct"/>
            <w:vAlign w:val="center"/>
          </w:tcPr>
          <w:p w:rsidR="005A6CB7" w:rsidRDefault="005A6CB7">
            <w:pPr>
              <w:spacing w:beforeLines="20" w:before="48" w:afterLines="20" w:after="48"/>
              <w:jc w:val="center"/>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759" w:type="pct"/>
            <w:vMerge w:val="restart"/>
            <w:vAlign w:val="center"/>
          </w:tcPr>
          <w:p w:rsidR="005A6CB7" w:rsidRDefault="00C93832">
            <w:pPr>
              <w:spacing w:beforeLines="20" w:before="48" w:afterLines="20" w:after="48"/>
              <w:ind w:left="136"/>
              <w:jc w:val="left"/>
              <w:rPr>
                <w:b/>
                <w:noProof/>
                <w:sz w:val="16"/>
                <w:szCs w:val="16"/>
                <w:lang w:eastAsia="bg-BG" w:bidi="bg-BG"/>
              </w:rPr>
            </w:pPr>
            <w:r>
              <w:rPr>
                <w:b/>
                <w:noProof/>
                <w:sz w:val="16"/>
                <w:szCs w:val="16"/>
                <w:lang w:eastAsia="bg-BG" w:bidi="bg-BG"/>
              </w:rPr>
              <w:t>XX</w:t>
            </w:r>
            <w:r>
              <w:rPr>
                <w:noProof/>
                <w:sz w:val="16"/>
                <w:szCs w:val="16"/>
                <w:lang w:eastAsia="bg-BG" w:bidi="bg-BG"/>
              </w:rPr>
              <w:t xml:space="preserve"> 01 04 yy</w:t>
            </w:r>
            <w:r>
              <w:rPr>
                <w:rStyle w:val="FootnoteReference"/>
                <w:noProof/>
              </w:rPr>
              <w:footnoteReference w:id="24"/>
            </w:r>
          </w:p>
          <w:p w:rsidR="005A6CB7" w:rsidRDefault="005A6CB7">
            <w:pPr>
              <w:spacing w:beforeLines="20" w:before="48" w:afterLines="20" w:after="48"/>
              <w:ind w:left="136"/>
              <w:jc w:val="left"/>
              <w:rPr>
                <w:b/>
                <w:noProof/>
                <w:sz w:val="16"/>
                <w:szCs w:val="16"/>
                <w:lang w:eastAsia="bg-BG" w:bidi="bg-BG"/>
              </w:rPr>
            </w:pPr>
          </w:p>
        </w:tc>
        <w:tc>
          <w:tcPr>
            <w:tcW w:w="893" w:type="pct"/>
            <w:vAlign w:val="center"/>
          </w:tcPr>
          <w:p w:rsidR="005A6CB7" w:rsidRDefault="00C93832">
            <w:pPr>
              <w:spacing w:beforeLines="20" w:before="48" w:afterLines="20" w:after="48"/>
              <w:ind w:left="136"/>
              <w:jc w:val="left"/>
              <w:rPr>
                <w:b/>
                <w:noProof/>
                <w:sz w:val="16"/>
                <w:szCs w:val="16"/>
                <w:lang w:eastAsia="bg-BG" w:bidi="bg-BG"/>
              </w:rPr>
            </w:pPr>
            <w:r>
              <w:rPr>
                <w:noProof/>
                <w:sz w:val="16"/>
                <w:szCs w:val="16"/>
                <w:lang w:eastAsia="bg-BG" w:bidi="bg-BG"/>
              </w:rPr>
              <w:t>- в Централата</w:t>
            </w:r>
          </w:p>
        </w:tc>
        <w:tc>
          <w:tcPr>
            <w:tcW w:w="508" w:type="pct"/>
            <w:vAlign w:val="center"/>
          </w:tcPr>
          <w:p w:rsidR="005A6CB7" w:rsidRDefault="005A6CB7">
            <w:pPr>
              <w:spacing w:beforeLines="20" w:before="48" w:afterLines="20" w:after="48"/>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325"/>
          <w:jc w:val="center"/>
        </w:trPr>
        <w:tc>
          <w:tcPr>
            <w:tcW w:w="759" w:type="pct"/>
            <w:vMerge/>
            <w:vAlign w:val="center"/>
          </w:tcPr>
          <w:p w:rsidR="005A6CB7" w:rsidRDefault="005A6CB7">
            <w:pPr>
              <w:spacing w:beforeLines="20" w:before="48" w:afterLines="20" w:after="48"/>
              <w:ind w:left="136"/>
              <w:jc w:val="left"/>
              <w:rPr>
                <w:b/>
                <w:noProof/>
                <w:sz w:val="16"/>
                <w:szCs w:val="16"/>
                <w:lang w:eastAsia="bg-BG" w:bidi="bg-BG"/>
              </w:rPr>
            </w:pPr>
          </w:p>
        </w:tc>
        <w:tc>
          <w:tcPr>
            <w:tcW w:w="893" w:type="pct"/>
            <w:vAlign w:val="center"/>
          </w:tcPr>
          <w:p w:rsidR="005A6CB7" w:rsidRDefault="00C93832">
            <w:pPr>
              <w:spacing w:beforeLines="20" w:before="48" w:afterLines="20" w:after="48"/>
              <w:ind w:left="136"/>
              <w:jc w:val="left"/>
              <w:rPr>
                <w:noProof/>
                <w:sz w:val="16"/>
                <w:szCs w:val="16"/>
                <w:lang w:eastAsia="bg-BG" w:bidi="bg-BG"/>
              </w:rPr>
            </w:pPr>
            <w:r>
              <w:rPr>
                <w:noProof/>
                <w:sz w:val="16"/>
                <w:szCs w:val="16"/>
                <w:lang w:eastAsia="bg-BG" w:bidi="bg-BG"/>
              </w:rPr>
              <w:t xml:space="preserve">- в делегациите </w:t>
            </w:r>
          </w:p>
        </w:tc>
        <w:tc>
          <w:tcPr>
            <w:tcW w:w="508" w:type="pct"/>
            <w:vAlign w:val="center"/>
          </w:tcPr>
          <w:p w:rsidR="005A6CB7" w:rsidRDefault="005A6CB7">
            <w:pPr>
              <w:spacing w:beforeLines="20" w:before="48" w:afterLines="20" w:after="48"/>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6"/>
              <w:jc w:val="left"/>
              <w:rPr>
                <w:noProof/>
                <w:sz w:val="16"/>
                <w:szCs w:val="16"/>
                <w:lang w:eastAsia="bg-BG" w:bidi="bg-BG"/>
              </w:rPr>
            </w:pPr>
            <w:r>
              <w:rPr>
                <w:b/>
                <w:noProof/>
                <w:sz w:val="16"/>
                <w:szCs w:val="16"/>
                <w:lang w:eastAsia="bg-BG" w:bidi="bg-BG"/>
              </w:rPr>
              <w:t>XX</w:t>
            </w:r>
            <w:r>
              <w:rPr>
                <w:noProof/>
                <w:sz w:val="16"/>
                <w:szCs w:val="16"/>
                <w:lang w:eastAsia="bg-BG" w:bidi="bg-BG"/>
              </w:rPr>
              <w:t xml:space="preserve"> 01 05 02 (ДНП, КНЕ, ПНА — Непреки научни изследвания)</w:t>
            </w:r>
          </w:p>
        </w:tc>
        <w:tc>
          <w:tcPr>
            <w:tcW w:w="508" w:type="pct"/>
            <w:vAlign w:val="center"/>
          </w:tcPr>
          <w:p w:rsidR="005A6CB7" w:rsidRDefault="005A6CB7">
            <w:pPr>
              <w:spacing w:beforeLines="20" w:before="48" w:afterLines="20" w:after="48"/>
              <w:jc w:val="center"/>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vAlign w:val="center"/>
          </w:tcPr>
          <w:p w:rsidR="005A6CB7" w:rsidRDefault="00C93832">
            <w:pPr>
              <w:spacing w:beforeLines="20" w:before="48" w:afterLines="20" w:after="48"/>
              <w:ind w:left="136"/>
              <w:jc w:val="left"/>
              <w:rPr>
                <w:noProof/>
                <w:lang w:eastAsia="bg-BG" w:bidi="bg-BG"/>
              </w:rPr>
            </w:pPr>
            <w:r>
              <w:rPr>
                <w:noProof/>
                <w:sz w:val="16"/>
                <w:lang w:eastAsia="bg-BG" w:bidi="bg-BG"/>
              </w:rPr>
              <w:t>10 01 05 02 (ДНП, КНЕ, ПНА — Преки научни изследвания)</w:t>
            </w:r>
          </w:p>
        </w:tc>
        <w:tc>
          <w:tcPr>
            <w:tcW w:w="508" w:type="pct"/>
            <w:vAlign w:val="center"/>
          </w:tcPr>
          <w:p w:rsidR="005A6CB7" w:rsidRDefault="005A6CB7">
            <w:pPr>
              <w:spacing w:beforeLines="20" w:before="48" w:afterLines="20" w:after="48"/>
              <w:jc w:val="center"/>
              <w:rPr>
                <w:noProof/>
                <w:sz w:val="16"/>
                <w:lang w:eastAsia="bg-BG" w:bidi="bg-BG"/>
              </w:rPr>
            </w:pPr>
          </w:p>
        </w:tc>
        <w:tc>
          <w:tcPr>
            <w:tcW w:w="508" w:type="pct"/>
            <w:vAlign w:val="center"/>
          </w:tcPr>
          <w:p w:rsidR="005A6CB7" w:rsidRDefault="005A6CB7">
            <w:pPr>
              <w:spacing w:beforeLines="20" w:before="48" w:afterLines="20" w:after="48"/>
              <w:jc w:val="center"/>
              <w:rPr>
                <w:noProof/>
                <w:sz w:val="16"/>
                <w:lang w:eastAsia="bg-BG" w:bidi="bg-BG"/>
              </w:rPr>
            </w:pPr>
          </w:p>
        </w:tc>
        <w:tc>
          <w:tcPr>
            <w:tcW w:w="509" w:type="pct"/>
            <w:vAlign w:val="center"/>
          </w:tcPr>
          <w:p w:rsidR="005A6CB7" w:rsidRDefault="005A6CB7">
            <w:pPr>
              <w:spacing w:beforeLines="20" w:before="48" w:afterLines="20" w:after="48"/>
              <w:jc w:val="center"/>
              <w:rPr>
                <w:noProof/>
                <w:sz w:val="16"/>
                <w:lang w:eastAsia="bg-BG" w:bidi="bg-BG"/>
              </w:rPr>
            </w:pPr>
          </w:p>
        </w:tc>
        <w:tc>
          <w:tcPr>
            <w:tcW w:w="509" w:type="pct"/>
            <w:gridSpan w:val="2"/>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c>
          <w:tcPr>
            <w:tcW w:w="438" w:type="pct"/>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tcBorders>
              <w:bottom w:val="double" w:sz="4" w:space="0" w:color="auto"/>
            </w:tcBorders>
            <w:vAlign w:val="center"/>
          </w:tcPr>
          <w:p w:rsidR="005A6CB7" w:rsidRDefault="00C93832">
            <w:pPr>
              <w:spacing w:beforeLines="20" w:before="48" w:afterLines="20" w:after="48"/>
              <w:ind w:left="134"/>
              <w:jc w:val="left"/>
              <w:rPr>
                <w:noProof/>
                <w:lang w:eastAsia="bg-BG" w:bidi="bg-BG"/>
              </w:rPr>
            </w:pPr>
            <w:r>
              <w:rPr>
                <w:noProof/>
                <w:sz w:val="16"/>
                <w:lang w:eastAsia="bg-BG" w:bidi="bg-BG"/>
              </w:rPr>
              <w:t>Други бюджетни редове (да се посочат)</w:t>
            </w:r>
          </w:p>
        </w:tc>
        <w:tc>
          <w:tcPr>
            <w:tcW w:w="508" w:type="pct"/>
            <w:tcBorders>
              <w:bottom w:val="double" w:sz="4" w:space="0" w:color="auto"/>
            </w:tcBorders>
            <w:vAlign w:val="center"/>
          </w:tcPr>
          <w:p w:rsidR="005A6CB7" w:rsidRDefault="005A6CB7">
            <w:pPr>
              <w:spacing w:beforeLines="20" w:before="48" w:afterLines="20" w:after="48"/>
              <w:jc w:val="center"/>
              <w:rPr>
                <w:noProof/>
                <w:sz w:val="16"/>
                <w:lang w:eastAsia="bg-BG" w:bidi="bg-BG"/>
              </w:rPr>
            </w:pPr>
          </w:p>
        </w:tc>
        <w:tc>
          <w:tcPr>
            <w:tcW w:w="508" w:type="pct"/>
            <w:tcBorders>
              <w:bottom w:val="double" w:sz="4" w:space="0" w:color="auto"/>
            </w:tcBorders>
            <w:vAlign w:val="center"/>
          </w:tcPr>
          <w:p w:rsidR="005A6CB7" w:rsidRDefault="005A6CB7">
            <w:pPr>
              <w:spacing w:beforeLines="20" w:before="48" w:afterLines="20" w:after="48"/>
              <w:jc w:val="center"/>
              <w:rPr>
                <w:noProof/>
                <w:sz w:val="16"/>
                <w:lang w:eastAsia="bg-BG" w:bidi="bg-BG"/>
              </w:rPr>
            </w:pPr>
          </w:p>
        </w:tc>
        <w:tc>
          <w:tcPr>
            <w:tcW w:w="509" w:type="pct"/>
            <w:tcBorders>
              <w:bottom w:val="double" w:sz="4" w:space="0" w:color="auto"/>
            </w:tcBorders>
            <w:vAlign w:val="center"/>
          </w:tcPr>
          <w:p w:rsidR="005A6CB7" w:rsidRDefault="005A6CB7">
            <w:pPr>
              <w:spacing w:beforeLines="20" w:before="48" w:afterLines="20" w:after="48"/>
              <w:jc w:val="center"/>
              <w:rPr>
                <w:noProof/>
                <w:sz w:val="16"/>
                <w:lang w:eastAsia="bg-BG" w:bidi="bg-BG"/>
              </w:rPr>
            </w:pPr>
          </w:p>
        </w:tc>
        <w:tc>
          <w:tcPr>
            <w:tcW w:w="509" w:type="pct"/>
            <w:gridSpan w:val="2"/>
            <w:tcBorders>
              <w:bottom w:val="double" w:sz="4" w:space="0" w:color="auto"/>
            </w:tcBorders>
          </w:tcPr>
          <w:p w:rsidR="005A6CB7" w:rsidRDefault="005A6CB7">
            <w:pPr>
              <w:spacing w:beforeLines="20" w:before="48" w:afterLines="20" w:after="48"/>
              <w:jc w:val="center"/>
              <w:rPr>
                <w:noProof/>
                <w:sz w:val="16"/>
                <w:lang w:eastAsia="bg-BG" w:bidi="bg-BG"/>
              </w:rPr>
            </w:pPr>
          </w:p>
        </w:tc>
        <w:tc>
          <w:tcPr>
            <w:tcW w:w="438" w:type="pct"/>
            <w:tcBorders>
              <w:bottom w:val="double" w:sz="4" w:space="0" w:color="auto"/>
            </w:tcBorders>
            <w:vAlign w:val="center"/>
          </w:tcPr>
          <w:p w:rsidR="005A6CB7" w:rsidRDefault="005A6CB7">
            <w:pPr>
              <w:spacing w:beforeLines="20" w:before="48" w:afterLines="20" w:after="48"/>
              <w:jc w:val="center"/>
              <w:rPr>
                <w:noProof/>
                <w:sz w:val="16"/>
                <w:lang w:eastAsia="bg-BG" w:bidi="bg-BG"/>
              </w:rPr>
            </w:pPr>
          </w:p>
        </w:tc>
        <w:tc>
          <w:tcPr>
            <w:tcW w:w="438" w:type="pct"/>
            <w:tcBorders>
              <w:bottom w:val="double" w:sz="4" w:space="0" w:color="auto"/>
            </w:tcBorders>
            <w:vAlign w:val="center"/>
          </w:tcPr>
          <w:p w:rsidR="005A6CB7" w:rsidRDefault="005A6CB7">
            <w:pPr>
              <w:spacing w:beforeLines="20" w:before="48" w:afterLines="20" w:after="48"/>
              <w:jc w:val="center"/>
              <w:rPr>
                <w:noProof/>
                <w:sz w:val="16"/>
                <w:lang w:eastAsia="bg-BG" w:bidi="bg-BG"/>
              </w:rPr>
            </w:pPr>
          </w:p>
        </w:tc>
        <w:tc>
          <w:tcPr>
            <w:tcW w:w="438" w:type="pct"/>
            <w:tcBorders>
              <w:bottom w:val="double" w:sz="4" w:space="0" w:color="auto"/>
            </w:tcBorders>
            <w:vAlign w:val="center"/>
          </w:tcPr>
          <w:p w:rsidR="005A6CB7" w:rsidRDefault="005A6CB7">
            <w:pPr>
              <w:spacing w:beforeLines="20" w:before="48" w:afterLines="20" w:after="48"/>
              <w:jc w:val="center"/>
              <w:rPr>
                <w:noProof/>
                <w:sz w:val="16"/>
                <w:lang w:eastAsia="bg-BG" w:bidi="bg-BG"/>
              </w:rPr>
            </w:pPr>
          </w:p>
        </w:tc>
      </w:tr>
      <w:tr w:rsidR="005A6CB7">
        <w:trPr>
          <w:trHeight w:val="207"/>
          <w:jc w:val="center"/>
        </w:trPr>
        <w:tc>
          <w:tcPr>
            <w:tcW w:w="1652" w:type="pct"/>
            <w:gridSpan w:val="2"/>
            <w:tcBorders>
              <w:top w:val="double" w:sz="4" w:space="0" w:color="auto"/>
            </w:tcBorders>
            <w:vAlign w:val="center"/>
          </w:tcPr>
          <w:p w:rsidR="005A6CB7" w:rsidRDefault="00C93832">
            <w:pPr>
              <w:spacing w:beforeLines="20" w:before="48" w:afterLines="20" w:after="48"/>
              <w:ind w:left="136"/>
              <w:jc w:val="left"/>
              <w:rPr>
                <w:noProof/>
                <w:lang w:eastAsia="bg-BG" w:bidi="bg-BG"/>
              </w:rPr>
            </w:pPr>
            <w:r>
              <w:rPr>
                <w:b/>
                <w:noProof/>
                <w:sz w:val="16"/>
                <w:lang w:eastAsia="bg-BG" w:bidi="bg-BG"/>
              </w:rPr>
              <w:t>ОБЩО</w:t>
            </w:r>
          </w:p>
        </w:tc>
        <w:tc>
          <w:tcPr>
            <w:tcW w:w="508" w:type="pct"/>
            <w:tcBorders>
              <w:top w:val="double" w:sz="4" w:space="0" w:color="auto"/>
            </w:tcBorders>
            <w:vAlign w:val="center"/>
          </w:tcPr>
          <w:p w:rsidR="005A6CB7" w:rsidRDefault="00C93832">
            <w:pPr>
              <w:spacing w:beforeLines="20" w:before="48" w:afterLines="20" w:after="48"/>
              <w:jc w:val="center"/>
              <w:rPr>
                <w:b/>
                <w:noProof/>
                <w:sz w:val="20"/>
                <w:szCs w:val="20"/>
                <w:lang w:eastAsia="bg-BG" w:bidi="bg-BG"/>
              </w:rPr>
            </w:pPr>
            <w:r>
              <w:rPr>
                <w:b/>
                <w:noProof/>
                <w:sz w:val="20"/>
                <w:lang w:eastAsia="bg-BG" w:bidi="bg-BG"/>
              </w:rPr>
              <w:t>0,39</w:t>
            </w:r>
          </w:p>
        </w:tc>
        <w:tc>
          <w:tcPr>
            <w:tcW w:w="508" w:type="pct"/>
            <w:tcBorders>
              <w:top w:val="double" w:sz="4" w:space="0" w:color="auto"/>
            </w:tcBorders>
            <w:vAlign w:val="center"/>
          </w:tcPr>
          <w:p w:rsidR="005A6CB7" w:rsidRDefault="00C93832">
            <w:pPr>
              <w:spacing w:beforeLines="20" w:before="48" w:afterLines="20" w:after="48"/>
              <w:jc w:val="center"/>
              <w:rPr>
                <w:b/>
                <w:noProof/>
                <w:sz w:val="20"/>
                <w:szCs w:val="20"/>
                <w:lang w:eastAsia="bg-BG" w:bidi="bg-BG"/>
              </w:rPr>
            </w:pPr>
            <w:r>
              <w:rPr>
                <w:b/>
                <w:noProof/>
                <w:sz w:val="20"/>
                <w:lang w:eastAsia="bg-BG" w:bidi="bg-BG"/>
              </w:rPr>
              <w:t>0,29</w:t>
            </w:r>
          </w:p>
        </w:tc>
        <w:tc>
          <w:tcPr>
            <w:tcW w:w="509" w:type="pct"/>
            <w:tcBorders>
              <w:top w:val="double" w:sz="4" w:space="0" w:color="auto"/>
            </w:tcBorders>
            <w:vAlign w:val="center"/>
          </w:tcPr>
          <w:p w:rsidR="005A6CB7" w:rsidRDefault="00C93832">
            <w:pPr>
              <w:spacing w:beforeLines="20" w:before="48" w:afterLines="20" w:after="48"/>
              <w:jc w:val="center"/>
              <w:rPr>
                <w:b/>
                <w:noProof/>
                <w:sz w:val="20"/>
                <w:szCs w:val="20"/>
                <w:lang w:eastAsia="bg-BG" w:bidi="bg-BG"/>
              </w:rPr>
            </w:pPr>
            <w:r>
              <w:rPr>
                <w:b/>
                <w:noProof/>
                <w:sz w:val="20"/>
                <w:lang w:eastAsia="bg-BG" w:bidi="bg-BG"/>
              </w:rPr>
              <w:t>0,21</w:t>
            </w:r>
          </w:p>
        </w:tc>
        <w:tc>
          <w:tcPr>
            <w:tcW w:w="509" w:type="pct"/>
            <w:gridSpan w:val="2"/>
            <w:tcBorders>
              <w:top w:val="double" w:sz="4" w:space="0" w:color="auto"/>
            </w:tcBorders>
          </w:tcPr>
          <w:p w:rsidR="005A6CB7" w:rsidRDefault="00C93832">
            <w:pPr>
              <w:spacing w:beforeLines="20" w:before="48" w:afterLines="20" w:after="48"/>
              <w:jc w:val="center"/>
              <w:rPr>
                <w:b/>
                <w:noProof/>
                <w:sz w:val="20"/>
                <w:szCs w:val="20"/>
                <w:lang w:eastAsia="bg-BG" w:bidi="bg-BG"/>
              </w:rPr>
            </w:pPr>
            <w:r>
              <w:rPr>
                <w:b/>
                <w:noProof/>
                <w:sz w:val="20"/>
                <w:lang w:eastAsia="bg-BG" w:bidi="bg-BG"/>
              </w:rPr>
              <w:t>0,16</w:t>
            </w:r>
          </w:p>
        </w:tc>
        <w:tc>
          <w:tcPr>
            <w:tcW w:w="438" w:type="pct"/>
            <w:tcBorders>
              <w:top w:val="double" w:sz="4" w:space="0" w:color="auto"/>
            </w:tcBorders>
            <w:vAlign w:val="center"/>
          </w:tcPr>
          <w:p w:rsidR="005A6CB7" w:rsidRDefault="005A6CB7">
            <w:pPr>
              <w:spacing w:beforeLines="20" w:before="48" w:afterLines="20" w:after="48"/>
              <w:jc w:val="center"/>
              <w:rPr>
                <w:b/>
                <w:noProof/>
                <w:sz w:val="16"/>
                <w:lang w:eastAsia="bg-BG" w:bidi="bg-BG"/>
              </w:rPr>
            </w:pPr>
          </w:p>
        </w:tc>
        <w:tc>
          <w:tcPr>
            <w:tcW w:w="438" w:type="pct"/>
            <w:tcBorders>
              <w:top w:val="double" w:sz="4" w:space="0" w:color="auto"/>
            </w:tcBorders>
            <w:vAlign w:val="center"/>
          </w:tcPr>
          <w:p w:rsidR="005A6CB7" w:rsidRDefault="005A6CB7">
            <w:pPr>
              <w:spacing w:beforeLines="20" w:before="48" w:afterLines="20" w:after="48"/>
              <w:jc w:val="center"/>
              <w:rPr>
                <w:b/>
                <w:noProof/>
                <w:sz w:val="16"/>
                <w:lang w:eastAsia="bg-BG" w:bidi="bg-BG"/>
              </w:rPr>
            </w:pPr>
          </w:p>
        </w:tc>
        <w:tc>
          <w:tcPr>
            <w:tcW w:w="438" w:type="pct"/>
            <w:tcBorders>
              <w:top w:val="double" w:sz="4" w:space="0" w:color="auto"/>
            </w:tcBorders>
            <w:vAlign w:val="center"/>
          </w:tcPr>
          <w:p w:rsidR="005A6CB7" w:rsidRDefault="005A6CB7">
            <w:pPr>
              <w:spacing w:beforeLines="20" w:before="48" w:afterLines="20" w:after="48"/>
              <w:jc w:val="center"/>
              <w:rPr>
                <w:b/>
                <w:noProof/>
                <w:sz w:val="16"/>
                <w:lang w:eastAsia="bg-BG" w:bidi="bg-BG"/>
              </w:rPr>
            </w:pPr>
          </w:p>
        </w:tc>
      </w:tr>
    </w:tbl>
    <w:p w:rsidR="005A6CB7" w:rsidRDefault="00C93832">
      <w:pPr>
        <w:pStyle w:val="Text1"/>
        <w:spacing w:before="60" w:after="60"/>
        <w:ind w:left="851"/>
        <w:rPr>
          <w:noProof/>
          <w:sz w:val="18"/>
          <w:szCs w:val="18"/>
          <w:lang w:eastAsia="bg-BG" w:bidi="bg-BG"/>
        </w:rPr>
      </w:pPr>
      <w:r>
        <w:rPr>
          <w:b/>
          <w:noProof/>
          <w:sz w:val="18"/>
          <w:szCs w:val="18"/>
          <w:lang w:eastAsia="bg-BG" w:bidi="bg-BG"/>
        </w:rPr>
        <w:t>XX</w:t>
      </w:r>
      <w:r>
        <w:rPr>
          <w:noProof/>
          <w:sz w:val="18"/>
          <w:szCs w:val="18"/>
          <w:lang w:eastAsia="bg-BG" w:bidi="bg-BG"/>
        </w:rPr>
        <w:t xml:space="preserve"> е съответната област на политиката или бюджетен дял.</w:t>
      </w:r>
    </w:p>
    <w:p w:rsidR="005A6CB7" w:rsidRDefault="00C93832">
      <w:pPr>
        <w:pStyle w:val="Text1"/>
        <w:spacing w:before="60" w:after="60"/>
        <w:ind w:left="851"/>
        <w:rPr>
          <w:noProof/>
          <w:sz w:val="18"/>
          <w:szCs w:val="18"/>
          <w:lang w:eastAsia="bg-BG" w:bidi="bg-BG"/>
        </w:rPr>
      </w:pPr>
      <w:r>
        <w:rPr>
          <w:noProof/>
          <w:sz w:val="18"/>
          <w:szCs w:val="18"/>
          <w:lang w:eastAsia="bg-BG" w:bidi="bg-BG"/>
        </w:rPr>
        <w:t xml:space="preserve">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w:t>
      </w:r>
      <w:r>
        <w:rPr>
          <w:noProof/>
          <w:sz w:val="18"/>
          <w:szCs w:val="18"/>
          <w:lang w:eastAsia="bg-BG" w:bidi="bg-BG"/>
        </w:rPr>
        <w:t>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rsidR="005A6CB7" w:rsidRDefault="00C93832">
      <w:pPr>
        <w:pStyle w:val="Text1"/>
        <w:spacing w:before="60" w:after="60"/>
        <w:ind w:left="851"/>
        <w:rPr>
          <w:noProof/>
          <w:sz w:val="18"/>
          <w:szCs w:val="18"/>
          <w:lang w:eastAsia="bg-BG" w:bidi="bg-BG"/>
        </w:rPr>
      </w:pPr>
      <w:r>
        <w:rPr>
          <w:noProof/>
          <w:sz w:val="18"/>
          <w:szCs w:val="18"/>
          <w:lang w:eastAsia="bg-BG" w:bidi="bg-BG"/>
        </w:rPr>
        <w:t>Разходите за необходимите служители</w:t>
      </w:r>
      <w:r>
        <w:rPr>
          <w:noProof/>
          <w:sz w:val="18"/>
          <w:szCs w:val="18"/>
          <w:lang w:eastAsia="bg-BG" w:bidi="bg-BG"/>
        </w:rPr>
        <w:t xml:space="preserve"> са изчислени на базата на 30 % от годишните разходи за длъжностно лице, степен АD5—AD12.</w:t>
      </w:r>
    </w:p>
    <w:p w:rsidR="005A6CB7" w:rsidRDefault="00C93832">
      <w:pPr>
        <w:pStyle w:val="Text1"/>
        <w:spacing w:before="60" w:after="60"/>
        <w:ind w:left="851"/>
        <w:rPr>
          <w:noProof/>
          <w:sz w:val="18"/>
          <w:szCs w:val="18"/>
          <w:lang w:eastAsia="bg-BG" w:bidi="bg-BG"/>
        </w:rPr>
      </w:pPr>
      <w:r>
        <w:rPr>
          <w:noProof/>
          <w:sz w:val="18"/>
          <w:szCs w:val="18"/>
          <w:lang w:eastAsia="bg-BG" w:bidi="bg-BG"/>
        </w:rPr>
        <w:t>Описание на задачите, които трябва да се изпълнят:</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rsidR="005A6CB7">
        <w:tc>
          <w:tcPr>
            <w:tcW w:w="3686" w:type="dxa"/>
          </w:tcPr>
          <w:p w:rsidR="005A6CB7" w:rsidRDefault="00C93832">
            <w:pPr>
              <w:spacing w:before="60" w:after="60"/>
              <w:rPr>
                <w:noProof/>
                <w:lang w:eastAsia="bg-BG" w:bidi="bg-BG"/>
              </w:rPr>
            </w:pPr>
            <w:r>
              <w:rPr>
                <w:noProof/>
                <w:sz w:val="20"/>
                <w:lang w:eastAsia="bg-BG" w:bidi="bg-BG"/>
              </w:rPr>
              <w:t>Длъжностни лица и временно наети служители</w:t>
            </w:r>
          </w:p>
        </w:tc>
        <w:tc>
          <w:tcPr>
            <w:tcW w:w="5647" w:type="dxa"/>
          </w:tcPr>
          <w:p w:rsidR="005A6CB7" w:rsidRDefault="00C93832">
            <w:pPr>
              <w:spacing w:before="60" w:after="60"/>
              <w:rPr>
                <w:noProof/>
                <w:sz w:val="20"/>
                <w:lang w:eastAsia="bg-BG" w:bidi="bg-BG"/>
              </w:rPr>
            </w:pPr>
            <w:r>
              <w:rPr>
                <w:noProof/>
                <w:sz w:val="20"/>
                <w:lang w:eastAsia="bg-BG" w:bidi="bg-BG"/>
              </w:rPr>
              <w:t>Началник-отдел: Упражняване на надзор и управление на операцията, догова</w:t>
            </w:r>
            <w:r>
              <w:rPr>
                <w:noProof/>
                <w:sz w:val="20"/>
                <w:lang w:eastAsia="bg-BG" w:bidi="bg-BG"/>
              </w:rPr>
              <w:t xml:space="preserve">ряне на докладите за преглед по Споразумението за заем, ръководене на мисии и оценяване на напредъка по отношение на спазване на условията. </w:t>
            </w:r>
          </w:p>
          <w:p w:rsidR="005A6CB7" w:rsidRDefault="00C93832">
            <w:pPr>
              <w:spacing w:before="60" w:after="60"/>
              <w:rPr>
                <w:noProof/>
                <w:sz w:val="20"/>
                <w:lang w:eastAsia="bg-BG" w:bidi="bg-BG"/>
              </w:rPr>
            </w:pPr>
            <w:r>
              <w:rPr>
                <w:noProof/>
                <w:sz w:val="20"/>
                <w:lang w:eastAsia="bg-BG" w:bidi="bg-BG"/>
              </w:rPr>
              <w:t>Отговорни служители: Изготвяне на Меморандума за разбирателство, поддържане на връзка с органите и международните ф</w:t>
            </w:r>
            <w:r>
              <w:rPr>
                <w:noProof/>
                <w:sz w:val="20"/>
                <w:lang w:eastAsia="bg-BG" w:bidi="bg-BG"/>
              </w:rPr>
              <w:t>инансови институции, контакти с външни експерти за оперативната оценка и последващата оценка, провеждане на мисии за проверка, изготвяне на доклади на службите на Комисията и процедури на Комисията, свързани с управлението на помощта.</w:t>
            </w:r>
          </w:p>
        </w:tc>
      </w:tr>
      <w:tr w:rsidR="005A6CB7">
        <w:tc>
          <w:tcPr>
            <w:tcW w:w="3686" w:type="dxa"/>
          </w:tcPr>
          <w:p w:rsidR="005A6CB7" w:rsidRDefault="00C93832">
            <w:pPr>
              <w:spacing w:before="60" w:after="60"/>
              <w:rPr>
                <w:noProof/>
                <w:lang w:eastAsia="bg-BG" w:bidi="bg-BG"/>
              </w:rPr>
            </w:pPr>
            <w:r>
              <w:rPr>
                <w:noProof/>
                <w:sz w:val="20"/>
                <w:lang w:eastAsia="bg-BG" w:bidi="bg-BG"/>
              </w:rPr>
              <w:t>Външен персонал</w:t>
            </w:r>
          </w:p>
        </w:tc>
        <w:tc>
          <w:tcPr>
            <w:tcW w:w="5647" w:type="dxa"/>
          </w:tcPr>
          <w:p w:rsidR="005A6CB7" w:rsidRDefault="00C93832">
            <w:pPr>
              <w:spacing w:before="60" w:after="60"/>
              <w:rPr>
                <w:noProof/>
                <w:sz w:val="20"/>
                <w:lang w:eastAsia="bg-BG" w:bidi="bg-BG"/>
              </w:rPr>
            </w:pPr>
            <w:r>
              <w:rPr>
                <w:noProof/>
                <w:sz w:val="20"/>
                <w:lang w:eastAsia="bg-BG" w:bidi="bg-BG"/>
              </w:rPr>
              <w:t xml:space="preserve">Не </w:t>
            </w:r>
            <w:r>
              <w:rPr>
                <w:noProof/>
                <w:sz w:val="20"/>
                <w:lang w:eastAsia="bg-BG" w:bidi="bg-BG"/>
              </w:rPr>
              <w:t>се прилага</w:t>
            </w:r>
          </w:p>
        </w:tc>
      </w:tr>
    </w:tbl>
    <w:p w:rsidR="005A6CB7" w:rsidRDefault="005A6CB7">
      <w:pPr>
        <w:rPr>
          <w:noProof/>
          <w:lang w:eastAsia="bg-BG" w:bidi="bg-BG"/>
        </w:rPr>
        <w:sectPr w:rsidR="005A6CB7">
          <w:pgSz w:w="11907" w:h="16840"/>
          <w:pgMar w:top="720" w:right="720" w:bottom="720" w:left="720" w:header="709" w:footer="709" w:gutter="0"/>
          <w:cols w:space="708"/>
          <w:docGrid w:linePitch="360"/>
        </w:sectPr>
      </w:pPr>
    </w:p>
    <w:p w:rsidR="005A6CB7" w:rsidRDefault="00C93832">
      <w:pPr>
        <w:pStyle w:val="ManualHeading3"/>
        <w:rPr>
          <w:noProof/>
          <w:lang w:eastAsia="bg-BG" w:bidi="bg-BG"/>
        </w:rPr>
      </w:pPr>
      <w:r>
        <w:rPr>
          <w:noProof/>
          <w:lang w:eastAsia="bg-BG" w:bidi="bg-BG"/>
        </w:rPr>
        <w:t>3.2.4.</w:t>
      </w:r>
      <w:r>
        <w:rPr>
          <w:noProof/>
          <w:lang w:eastAsia="bg-BG" w:bidi="bg-BG"/>
        </w:rPr>
        <w:tab/>
        <w:t xml:space="preserve">Съвместимост с настоящата многогодишна финансова рамка </w:t>
      </w:r>
    </w:p>
    <w:p w:rsidR="005A6CB7" w:rsidRDefault="00C93832">
      <w:pPr>
        <w:pStyle w:val="ListDash1"/>
        <w:rPr>
          <w:noProof/>
          <w:lang w:val="bg-BG" w:eastAsia="bg-BG" w:bidi="bg-BG"/>
        </w:rPr>
      </w:pPr>
      <w:r>
        <w:rPr>
          <w:noProof/>
          <w:lang w:eastAsia="bg-BG" w:bidi="bg-BG"/>
        </w:rPr>
        <w:t>X</w:t>
      </w:r>
      <w:r>
        <w:rPr>
          <w:noProof/>
          <w:lang w:val="bg-BG" w:eastAsia="bg-BG" w:bidi="bg-BG"/>
        </w:rPr>
        <w:t xml:space="preserve"> Предложението/инициативата е съвместимо(а) с настоящата многогодишна финансова рамка.</w:t>
      </w:r>
    </w:p>
    <w:p w:rsidR="005A6CB7" w:rsidRDefault="00C93832">
      <w:pPr>
        <w:pStyle w:val="ManualHeading3"/>
        <w:rPr>
          <w:noProof/>
          <w:lang w:eastAsia="bg-BG" w:bidi="bg-BG"/>
        </w:rPr>
      </w:pPr>
      <w:r>
        <w:rPr>
          <w:noProof/>
          <w:lang w:eastAsia="bg-BG" w:bidi="bg-BG"/>
        </w:rPr>
        <w:t>3.2.5.</w:t>
      </w:r>
      <w:r>
        <w:rPr>
          <w:noProof/>
          <w:lang w:eastAsia="bg-BG" w:bidi="bg-BG"/>
        </w:rPr>
        <w:tab/>
        <w:t xml:space="preserve">Участие на трети страни във финансирането </w:t>
      </w:r>
    </w:p>
    <w:p w:rsidR="005A6CB7" w:rsidRDefault="00C93832">
      <w:pPr>
        <w:pStyle w:val="ListDash1"/>
        <w:rPr>
          <w:noProof/>
          <w:lang w:val="bg-BG" w:eastAsia="bg-BG" w:bidi="bg-BG"/>
        </w:rPr>
      </w:pPr>
      <w:r>
        <w:rPr>
          <w:noProof/>
          <w:lang w:eastAsia="bg-BG" w:bidi="bg-BG"/>
        </w:rPr>
        <w:t>X</w:t>
      </w:r>
      <w:r>
        <w:rPr>
          <w:noProof/>
          <w:lang w:val="bg-BG" w:eastAsia="bg-BG" w:bidi="bg-BG"/>
        </w:rPr>
        <w:t xml:space="preserve"> Предложението/иници</w:t>
      </w:r>
      <w:r>
        <w:rPr>
          <w:noProof/>
          <w:lang w:val="bg-BG" w:eastAsia="bg-BG" w:bidi="bg-BG"/>
        </w:rPr>
        <w:t xml:space="preserve">ативата не предвижда съфинансиране от трети страни. </w:t>
      </w:r>
    </w:p>
    <w:p w:rsidR="005A6CB7" w:rsidRDefault="00C93832">
      <w:pPr>
        <w:pStyle w:val="ManualHeading2"/>
        <w:rPr>
          <w:noProof/>
          <w:lang w:eastAsia="bg-BG" w:bidi="bg-BG"/>
        </w:rPr>
      </w:pPr>
      <w:r>
        <w:rPr>
          <w:noProof/>
          <w:lang w:eastAsia="bg-BG" w:bidi="bg-BG"/>
        </w:rPr>
        <w:t>3.3.</w:t>
      </w:r>
      <w:r>
        <w:rPr>
          <w:noProof/>
          <w:lang w:eastAsia="bg-BG" w:bidi="bg-BG"/>
        </w:rPr>
        <w:tab/>
        <w:t xml:space="preserve">Очаквано отражение върху приходите </w:t>
      </w:r>
    </w:p>
    <w:p w:rsidR="005A6CB7" w:rsidRDefault="00C93832">
      <w:pPr>
        <w:pStyle w:val="Text1"/>
        <w:rPr>
          <w:noProof/>
          <w:lang w:eastAsia="bg-BG" w:bidi="bg-BG"/>
        </w:rPr>
      </w:pPr>
      <w:r>
        <w:rPr>
          <w:noProof/>
          <w:lang w:eastAsia="bg-BG" w:bidi="bg-BG"/>
        </w:rPr>
        <w:t>X</w:t>
      </w:r>
      <w:r>
        <w:rPr>
          <w:noProof/>
          <w:lang w:eastAsia="bg-BG" w:bidi="bg-BG"/>
        </w:rPr>
        <w:tab/>
        <w:t>Предложението/инициативата няма финансово отражение върху приходите.</w:t>
      </w:r>
    </w:p>
    <w:sectPr w:rsidR="005A6CB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B7" w:rsidRDefault="00C93832">
      <w:pPr>
        <w:spacing w:before="0" w:after="0"/>
      </w:pPr>
      <w:r>
        <w:separator/>
      </w:r>
    </w:p>
  </w:endnote>
  <w:endnote w:type="continuationSeparator" w:id="0">
    <w:p w:rsidR="005A6CB7" w:rsidRDefault="00C938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C93832">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C93832">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w:instrText>
    </w:r>
    <w:r>
      <w:instrText xml:space="preserve">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C93832">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C93832">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B7" w:rsidRDefault="00C93832">
      <w:pPr>
        <w:spacing w:before="0" w:after="0"/>
      </w:pPr>
      <w:r>
        <w:separator/>
      </w:r>
    </w:p>
  </w:footnote>
  <w:footnote w:type="continuationSeparator" w:id="0">
    <w:p w:rsidR="005A6CB7" w:rsidRDefault="00C93832">
      <w:pPr>
        <w:spacing w:before="0" w:after="0"/>
      </w:pPr>
      <w:r>
        <w:continuationSeparator/>
      </w:r>
    </w:p>
  </w:footnote>
  <w:footnote w:id="1">
    <w:p w:rsidR="005A6CB7" w:rsidRDefault="00C93832">
      <w:pPr>
        <w:pStyle w:val="FootnoteText"/>
      </w:pPr>
      <w:r>
        <w:rPr>
          <w:rStyle w:val="FootnoteReference"/>
        </w:rPr>
        <w:footnoteRef/>
      </w:r>
      <w:r>
        <w:tab/>
        <w:t>ОВ L 151, 21.5.2014 г., стр. 9.</w:t>
      </w:r>
    </w:p>
  </w:footnote>
  <w:footnote w:id="2">
    <w:p w:rsidR="005A6CB7" w:rsidRDefault="00C93832">
      <w:pPr>
        <w:pStyle w:val="FootnoteText"/>
      </w:pPr>
      <w:r>
        <w:rPr>
          <w:rStyle w:val="FootnoteReference"/>
        </w:rPr>
        <w:footnoteRef/>
      </w:r>
      <w:r>
        <w:tab/>
        <w:t>ОВ C […], […] г., стр. […].</w:t>
      </w:r>
    </w:p>
  </w:footnote>
  <w:footnote w:id="3">
    <w:p w:rsidR="005A6CB7" w:rsidRDefault="00C93832">
      <w:pPr>
        <w:pStyle w:val="FootnoteText"/>
      </w:pPr>
      <w:r>
        <w:rPr>
          <w:rStyle w:val="FootnoteReference"/>
        </w:rPr>
        <w:footnoteRef/>
      </w:r>
      <w:r>
        <w:tab/>
        <w:t>Становище на Европейс</w:t>
      </w:r>
      <w:r>
        <w:t>кия парламент от... и Решение на Съвета от…</w:t>
      </w:r>
    </w:p>
  </w:footnote>
  <w:footnote w:id="4">
    <w:p w:rsidR="005A6CB7" w:rsidRDefault="00C93832">
      <w:pPr>
        <w:pStyle w:val="FootnoteText"/>
      </w:pPr>
      <w:r>
        <w:rPr>
          <w:rStyle w:val="FootnoteReference"/>
        </w:rPr>
        <w:footnoteRef/>
      </w:r>
      <w:r>
        <w:tab/>
        <w:t>Решение № 534/2014/ЕС на Европейския парламент и на Съвета от 15 май 2014 г. за предоставяне на макрофинансова помощ на Република Тунис (ОВ L 151, 21.5.2014 г., стр. 9).</w:t>
      </w:r>
    </w:p>
  </w:footnote>
  <w:footnote w:id="5">
    <w:p w:rsidR="005A6CB7" w:rsidRDefault="00C93832">
      <w:pPr>
        <w:pStyle w:val="FootnoteText"/>
      </w:pPr>
      <w:r>
        <w:rPr>
          <w:rStyle w:val="FootnoteReference"/>
        </w:rPr>
        <w:footnoteRef/>
      </w:r>
      <w:r>
        <w:tab/>
        <w:t>Регламент (ЕС) № 182/2011 на Европейск</w:t>
      </w:r>
      <w:r>
        <w:t>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w:t>
      </w:r>
      <w:r>
        <w:t>тр. 13).</w:t>
      </w:r>
    </w:p>
  </w:footnote>
  <w:footnote w:id="6">
    <w:p w:rsidR="005A6CB7" w:rsidRDefault="00C93832">
      <w:pPr>
        <w:pStyle w:val="FootnoteText"/>
        <w:rPr>
          <w:lang w:val="ru-RU"/>
        </w:rPr>
      </w:pPr>
      <w:r>
        <w:rPr>
          <w:rStyle w:val="FootnoteReference"/>
        </w:rPr>
        <w:footnoteRef/>
      </w:r>
      <w:r>
        <w:rPr>
          <w:lang w:val="ru-RU"/>
        </w:rPr>
        <w:tab/>
        <w:t>Решение 2010/427/ЕС на Съвета от 26 юли 2010</w:t>
      </w:r>
      <w:r>
        <w:t> </w:t>
      </w:r>
      <w:r>
        <w:rPr>
          <w:lang w:val="ru-RU"/>
        </w:rPr>
        <w:t xml:space="preserve">г. за определяне на организацията и функционирането на Европейската служба за външна дейност (ОВ </w:t>
      </w:r>
      <w:r>
        <w:t>L</w:t>
      </w:r>
      <w:r>
        <w:rPr>
          <w:lang w:val="ru-RU"/>
        </w:rPr>
        <w:t xml:space="preserve"> 201, 3.8.2010 г., стр. 30).</w:t>
      </w:r>
    </w:p>
  </w:footnote>
  <w:footnote w:id="7">
    <w:p w:rsidR="005A6CB7" w:rsidRDefault="00C93832">
      <w:pPr>
        <w:pStyle w:val="FootnoteText"/>
        <w:rPr>
          <w:lang w:val="ru-RU"/>
        </w:rPr>
      </w:pPr>
      <w:r>
        <w:rPr>
          <w:rStyle w:val="FootnoteReference"/>
        </w:rPr>
        <w:footnoteRef/>
      </w:r>
      <w:r>
        <w:rPr>
          <w:lang w:val="ru-RU"/>
        </w:rPr>
        <w:tab/>
        <w:t>Регламент (ЕО, Евратом) № 480/2009 на Съвета от 25 май 2009</w:t>
      </w:r>
      <w:r>
        <w:t> </w:t>
      </w:r>
      <w:r>
        <w:rPr>
          <w:lang w:val="ru-RU"/>
        </w:rPr>
        <w:t xml:space="preserve">г. относно </w:t>
      </w:r>
      <w:r>
        <w:rPr>
          <w:lang w:val="ru-RU"/>
        </w:rPr>
        <w:t>създаване на Гаранционен фонд за външни дейности (ОВ</w:t>
      </w:r>
      <w:r>
        <w:t> L </w:t>
      </w:r>
      <w:r>
        <w:rPr>
          <w:lang w:val="ru-RU"/>
        </w:rPr>
        <w:t>145, 10.6.2009</w:t>
      </w:r>
      <w:r>
        <w:t> </w:t>
      </w:r>
      <w:r>
        <w:rPr>
          <w:lang w:val="ru-RU"/>
        </w:rPr>
        <w:t>г., стр.</w:t>
      </w:r>
      <w:r>
        <w:t> </w:t>
      </w:r>
      <w:r>
        <w:rPr>
          <w:lang w:val="ru-RU"/>
        </w:rPr>
        <w:t>10).</w:t>
      </w:r>
    </w:p>
  </w:footnote>
  <w:footnote w:id="8">
    <w:p w:rsidR="005A6CB7" w:rsidRDefault="00C93832">
      <w:pPr>
        <w:pStyle w:val="FootnoteText"/>
        <w:rPr>
          <w:lang w:val="ru-RU"/>
        </w:rPr>
      </w:pPr>
      <w:r>
        <w:rPr>
          <w:rStyle w:val="FootnoteReference"/>
        </w:rPr>
        <w:footnoteRef/>
      </w:r>
      <w:r>
        <w:rPr>
          <w:lang w:val="ru-RU"/>
        </w:rPr>
        <w:tab/>
        <w:t>Регламент (ЕС, Евратом) №</w:t>
      </w:r>
      <w:r>
        <w:t> </w:t>
      </w:r>
      <w:r>
        <w:rPr>
          <w:lang w:val="ru-RU"/>
        </w:rPr>
        <w:t>966/2012 на Европейския парламент и на Съвета от 25 октомври 2012</w:t>
      </w:r>
      <w:r>
        <w:t> </w:t>
      </w:r>
      <w:r>
        <w:rPr>
          <w:lang w:val="ru-RU"/>
        </w:rPr>
        <w:t>г. относно финансовите правила, приложими за общия бюджет на Съюза, и за отмян</w:t>
      </w:r>
      <w:r>
        <w:rPr>
          <w:lang w:val="ru-RU"/>
        </w:rPr>
        <w:t>а на Регламент (ЕО, Евратом) №</w:t>
      </w:r>
      <w:r>
        <w:t> </w:t>
      </w:r>
      <w:r>
        <w:rPr>
          <w:lang w:val="ru-RU"/>
        </w:rPr>
        <w:t xml:space="preserve">1605/2002 на Съвета </w:t>
      </w:r>
      <w:r>
        <w:rPr>
          <w:rStyle w:val="Emphasis"/>
          <w:i w:val="0"/>
          <w:lang w:val="ru-RU"/>
        </w:rPr>
        <w:t xml:space="preserve">(ОВ </w:t>
      </w:r>
      <w:r>
        <w:rPr>
          <w:rStyle w:val="Emphasis"/>
          <w:i w:val="0"/>
        </w:rPr>
        <w:t>L</w:t>
      </w:r>
      <w:r>
        <w:rPr>
          <w:rStyle w:val="Emphasis"/>
          <w:i w:val="0"/>
          <w:lang w:val="ru-RU"/>
        </w:rPr>
        <w:t xml:space="preserve"> 298, 26.10.2012 г., стр. 1).</w:t>
      </w:r>
    </w:p>
  </w:footnote>
  <w:footnote w:id="9">
    <w:p w:rsidR="005A6CB7" w:rsidRDefault="00C93832">
      <w:pPr>
        <w:pStyle w:val="FootnoteText"/>
        <w:rPr>
          <w:lang w:val="ru-RU"/>
        </w:rPr>
      </w:pPr>
      <w:r>
        <w:rPr>
          <w:rStyle w:val="FootnoteReference"/>
        </w:rPr>
        <w:footnoteRef/>
      </w:r>
      <w:r>
        <w:rPr>
          <w:lang w:val="ru-RU"/>
        </w:rPr>
        <w:tab/>
        <w:t>Делегиран регламент (ЕС) №</w:t>
      </w:r>
      <w:r>
        <w:t> </w:t>
      </w:r>
      <w:r>
        <w:rPr>
          <w:lang w:val="ru-RU"/>
        </w:rPr>
        <w:t xml:space="preserve">1268/2012 на Комисията от 29 октомври 2012 г. относно правилата за прилагане на Регламент (ЕС, Евратом) № 966/2012 </w:t>
      </w:r>
      <w:r>
        <w:t>на Европейския парламент и</w:t>
      </w:r>
      <w:r>
        <w:t xml:space="preserve"> на Съвета </w:t>
      </w:r>
      <w:r>
        <w:rPr>
          <w:lang w:val="ru-RU"/>
        </w:rPr>
        <w:t xml:space="preserve">относно финансовите правила, приложими за общия бюджет на Съюза (ОВ </w:t>
      </w:r>
      <w:r>
        <w:t>L</w:t>
      </w:r>
      <w:r>
        <w:rPr>
          <w:lang w:val="ru-RU"/>
        </w:rPr>
        <w:t xml:space="preserve"> 362, 31.12.2012</w:t>
      </w:r>
      <w:r>
        <w:rPr>
          <w:lang w:val="fr-FR"/>
        </w:rPr>
        <w:t> </w:t>
      </w:r>
      <w:r>
        <w:rPr>
          <w:lang w:val="ru-RU"/>
        </w:rPr>
        <w:t>г., стр. 1).</w:t>
      </w:r>
    </w:p>
  </w:footnote>
  <w:footnote w:id="10">
    <w:p w:rsidR="005A6CB7" w:rsidRDefault="00C93832">
      <w:pPr>
        <w:pStyle w:val="FootnoteText"/>
        <w:rPr>
          <w:lang w:val="ru-RU"/>
        </w:rPr>
      </w:pPr>
      <w:r>
        <w:rPr>
          <w:rStyle w:val="FootnoteReference"/>
        </w:rPr>
        <w:footnoteRef/>
      </w:r>
      <w:r>
        <w:rPr>
          <w:lang w:val="ru-RU"/>
        </w:rPr>
        <w:tab/>
        <w:t>Регламент (ЕО, Евратом) №</w:t>
      </w:r>
      <w:r>
        <w:t> </w:t>
      </w:r>
      <w:r>
        <w:rPr>
          <w:lang w:val="ru-RU"/>
        </w:rPr>
        <w:t>2988/95 на Съвета от 18 декември 1995</w:t>
      </w:r>
      <w:r>
        <w:t> </w:t>
      </w:r>
      <w:r>
        <w:rPr>
          <w:lang w:val="ru-RU"/>
        </w:rPr>
        <w:t xml:space="preserve">г. относно защитата на финансовите интереси на Европейските общности (ОВ </w:t>
      </w:r>
      <w:r>
        <w:t>L</w:t>
      </w:r>
      <w:r>
        <w:rPr>
          <w:lang w:val="ru-RU"/>
        </w:rPr>
        <w:t xml:space="preserve"> 312, </w:t>
      </w:r>
      <w:r>
        <w:rPr>
          <w:lang w:val="ru-RU"/>
        </w:rPr>
        <w:t>23.12.1995</w:t>
      </w:r>
      <w:r>
        <w:t> </w:t>
      </w:r>
      <w:r>
        <w:rPr>
          <w:lang w:val="ru-RU"/>
        </w:rPr>
        <w:t>г., стр.</w:t>
      </w:r>
      <w:r>
        <w:t> </w:t>
      </w:r>
      <w:r>
        <w:rPr>
          <w:lang w:val="ru-RU"/>
        </w:rPr>
        <w:t>1).</w:t>
      </w:r>
    </w:p>
  </w:footnote>
  <w:footnote w:id="11">
    <w:p w:rsidR="005A6CB7" w:rsidRDefault="00C93832">
      <w:pPr>
        <w:pStyle w:val="FootnoteText"/>
        <w:rPr>
          <w:lang w:val="ru-RU"/>
        </w:rPr>
      </w:pPr>
      <w:r>
        <w:rPr>
          <w:rStyle w:val="FootnoteReference"/>
        </w:rPr>
        <w:footnoteRef/>
      </w:r>
      <w:r>
        <w:rPr>
          <w:lang w:val="ru-RU"/>
        </w:rPr>
        <w:tab/>
        <w:t>Регламент (Евратом, ЕО) №</w:t>
      </w:r>
      <w:r>
        <w:t> </w:t>
      </w:r>
      <w:r>
        <w:rPr>
          <w:lang w:val="ru-RU"/>
        </w:rPr>
        <w:t>2185/96 на Съвета от 11</w:t>
      </w:r>
      <w:r>
        <w:t> </w:t>
      </w:r>
      <w:r>
        <w:rPr>
          <w:lang w:val="ru-RU"/>
        </w:rPr>
        <w:t xml:space="preserve">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w:t>
      </w:r>
      <w:r>
        <w:t>L</w:t>
      </w:r>
      <w:r>
        <w:rPr>
          <w:lang w:val="ru-RU"/>
        </w:rPr>
        <w:t xml:space="preserve"> 292</w:t>
      </w:r>
      <w:r>
        <w:rPr>
          <w:lang w:val="ru-RU"/>
        </w:rPr>
        <w:t>, 15.11.1996</w:t>
      </w:r>
      <w:r>
        <w:t> </w:t>
      </w:r>
      <w:r>
        <w:rPr>
          <w:lang w:val="ru-RU"/>
        </w:rPr>
        <w:t>г., стр. 2).</w:t>
      </w:r>
    </w:p>
  </w:footnote>
  <w:footnote w:id="12">
    <w:p w:rsidR="005A6CB7" w:rsidRDefault="00C93832">
      <w:pPr>
        <w:pStyle w:val="FootnoteText"/>
      </w:pPr>
      <w:r>
        <w:rPr>
          <w:rStyle w:val="FootnoteReference"/>
        </w:rPr>
        <w:footnoteRef/>
      </w:r>
      <w:r>
        <w:rPr>
          <w:lang w:val="ru-RU"/>
        </w:rPr>
        <w:tab/>
        <w:t>Регламент (ЕС, Евратом) № 883/2013 на Европейския парламент и на Съвета от 11 септември 2013</w:t>
      </w:r>
      <w:r>
        <w:t> </w:t>
      </w:r>
      <w:r>
        <w:rPr>
          <w:lang w:val="ru-RU"/>
        </w:rPr>
        <w:t>г</w:t>
      </w:r>
      <w:r>
        <w:t>.</w:t>
      </w:r>
      <w:r>
        <w:rPr>
          <w:lang w:val="ru-RU"/>
        </w:rPr>
        <w:t xml:space="preserve"> </w:t>
      </w:r>
      <w:r>
        <w:t>относно разследванията, провеждани от Европейската служба за борба с измамите (OLAF), и за отмяна на Регламент (ЕО) № 1073/1999 на Е</w:t>
      </w:r>
      <w:r>
        <w:t>вропейския парламент и на Съвета и Регламент (Евратом) № 1074/1999 на Съвета (ОВ L 248, 18.9.2013 г., стр. 1).</w:t>
      </w:r>
    </w:p>
  </w:footnote>
  <w:footnote w:id="13">
    <w:p w:rsidR="005A6CB7" w:rsidRDefault="00C93832">
      <w:pPr>
        <w:pStyle w:val="FootnoteText"/>
        <w:rPr>
          <w:lang w:val="ru-RU"/>
        </w:rPr>
      </w:pPr>
      <w:r>
        <w:rPr>
          <w:rStyle w:val="FootnoteReference"/>
        </w:rPr>
        <w:footnoteRef/>
      </w:r>
      <w:r>
        <w:rPr>
          <w:lang w:val="ru-RU"/>
        </w:rPr>
        <w:tab/>
        <w:t>УД: управление по дейности; БД: бюджетиране по дейности.</w:t>
      </w:r>
    </w:p>
  </w:footnote>
  <w:footnote w:id="14">
    <w:p w:rsidR="005A6CB7" w:rsidRDefault="00C93832">
      <w:pPr>
        <w:pStyle w:val="FootnoteText"/>
        <w:rPr>
          <w:lang w:val="ru-RU"/>
        </w:rPr>
      </w:pPr>
      <w:r>
        <w:rPr>
          <w:rStyle w:val="FootnoteReference"/>
        </w:rPr>
        <w:footnoteRef/>
      </w:r>
      <w:r>
        <w:rPr>
          <w:lang w:val="ru-RU"/>
        </w:rPr>
        <w:tab/>
        <w:t xml:space="preserve">Подробна информация за методите на управление и позовавания на Финансовия регламент </w:t>
      </w:r>
      <w:r>
        <w:rPr>
          <w:lang w:val="ru-RU"/>
        </w:rPr>
        <w:t xml:space="preserve">могат да бъдат намерени на уебсайта </w:t>
      </w:r>
      <w:r>
        <w:t>BudgWeb</w:t>
      </w:r>
      <w:r>
        <w:rPr>
          <w:lang w:val="ru-RU"/>
        </w:rPr>
        <w:t xml:space="preserve">: </w:t>
      </w:r>
      <w:hyperlink r:id="rId1">
        <w:r>
          <w:rPr>
            <w:rStyle w:val="Hyperlink"/>
            <w:noProof/>
            <w:sz w:val="18"/>
          </w:rPr>
          <w:t>http</w:t>
        </w:r>
        <w:r>
          <w:rPr>
            <w:rStyle w:val="Hyperlink"/>
            <w:noProof/>
            <w:sz w:val="18"/>
            <w:lang w:val="ru-RU"/>
          </w:rPr>
          <w:t>://</w:t>
        </w:r>
        <w:r>
          <w:rPr>
            <w:rStyle w:val="Hyperlink"/>
            <w:noProof/>
            <w:sz w:val="18"/>
          </w:rPr>
          <w:t>www</w:t>
        </w:r>
        <w:r>
          <w:rPr>
            <w:rStyle w:val="Hyperlink"/>
            <w:noProof/>
            <w:sz w:val="18"/>
            <w:lang w:val="ru-RU"/>
          </w:rPr>
          <w:t>.</w:t>
        </w:r>
        <w:r>
          <w:rPr>
            <w:rStyle w:val="Hyperlink"/>
            <w:noProof/>
            <w:sz w:val="18"/>
          </w:rPr>
          <w:t>cc</w:t>
        </w:r>
        <w:r>
          <w:rPr>
            <w:rStyle w:val="Hyperlink"/>
            <w:noProof/>
            <w:sz w:val="18"/>
            <w:lang w:val="ru-RU"/>
          </w:rPr>
          <w:t>.</w:t>
        </w:r>
        <w:r>
          <w:rPr>
            <w:rStyle w:val="Hyperlink"/>
            <w:noProof/>
            <w:sz w:val="18"/>
          </w:rPr>
          <w:t>cec</w:t>
        </w:r>
        <w:r>
          <w:rPr>
            <w:rStyle w:val="Hyperlink"/>
            <w:noProof/>
            <w:sz w:val="18"/>
            <w:lang w:val="ru-RU"/>
          </w:rPr>
          <w:t>/</w:t>
        </w:r>
        <w:r>
          <w:rPr>
            <w:rStyle w:val="Hyperlink"/>
            <w:noProof/>
            <w:sz w:val="18"/>
          </w:rPr>
          <w:t>budg</w:t>
        </w:r>
        <w:r>
          <w:rPr>
            <w:rStyle w:val="Hyperlink"/>
            <w:noProof/>
            <w:sz w:val="18"/>
            <w:lang w:val="ru-RU"/>
          </w:rPr>
          <w:t>/</w:t>
        </w:r>
        <w:r>
          <w:rPr>
            <w:rStyle w:val="Hyperlink"/>
            <w:noProof/>
            <w:sz w:val="18"/>
          </w:rPr>
          <w:t>man</w:t>
        </w:r>
        <w:r>
          <w:rPr>
            <w:rStyle w:val="Hyperlink"/>
            <w:noProof/>
            <w:sz w:val="18"/>
            <w:lang w:val="ru-RU"/>
          </w:rPr>
          <w:t>/</w:t>
        </w:r>
        <w:r>
          <w:rPr>
            <w:rStyle w:val="Hyperlink"/>
            <w:noProof/>
            <w:sz w:val="18"/>
          </w:rPr>
          <w:t>budgmanag</w:t>
        </w:r>
        <w:r>
          <w:rPr>
            <w:rStyle w:val="Hyperlink"/>
            <w:noProof/>
            <w:sz w:val="18"/>
            <w:lang w:val="ru-RU"/>
          </w:rPr>
          <w:t>/</w:t>
        </w:r>
        <w:r>
          <w:rPr>
            <w:rStyle w:val="Hyperlink"/>
            <w:noProof/>
            <w:sz w:val="18"/>
          </w:rPr>
          <w:t>budgmanag</w:t>
        </w:r>
        <w:r>
          <w:rPr>
            <w:rStyle w:val="Hyperlink"/>
            <w:noProof/>
            <w:sz w:val="18"/>
            <w:lang w:val="ru-RU"/>
          </w:rPr>
          <w:t>_</w:t>
        </w:r>
        <w:r>
          <w:rPr>
            <w:rStyle w:val="Hyperlink"/>
            <w:noProof/>
            <w:sz w:val="18"/>
          </w:rPr>
          <w:t>fr</w:t>
        </w:r>
        <w:r>
          <w:rPr>
            <w:rStyle w:val="Hyperlink"/>
            <w:noProof/>
            <w:sz w:val="18"/>
            <w:lang w:val="ru-RU"/>
          </w:rPr>
          <w:t>.</w:t>
        </w:r>
        <w:r>
          <w:rPr>
            <w:rStyle w:val="Hyperlink"/>
            <w:noProof/>
            <w:sz w:val="18"/>
          </w:rPr>
          <w:t>html</w:t>
        </w:r>
      </w:hyperlink>
    </w:p>
  </w:footnote>
  <w:footnote w:id="15">
    <w:p w:rsidR="005A6CB7" w:rsidRDefault="00C93832">
      <w:pPr>
        <w:pStyle w:val="FootnoteText"/>
        <w:rPr>
          <w:lang w:val="ru-RU"/>
        </w:rPr>
      </w:pPr>
      <w:r>
        <w:rPr>
          <w:rStyle w:val="FootnoteReference"/>
        </w:rPr>
        <w:footnoteRef/>
      </w:r>
      <w:r>
        <w:rPr>
          <w:lang w:val="ru-RU"/>
        </w:rPr>
        <w:tab/>
        <w:t>МБК = многогодишни бюджетни кредити / ЕБК = едногодишни бюджетни кредити.</w:t>
      </w:r>
    </w:p>
  </w:footnote>
  <w:footnote w:id="16">
    <w:p w:rsidR="005A6CB7" w:rsidRDefault="00C93832">
      <w:pPr>
        <w:pStyle w:val="FootnoteText"/>
        <w:rPr>
          <w:lang w:val="ru-RU"/>
        </w:rPr>
      </w:pPr>
      <w:r>
        <w:rPr>
          <w:rStyle w:val="FootnoteReference"/>
        </w:rPr>
        <w:footnoteRef/>
      </w:r>
      <w:r>
        <w:rPr>
          <w:lang w:val="ru-RU"/>
        </w:rPr>
        <w:tab/>
      </w:r>
      <w:r>
        <w:rPr>
          <w:lang w:val="ru-RU"/>
        </w:rPr>
        <w:t xml:space="preserve">ЕАСТ: Европейска асоциация за свободна търговия. </w:t>
      </w:r>
    </w:p>
  </w:footnote>
  <w:footnote w:id="17">
    <w:p w:rsidR="005A6CB7" w:rsidRDefault="00C93832">
      <w:pPr>
        <w:pStyle w:val="FootnoteText"/>
        <w:rPr>
          <w:lang w:val="ru-RU"/>
        </w:rPr>
      </w:pPr>
      <w:r>
        <w:rPr>
          <w:rStyle w:val="FootnoteReference"/>
        </w:rPr>
        <w:footnoteRef/>
      </w:r>
      <w:r>
        <w:rPr>
          <w:lang w:val="ru-RU"/>
        </w:rPr>
        <w:tab/>
        <w:t>Държави кандидатки и ако е приложимо, държави — потенциални кандидатки от Западните Балкани.</w:t>
      </w:r>
    </w:p>
  </w:footnote>
  <w:footnote w:id="18">
    <w:p w:rsidR="005A6CB7" w:rsidRDefault="00C93832">
      <w:pPr>
        <w:pStyle w:val="FootnoteText"/>
        <w:rPr>
          <w:lang w:val="ru-RU"/>
        </w:rPr>
      </w:pPr>
      <w:r>
        <w:rPr>
          <w:rStyle w:val="FootnoteReference"/>
        </w:rPr>
        <w:footnoteRef/>
      </w:r>
      <w:r>
        <w:rPr>
          <w:lang w:val="ru-RU"/>
        </w:rPr>
        <w:tab/>
        <w:t>Годината, през която започва изпълнението на предложението/инициативата.</w:t>
      </w:r>
    </w:p>
  </w:footnote>
  <w:footnote w:id="19">
    <w:p w:rsidR="005A6CB7" w:rsidRDefault="00C93832">
      <w:pPr>
        <w:pStyle w:val="FootnoteText"/>
        <w:rPr>
          <w:lang w:val="ru-RU"/>
        </w:rPr>
      </w:pPr>
      <w:r>
        <w:rPr>
          <w:rStyle w:val="FootnoteReference"/>
        </w:rPr>
        <w:footnoteRef/>
      </w:r>
      <w:r>
        <w:rPr>
          <w:lang w:val="ru-RU"/>
        </w:rPr>
        <w:tab/>
        <w:t>Техническа и/или административна п</w:t>
      </w:r>
      <w:r>
        <w:rPr>
          <w:lang w:val="ru-RU"/>
        </w:rPr>
        <w:t xml:space="preserve">омощ и разходи в подкрепа на изпълнението на програми и/или дейности на ЕС (предишни редове </w:t>
      </w:r>
      <w:r>
        <w:t>BA</w:t>
      </w:r>
      <w:r>
        <w:rPr>
          <w:lang w:val="ru-RU"/>
        </w:rPr>
        <w:t>), непреки научни изследвания, преки научни изследвания.</w:t>
      </w:r>
    </w:p>
  </w:footnote>
  <w:footnote w:id="20">
    <w:p w:rsidR="005A6CB7" w:rsidRDefault="00C93832">
      <w:pPr>
        <w:pStyle w:val="FootnoteText"/>
        <w:rPr>
          <w:lang w:val="ru-RU"/>
        </w:rPr>
      </w:pPr>
      <w:r>
        <w:rPr>
          <w:rStyle w:val="FootnoteReference"/>
        </w:rPr>
        <w:footnoteRef/>
      </w:r>
      <w:r>
        <w:rPr>
          <w:lang w:val="ru-RU"/>
        </w:rPr>
        <w:tab/>
        <w:t>Годината, през която започва изпълнението на предложението.</w:t>
      </w:r>
    </w:p>
  </w:footnote>
  <w:footnote w:id="21">
    <w:p w:rsidR="005A6CB7" w:rsidRDefault="00C93832">
      <w:pPr>
        <w:pStyle w:val="FootnoteText"/>
        <w:rPr>
          <w:lang w:val="ru-RU"/>
        </w:rPr>
      </w:pPr>
      <w:r>
        <w:rPr>
          <w:rStyle w:val="FootnoteReference"/>
        </w:rPr>
        <w:footnoteRef/>
      </w:r>
      <w:r>
        <w:rPr>
          <w:lang w:val="ru-RU"/>
        </w:rPr>
        <w:tab/>
        <w:t>Годината, през която започва изпълнението</w:t>
      </w:r>
      <w:r>
        <w:rPr>
          <w:lang w:val="ru-RU"/>
        </w:rPr>
        <w:t xml:space="preserve"> на предложението/инициативата.</w:t>
      </w:r>
    </w:p>
  </w:footnote>
  <w:footnote w:id="22">
    <w:p w:rsidR="005A6CB7" w:rsidRDefault="00C93832">
      <w:pPr>
        <w:pStyle w:val="FootnoteText"/>
        <w:rPr>
          <w:lang w:val="ru-RU"/>
        </w:rPr>
      </w:pPr>
      <w:r>
        <w:rPr>
          <w:rStyle w:val="FootnoteReference"/>
        </w:rPr>
        <w:footnoteRef/>
      </w:r>
      <w:r>
        <w:rPr>
          <w:lang w:val="ru-RU"/>
        </w:rPr>
        <w:tab/>
        <w:t xml:space="preserve">Техническа и/или административна помощ и разходи в подкрепа на изпълнението на програми и/или дейности на ЕС (предишни редове </w:t>
      </w:r>
      <w:r>
        <w:t>BA</w:t>
      </w:r>
      <w:r>
        <w:rPr>
          <w:lang w:val="ru-RU"/>
        </w:rPr>
        <w:t>), непреки научни изследвания, преки научни изследвания.</w:t>
      </w:r>
    </w:p>
  </w:footnote>
  <w:footnote w:id="23">
    <w:p w:rsidR="005A6CB7" w:rsidRDefault="00C93832">
      <w:pPr>
        <w:pStyle w:val="FootnoteText"/>
        <w:rPr>
          <w:lang w:val="ru-RU"/>
        </w:rPr>
      </w:pPr>
      <w:r>
        <w:rPr>
          <w:rStyle w:val="FootnoteReference"/>
        </w:rPr>
        <w:footnoteRef/>
      </w:r>
      <w:r>
        <w:rPr>
          <w:lang w:val="ru-RU"/>
        </w:rPr>
        <w:tab/>
        <w:t>ДНП = договорно нает персонал; МП =</w:t>
      </w:r>
      <w:r>
        <w:rPr>
          <w:lang w:val="ru-RU"/>
        </w:rPr>
        <w:t xml:space="preserve">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4">
    <w:p w:rsidR="005A6CB7" w:rsidRDefault="00C93832">
      <w:pPr>
        <w:pStyle w:val="FootnoteText"/>
        <w:rPr>
          <w:lang w:val="ru-RU"/>
        </w:rPr>
      </w:pPr>
      <w:r>
        <w:rPr>
          <w:rStyle w:val="FootnoteReference"/>
        </w:rPr>
        <w:footnoteRef/>
      </w:r>
      <w:r>
        <w:rPr>
          <w:lang w:val="ru-RU"/>
        </w:rPr>
        <w:tab/>
        <w:t xml:space="preserve">Подтаван за външния персонал, покрит с бюджетните кредити за оперативни разходи (предишни редове </w:t>
      </w:r>
      <w:r>
        <w:t>BA</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7" w:rsidRDefault="005A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1">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1">
    <w:nsid w:val="4D0C058A"/>
    <w:multiLevelType w:val="singleLevel"/>
    <w:tmpl w:val="F2429892"/>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2B5511"/>
    <w:multiLevelType w:val="singleLevel"/>
    <w:tmpl w:val="74A09970"/>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19">
    <w:nsid w:val="711167E2"/>
    <w:multiLevelType w:val="multilevel"/>
    <w:tmpl w:val="C3843A7A"/>
    <w:name w:val="0.6705853"/>
    <w:lvl w:ilvl="0">
      <w:start w:val="1"/>
      <w:numFmt w:val="decimal"/>
      <w:lvlRestart w:val="0"/>
      <w:pStyle w:val="ListBullet2"/>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14F43CE"/>
    <w:multiLevelType w:val="hybridMultilevel"/>
    <w:tmpl w:val="E43A3F5A"/>
    <w:lvl w:ilvl="0" w:tplc="846A49E6">
      <w:start w:val="1"/>
      <w:numFmt w:val="bullet"/>
      <w:pStyle w:val="ListBullet3"/>
      <w:lvlText w:val="-"/>
      <w:lvlJc w:val="left"/>
      <w:pPr>
        <w:tabs>
          <w:tab w:val="num" w:pos="0"/>
        </w:tabs>
        <w:ind w:left="284" w:hanging="284"/>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0"/>
  </w:num>
  <w:num w:numId="3">
    <w:abstractNumId w:val="18"/>
  </w:num>
  <w:num w:numId="4">
    <w:abstractNumId w:val="0"/>
  </w:num>
  <w:num w:numId="5">
    <w:abstractNumId w:val="6"/>
  </w:num>
  <w:num w:numId="6">
    <w:abstractNumId w:val="11"/>
  </w:num>
  <w:num w:numId="7">
    <w:abstractNumId w:val="10"/>
  </w:num>
  <w:num w:numId="8">
    <w:abstractNumId w:val="1"/>
  </w:num>
  <w:num w:numId="9">
    <w:abstractNumId w:val="9"/>
    <w:lvlOverride w:ilvl="0">
      <w:startOverride w:val="1"/>
    </w:lvlOverride>
  </w:num>
  <w:num w:numId="10">
    <w:abstractNumId w:val="21"/>
    <w:lvlOverride w:ilvl="0">
      <w:startOverride w:val="1"/>
    </w:lvlOverride>
  </w:num>
  <w:num w:numId="11">
    <w:abstractNumId w:val="15"/>
  </w:num>
  <w:num w:numId="12">
    <w:abstractNumId w:val="7"/>
  </w:num>
  <w:num w:numId="13">
    <w:abstractNumId w:val="17"/>
  </w:num>
  <w:num w:numId="14">
    <w:abstractNumId w:val="5"/>
  </w:num>
  <w:num w:numId="15">
    <w:abstractNumId w:val="8"/>
  </w:num>
  <w:num w:numId="16">
    <w:abstractNumId w:val="3"/>
  </w:num>
  <w:num w:numId="17">
    <w:abstractNumId w:val="16"/>
  </w:num>
  <w:num w:numId="18">
    <w:abstractNumId w:val="2"/>
  </w:num>
  <w:num w:numId="19">
    <w:abstractNumId w:val="9"/>
  </w:num>
  <w:num w:numId="20">
    <w:abstractNumId w:val="13"/>
  </w:num>
  <w:num w:numId="21">
    <w:abstractNumId w:val="14"/>
  </w:num>
  <w:num w:numId="22">
    <w:abstractNumId w:val="4"/>
  </w:num>
  <w:num w:numId="23">
    <w:abstractNumId w:val="12"/>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12 10:59: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CFBB03762EE945358528A0F2CD35DE9E"/>
    <w:docVar w:name="LW_CROSSREFERENCE" w:val="{SWD(2016) 30 final}"/>
    <w:docVar w:name="LW_DocType" w:val="COM"/>
    <w:docVar w:name="LW_EMISSION" w:val="12.2.2016"/>
    <w:docVar w:name="LW_EMISSION_ISODATE" w:val="2016-02-12"/>
    <w:docVar w:name="LW_EMISSION_LOCATION" w:val="BRX"/>
    <w:docVar w:name="LW_EMISSION_PREFIX" w:val="Брюксел, "/>
    <w:docVar w:name="LW_EMISSION_SUFFIX" w:val=" \u1075?."/>
    <w:docVar w:name="LW_ID_DOCMODEL" w:val="SJ-025"/>
    <w:docVar w:name="LW_ID_DOCSIGNATURE" w:val="SJ-025"/>
    <w:docVar w:name="LW_ID_DOCSTRUCTURE" w:val="COM/PL/ORG"/>
    <w:docVar w:name="LW_ID_DOCTYPE" w:val="SJ-025"/>
    <w:docVar w:name="LW_ID_STATUT" w:val="SJ-025"/>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39"/>
    <w:docVar w:name="LW_REF.II.NEW.CP_YEAR" w:val="2016"/>
    <w:docVar w:name="LW_REF.INST.NEW" w:val="COM"/>
    <w:docVar w:name="LW_REF.INST.NEW_ADOPTED" w:val="final"/>
    <w:docVar w:name="LW_REF.INST.NEW_TEXT" w:val="(2016) 67"/>
    <w:docVar w:name="LW_REF.INTERNE" w:val="&lt;UNUSED&gt;"/>
    <w:docVar w:name="LW_SOUS.TITRE.OBJ.CP" w:val="&lt;UNUSED&gt;"/>
    <w:docVar w:name="LW_STATUT.CP" w:val="\u1055?\u1088?\u1077?\u1076?\u1083?\u1086?\u1078?\u1077?\u1085?\u1080?\u1077? \u1079?\u1072?"/>
    <w:docVar w:name="LW_SUPERTITRE" w:val="&lt;UNUSED&gt;"/>
    <w:docVar w:name="LW_TITRE.OBJ.CP" w:val="\u1079?\u1072? \u1087?\u1088?\u1077?\u1076?\u1086?\u1089?\u1090?\u1072?\u1074?\u1103?\u1085?\u1077? \u1085?\u1072? \u1076?\u1086?\u1087?\u1098?\u1083?\u1085?\u1080?\u1090?\u1077?\u1083?\u1085?\u1072? \u1084?\u1072?\u1082?\u1088?\u1086?\u1092?\u1080?\u1085?\u1072?\u1085?\u1089?\u1086?\u1074?\u1072? \u1087?\u1086?\u1084?\u1086?\u1097? \u1085?\u1072? \u1058?\u1091?\u1085?\u1080?\u1089?"/>
    <w:docVar w:name="LW_TYPE.DOC.CP" w:val="\u1056?\u1045?\u1064?\u1045?\u1053?\u1048?\u1045? \u1053?\u1040? \u1045?\u1042?\u1056?\u1054?\u1055?\u1045?\u1049?\u1057?\u1050?\u1048?\u1071? \u1055?\u1040?\u1056?\u1051?\u1040?\u1052?\u1045?\u1053?\u1058? \u1048? \u1053?\u1040? \u1057?\u1066?\u1042?\u1045?\u1058?\u1040?"/>
  </w:docVars>
  <w:rsids>
    <w:rsidRoot w:val="005A6CB7"/>
    <w:rsid w:val="005A6CB7"/>
    <w:rsid w:val="00C9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en-GB" w:eastAsia="en-US"/>
    </w:rPr>
  </w:style>
  <w:style w:type="character" w:customStyle="1" w:styleId="st1">
    <w:name w:val="st1"/>
  </w:style>
  <w:style w:type="paragraph" w:styleId="ListBullet">
    <w:name w:val="List Bullet"/>
    <w:basedOn w:val="Normal"/>
    <w:uiPriority w:val="99"/>
    <w:pPr>
      <w:tabs>
        <w:tab w:val="num" w:pos="283"/>
        <w:tab w:val="num" w:pos="1417"/>
      </w:tabs>
      <w:ind w:left="283" w:hanging="283"/>
    </w:pPr>
    <w:rPr>
      <w:lang w:eastAsia="de-DE"/>
    </w:r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x-none" w:eastAsia="en-US"/>
    </w:rPr>
  </w:style>
  <w:style w:type="paragraph" w:styleId="NormalIndent">
    <w:name w:val="Normal Indent"/>
    <w:basedOn w:val="Normal"/>
    <w:uiPriority w:val="99"/>
    <w:pPr>
      <w:spacing w:before="0" w:after="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1"/>
      </w:numPr>
      <w:tabs>
        <w:tab w:val="num" w:pos="643"/>
      </w:tabs>
      <w:ind w:left="643" w:hanging="360"/>
      <w:contextualSpacing/>
    </w:pPr>
  </w:style>
  <w:style w:type="paragraph" w:styleId="ListBullet3">
    <w:name w:val="List Bullet 3"/>
    <w:basedOn w:val="Normal"/>
    <w:uiPriority w:val="99"/>
    <w:pPr>
      <w:numPr>
        <w:numId w:val="2"/>
      </w:numPr>
      <w:tabs>
        <w:tab w:val="num" w:pos="926"/>
      </w:tabs>
      <w:ind w:left="926" w:hanging="360"/>
      <w:contextualSpacing/>
    </w:pPr>
  </w:style>
  <w:style w:type="paragraph" w:styleId="ListBullet4">
    <w:name w:val="List Bullet 4"/>
    <w:basedOn w:val="Normal"/>
    <w:uiPriority w:val="99"/>
    <w:pPr>
      <w:numPr>
        <w:numId w:val="3"/>
      </w:numPr>
      <w:tabs>
        <w:tab w:val="num" w:pos="1209"/>
      </w:tabs>
      <w:ind w:left="1209" w:hanging="360"/>
      <w:contextualSpacing/>
    </w:pPr>
  </w:style>
  <w:style w:type="paragraph" w:styleId="ListNumber">
    <w:name w:val="List Number"/>
    <w:basedOn w:val="Normal"/>
    <w:uiPriority w:val="99"/>
    <w:pPr>
      <w:tabs>
        <w:tab w:val="num" w:pos="283"/>
      </w:tabs>
      <w:ind w:left="360" w:hanging="360"/>
      <w:contextualSpacing/>
    </w:pPr>
  </w:style>
  <w:style w:type="paragraph" w:styleId="ListNumber2">
    <w:name w:val="List Number 2"/>
    <w:basedOn w:val="Normal"/>
    <w:uiPriority w:val="99"/>
    <w:pPr>
      <w:tabs>
        <w:tab w:val="num" w:pos="283"/>
        <w:tab w:val="num" w:pos="643"/>
      </w:tabs>
      <w:ind w:left="643" w:hanging="360"/>
      <w:contextualSpacing/>
    </w:pPr>
  </w:style>
  <w:style w:type="paragraph" w:styleId="ListNumber3">
    <w:name w:val="List Number 3"/>
    <w:basedOn w:val="Normal"/>
    <w:uiPriority w:val="99"/>
    <w:pPr>
      <w:tabs>
        <w:tab w:val="num" w:pos="283"/>
        <w:tab w:val="num" w:pos="926"/>
      </w:tabs>
      <w:ind w:left="926" w:hanging="360"/>
      <w:contextualSpacing/>
    </w:pPr>
  </w:style>
  <w:style w:type="paragraph" w:styleId="ListNumber4">
    <w:name w:val="List Number 4"/>
    <w:basedOn w:val="Normal"/>
    <w:uiPriority w:val="99"/>
    <w:pPr>
      <w:tabs>
        <w:tab w:val="num" w:pos="283"/>
        <w:tab w:val="num" w:pos="1209"/>
      </w:tabs>
      <w:ind w:left="1209" w:hanging="360"/>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x-none"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x-none" w:eastAsia="en-US"/>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x-none" w:eastAsia="en-US"/>
    </w:rPr>
  </w:style>
  <w:style w:type="paragraph" w:customStyle="1" w:styleId="ListBullet1">
    <w:name w:val="List Bullet 1"/>
    <w:basedOn w:val="Normal"/>
    <w:pPr>
      <w:numPr>
        <w:numId w:val="4"/>
      </w:numPr>
    </w:pPr>
    <w:rPr>
      <w:lang w:val="fr-FR"/>
    </w:rPr>
  </w:style>
  <w:style w:type="paragraph" w:customStyle="1" w:styleId="ListDash">
    <w:name w:val="List Dash"/>
    <w:basedOn w:val="Normal"/>
    <w:pPr>
      <w:numPr>
        <w:numId w:val="5"/>
      </w:numPr>
    </w:pPr>
    <w:rPr>
      <w:lang w:val="fr-FR"/>
    </w:rPr>
  </w:style>
  <w:style w:type="paragraph" w:customStyle="1" w:styleId="ListDash1">
    <w:name w:val="List Dash 1"/>
    <w:basedOn w:val="Normal"/>
    <w:pPr>
      <w:numPr>
        <w:numId w:val="6"/>
      </w:numPr>
    </w:pPr>
    <w:rPr>
      <w:lang w:val="fr-FR"/>
    </w:rPr>
  </w:style>
  <w:style w:type="paragraph" w:customStyle="1" w:styleId="ListDash2">
    <w:name w:val="List Dash 2"/>
    <w:basedOn w:val="Normal"/>
    <w:pPr>
      <w:numPr>
        <w:numId w:val="7"/>
      </w:numPr>
    </w:pPr>
    <w:rPr>
      <w:lang w:val="fr-FR"/>
    </w:rPr>
  </w:style>
  <w:style w:type="paragraph" w:customStyle="1" w:styleId="Briefinglist1">
    <w:name w:val="Briefing list 1"/>
    <w:basedOn w:val="Normal"/>
    <w:pPr>
      <w:keepLines/>
      <w:numPr>
        <w:numId w:val="8"/>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lang w:eastAsia="en-US"/>
    </w:rPr>
  </w:style>
  <w:style w:type="paragraph" w:styleId="NormalWeb">
    <w:name w:val="Normal (Web)"/>
    <w:basedOn w:val="Normal"/>
    <w:uiPriority w:val="99"/>
    <w:unhideWhenUsed/>
    <w:pPr>
      <w:spacing w:before="100" w:beforeAutospacing="1" w:after="100" w:afterAutospacing="1"/>
      <w:jc w:val="left"/>
    </w:pPr>
  </w:style>
  <w:style w:type="paragraph" w:customStyle="1" w:styleId="ListDq">
    <w:name w:val="List Dq"/>
    <w:basedOn w:val="Normal"/>
    <w:pPr>
      <w:tabs>
        <w:tab w:val="num" w:pos="1134"/>
      </w:tabs>
      <w:ind w:left="1134" w:hanging="283"/>
    </w:pPr>
    <w:rPr>
      <w:noProof/>
      <w:lang w:eastAsia="bg-BG" w:bidi="bg-BG"/>
    </w:rPr>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rPr>
  </w:style>
  <w:style w:type="character" w:customStyle="1" w:styleId="HeaderChar">
    <w:name w:val="Header Char"/>
    <w:link w:val="Header"/>
    <w:uiPriority w:val="99"/>
    <w:rPr>
      <w:rFonts w:eastAsia="Calibri"/>
      <w:sz w:val="24"/>
      <w:lang w:val="bg-B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556">
      <w:marLeft w:val="0"/>
      <w:marRight w:val="0"/>
      <w:marTop w:val="0"/>
      <w:marBottom w:val="0"/>
      <w:divBdr>
        <w:top w:val="none" w:sz="0" w:space="0" w:color="auto"/>
        <w:left w:val="none" w:sz="0" w:space="0" w:color="auto"/>
        <w:bottom w:val="none" w:sz="0" w:space="0" w:color="auto"/>
        <w:right w:val="none" w:sz="0" w:space="0" w:color="auto"/>
      </w:divBdr>
      <w:divsChild>
        <w:div w:id="304898581">
          <w:marLeft w:val="0"/>
          <w:marRight w:val="0"/>
          <w:marTop w:val="180"/>
          <w:marBottom w:val="0"/>
          <w:divBdr>
            <w:top w:val="none" w:sz="0" w:space="0" w:color="auto"/>
            <w:left w:val="none" w:sz="0" w:space="0" w:color="auto"/>
            <w:bottom w:val="none" w:sz="0" w:space="0" w:color="auto"/>
            <w:right w:val="none" w:sz="0" w:space="0" w:color="auto"/>
          </w:divBdr>
          <w:divsChild>
            <w:div w:id="304898555">
              <w:marLeft w:val="0"/>
              <w:marRight w:val="0"/>
              <w:marTop w:val="0"/>
              <w:marBottom w:val="0"/>
              <w:divBdr>
                <w:top w:val="none" w:sz="0" w:space="0" w:color="auto"/>
                <w:left w:val="none" w:sz="0" w:space="0" w:color="auto"/>
                <w:bottom w:val="none" w:sz="0" w:space="0" w:color="auto"/>
                <w:right w:val="none" w:sz="0" w:space="0" w:color="auto"/>
              </w:divBdr>
              <w:divsChild>
                <w:div w:id="304898559">
                  <w:marLeft w:val="0"/>
                  <w:marRight w:val="0"/>
                  <w:marTop w:val="0"/>
                  <w:marBottom w:val="0"/>
                  <w:divBdr>
                    <w:top w:val="none" w:sz="0" w:space="0" w:color="auto"/>
                    <w:left w:val="none" w:sz="0" w:space="0" w:color="auto"/>
                    <w:bottom w:val="none" w:sz="0" w:space="0" w:color="auto"/>
                    <w:right w:val="none" w:sz="0" w:space="0" w:color="auto"/>
                  </w:divBdr>
                  <w:divsChild>
                    <w:div w:id="304898586">
                      <w:marLeft w:val="0"/>
                      <w:marRight w:val="0"/>
                      <w:marTop w:val="0"/>
                      <w:marBottom w:val="0"/>
                      <w:divBdr>
                        <w:top w:val="none" w:sz="0" w:space="0" w:color="auto"/>
                        <w:left w:val="none" w:sz="0" w:space="0" w:color="auto"/>
                        <w:bottom w:val="none" w:sz="0" w:space="0" w:color="auto"/>
                        <w:right w:val="none" w:sz="0" w:space="0" w:color="auto"/>
                      </w:divBdr>
                      <w:divsChild>
                        <w:div w:id="304898594">
                          <w:marLeft w:val="2940"/>
                          <w:marRight w:val="0"/>
                          <w:marTop w:val="0"/>
                          <w:marBottom w:val="0"/>
                          <w:divBdr>
                            <w:top w:val="none" w:sz="0" w:space="0" w:color="auto"/>
                            <w:left w:val="none" w:sz="0" w:space="0" w:color="auto"/>
                            <w:bottom w:val="none" w:sz="0" w:space="0" w:color="auto"/>
                            <w:right w:val="none" w:sz="0" w:space="0" w:color="auto"/>
                          </w:divBdr>
                          <w:divsChild>
                            <w:div w:id="304898598">
                              <w:marLeft w:val="0"/>
                              <w:marRight w:val="0"/>
                              <w:marTop w:val="0"/>
                              <w:marBottom w:val="0"/>
                              <w:divBdr>
                                <w:top w:val="none" w:sz="0" w:space="0" w:color="auto"/>
                                <w:left w:val="none" w:sz="0" w:space="0" w:color="auto"/>
                                <w:bottom w:val="none" w:sz="0" w:space="0" w:color="auto"/>
                                <w:right w:val="none" w:sz="0" w:space="0" w:color="auto"/>
                              </w:divBdr>
                              <w:divsChild>
                                <w:div w:id="304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57">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304898589">
              <w:marLeft w:val="0"/>
              <w:marRight w:val="0"/>
              <w:marTop w:val="0"/>
              <w:marBottom w:val="0"/>
              <w:divBdr>
                <w:top w:val="none" w:sz="0" w:space="0" w:color="auto"/>
                <w:left w:val="none" w:sz="0" w:space="0" w:color="auto"/>
                <w:bottom w:val="none" w:sz="0" w:space="0" w:color="auto"/>
                <w:right w:val="none" w:sz="0" w:space="0" w:color="auto"/>
              </w:divBdr>
              <w:divsChild>
                <w:div w:id="304898600">
                  <w:marLeft w:val="0"/>
                  <w:marRight w:val="0"/>
                  <w:marTop w:val="0"/>
                  <w:marBottom w:val="0"/>
                  <w:divBdr>
                    <w:top w:val="none" w:sz="0" w:space="0" w:color="auto"/>
                    <w:left w:val="none" w:sz="0" w:space="0" w:color="auto"/>
                    <w:bottom w:val="none" w:sz="0" w:space="0" w:color="auto"/>
                    <w:right w:val="none" w:sz="0" w:space="0" w:color="auto"/>
                  </w:divBdr>
                  <w:divsChild>
                    <w:div w:id="304898572">
                      <w:marLeft w:val="0"/>
                      <w:marRight w:val="0"/>
                      <w:marTop w:val="0"/>
                      <w:marBottom w:val="0"/>
                      <w:divBdr>
                        <w:top w:val="none" w:sz="0" w:space="0" w:color="auto"/>
                        <w:left w:val="none" w:sz="0" w:space="0" w:color="auto"/>
                        <w:bottom w:val="none" w:sz="0" w:space="0" w:color="auto"/>
                        <w:right w:val="none" w:sz="0" w:space="0" w:color="auto"/>
                      </w:divBdr>
                      <w:divsChild>
                        <w:div w:id="304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3">
      <w:marLeft w:val="0"/>
      <w:marRight w:val="0"/>
      <w:marTop w:val="0"/>
      <w:marBottom w:val="0"/>
      <w:divBdr>
        <w:top w:val="none" w:sz="0" w:space="0" w:color="auto"/>
        <w:left w:val="none" w:sz="0" w:space="0" w:color="auto"/>
        <w:bottom w:val="none" w:sz="0" w:space="0" w:color="auto"/>
        <w:right w:val="none" w:sz="0" w:space="0" w:color="auto"/>
      </w:divBdr>
      <w:divsChild>
        <w:div w:id="304898576">
          <w:marLeft w:val="0"/>
          <w:marRight w:val="0"/>
          <w:marTop w:val="0"/>
          <w:marBottom w:val="0"/>
          <w:divBdr>
            <w:top w:val="none" w:sz="0" w:space="0" w:color="auto"/>
            <w:left w:val="none" w:sz="0" w:space="0" w:color="auto"/>
            <w:bottom w:val="none" w:sz="0" w:space="0" w:color="auto"/>
            <w:right w:val="none" w:sz="0" w:space="0" w:color="auto"/>
          </w:divBdr>
          <w:divsChild>
            <w:div w:id="304898602">
              <w:marLeft w:val="0"/>
              <w:marRight w:val="0"/>
              <w:marTop w:val="0"/>
              <w:marBottom w:val="0"/>
              <w:divBdr>
                <w:top w:val="none" w:sz="0" w:space="0" w:color="auto"/>
                <w:left w:val="none" w:sz="0" w:space="0" w:color="auto"/>
                <w:bottom w:val="none" w:sz="0" w:space="0" w:color="auto"/>
                <w:right w:val="none" w:sz="0" w:space="0" w:color="auto"/>
              </w:divBdr>
              <w:divsChild>
                <w:div w:id="304898585">
                  <w:marLeft w:val="0"/>
                  <w:marRight w:val="0"/>
                  <w:marTop w:val="0"/>
                  <w:marBottom w:val="0"/>
                  <w:divBdr>
                    <w:top w:val="none" w:sz="0" w:space="0" w:color="auto"/>
                    <w:left w:val="none" w:sz="0" w:space="0" w:color="auto"/>
                    <w:bottom w:val="none" w:sz="0" w:space="0" w:color="auto"/>
                    <w:right w:val="none" w:sz="0" w:space="0" w:color="auto"/>
                  </w:divBdr>
                  <w:divsChild>
                    <w:div w:id="304898558">
                      <w:marLeft w:val="0"/>
                      <w:marRight w:val="0"/>
                      <w:marTop w:val="0"/>
                      <w:marBottom w:val="0"/>
                      <w:divBdr>
                        <w:top w:val="none" w:sz="0" w:space="0" w:color="auto"/>
                        <w:left w:val="none" w:sz="0" w:space="0" w:color="auto"/>
                        <w:bottom w:val="none" w:sz="0" w:space="0" w:color="auto"/>
                        <w:right w:val="none" w:sz="0" w:space="0" w:color="auto"/>
                      </w:divBdr>
                      <w:divsChild>
                        <w:div w:id="304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8">
      <w:marLeft w:val="0"/>
      <w:marRight w:val="0"/>
      <w:marTop w:val="0"/>
      <w:marBottom w:val="0"/>
      <w:divBdr>
        <w:top w:val="none" w:sz="0" w:space="0" w:color="auto"/>
        <w:left w:val="none" w:sz="0" w:space="0" w:color="auto"/>
        <w:bottom w:val="none" w:sz="0" w:space="0" w:color="auto"/>
        <w:right w:val="none" w:sz="0" w:space="0" w:color="auto"/>
      </w:divBdr>
      <w:divsChild>
        <w:div w:id="304898587">
          <w:marLeft w:val="0"/>
          <w:marRight w:val="0"/>
          <w:marTop w:val="0"/>
          <w:marBottom w:val="0"/>
          <w:divBdr>
            <w:top w:val="none" w:sz="0" w:space="0" w:color="auto"/>
            <w:left w:val="none" w:sz="0" w:space="0" w:color="auto"/>
            <w:bottom w:val="none" w:sz="0" w:space="0" w:color="auto"/>
            <w:right w:val="none" w:sz="0" w:space="0" w:color="auto"/>
          </w:divBdr>
          <w:divsChild>
            <w:div w:id="304898591">
              <w:marLeft w:val="0"/>
              <w:marRight w:val="0"/>
              <w:marTop w:val="0"/>
              <w:marBottom w:val="0"/>
              <w:divBdr>
                <w:top w:val="none" w:sz="0" w:space="0" w:color="auto"/>
                <w:left w:val="none" w:sz="0" w:space="0" w:color="auto"/>
                <w:bottom w:val="none" w:sz="0" w:space="0" w:color="auto"/>
                <w:right w:val="none" w:sz="0" w:space="0" w:color="auto"/>
              </w:divBdr>
              <w:divsChild>
                <w:div w:id="304898580">
                  <w:marLeft w:val="2955"/>
                  <w:marRight w:val="0"/>
                  <w:marTop w:val="0"/>
                  <w:marBottom w:val="0"/>
                  <w:divBdr>
                    <w:top w:val="none" w:sz="0" w:space="0" w:color="auto"/>
                    <w:left w:val="none" w:sz="0" w:space="0" w:color="auto"/>
                    <w:bottom w:val="none" w:sz="0" w:space="0" w:color="auto"/>
                    <w:right w:val="none" w:sz="0" w:space="0" w:color="auto"/>
                  </w:divBdr>
                  <w:divsChild>
                    <w:div w:id="304898601">
                      <w:marLeft w:val="0"/>
                      <w:marRight w:val="0"/>
                      <w:marTop w:val="0"/>
                      <w:marBottom w:val="0"/>
                      <w:divBdr>
                        <w:top w:val="none" w:sz="0" w:space="0" w:color="auto"/>
                        <w:left w:val="none" w:sz="0" w:space="0" w:color="auto"/>
                        <w:bottom w:val="none" w:sz="0" w:space="0" w:color="auto"/>
                        <w:right w:val="none" w:sz="0" w:space="0" w:color="auto"/>
                      </w:divBdr>
                      <w:divsChild>
                        <w:div w:id="304898573">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84">
      <w:marLeft w:val="0"/>
      <w:marRight w:val="0"/>
      <w:marTop w:val="0"/>
      <w:marBottom w:val="0"/>
      <w:divBdr>
        <w:top w:val="none" w:sz="0" w:space="0" w:color="auto"/>
        <w:left w:val="none" w:sz="0" w:space="0" w:color="auto"/>
        <w:bottom w:val="none" w:sz="0" w:space="0" w:color="auto"/>
        <w:right w:val="none" w:sz="0" w:space="0" w:color="auto"/>
      </w:divBdr>
      <w:divsChild>
        <w:div w:id="304898578">
          <w:marLeft w:val="0"/>
          <w:marRight w:val="0"/>
          <w:marTop w:val="180"/>
          <w:marBottom w:val="0"/>
          <w:divBdr>
            <w:top w:val="none" w:sz="0" w:space="0" w:color="auto"/>
            <w:left w:val="none" w:sz="0" w:space="0" w:color="auto"/>
            <w:bottom w:val="none" w:sz="0" w:space="0" w:color="auto"/>
            <w:right w:val="none" w:sz="0" w:space="0" w:color="auto"/>
          </w:divBdr>
          <w:divsChild>
            <w:div w:id="304898561">
              <w:marLeft w:val="0"/>
              <w:marRight w:val="0"/>
              <w:marTop w:val="0"/>
              <w:marBottom w:val="0"/>
              <w:divBdr>
                <w:top w:val="none" w:sz="0" w:space="0" w:color="auto"/>
                <w:left w:val="none" w:sz="0" w:space="0" w:color="auto"/>
                <w:bottom w:val="none" w:sz="0" w:space="0" w:color="auto"/>
                <w:right w:val="none" w:sz="0" w:space="0" w:color="auto"/>
              </w:divBdr>
              <w:divsChild>
                <w:div w:id="304898575">
                  <w:marLeft w:val="0"/>
                  <w:marRight w:val="0"/>
                  <w:marTop w:val="0"/>
                  <w:marBottom w:val="0"/>
                  <w:divBdr>
                    <w:top w:val="none" w:sz="0" w:space="0" w:color="auto"/>
                    <w:left w:val="none" w:sz="0" w:space="0" w:color="auto"/>
                    <w:bottom w:val="none" w:sz="0" w:space="0" w:color="auto"/>
                    <w:right w:val="none" w:sz="0" w:space="0" w:color="auto"/>
                  </w:divBdr>
                  <w:divsChild>
                    <w:div w:id="304898560">
                      <w:marLeft w:val="0"/>
                      <w:marRight w:val="0"/>
                      <w:marTop w:val="0"/>
                      <w:marBottom w:val="0"/>
                      <w:divBdr>
                        <w:top w:val="none" w:sz="0" w:space="0" w:color="auto"/>
                        <w:left w:val="none" w:sz="0" w:space="0" w:color="auto"/>
                        <w:bottom w:val="none" w:sz="0" w:space="0" w:color="auto"/>
                        <w:right w:val="none" w:sz="0" w:space="0" w:color="auto"/>
                      </w:divBdr>
                      <w:divsChild>
                        <w:div w:id="304898571">
                          <w:marLeft w:val="2940"/>
                          <w:marRight w:val="0"/>
                          <w:marTop w:val="0"/>
                          <w:marBottom w:val="0"/>
                          <w:divBdr>
                            <w:top w:val="none" w:sz="0" w:space="0" w:color="auto"/>
                            <w:left w:val="none" w:sz="0" w:space="0" w:color="auto"/>
                            <w:bottom w:val="none" w:sz="0" w:space="0" w:color="auto"/>
                            <w:right w:val="none" w:sz="0" w:space="0" w:color="auto"/>
                          </w:divBdr>
                          <w:divsChild>
                            <w:div w:id="304898595">
                              <w:marLeft w:val="0"/>
                              <w:marRight w:val="0"/>
                              <w:marTop w:val="0"/>
                              <w:marBottom w:val="0"/>
                              <w:divBdr>
                                <w:top w:val="none" w:sz="0" w:space="0" w:color="auto"/>
                                <w:left w:val="none" w:sz="0" w:space="0" w:color="auto"/>
                                <w:bottom w:val="none" w:sz="0" w:space="0" w:color="auto"/>
                                <w:right w:val="none" w:sz="0" w:space="0" w:color="auto"/>
                              </w:divBdr>
                              <w:divsChild>
                                <w:div w:id="304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90">
      <w:marLeft w:val="0"/>
      <w:marRight w:val="0"/>
      <w:marTop w:val="0"/>
      <w:marBottom w:val="0"/>
      <w:divBdr>
        <w:top w:val="none" w:sz="0" w:space="0" w:color="auto"/>
        <w:left w:val="none" w:sz="0" w:space="0" w:color="auto"/>
        <w:bottom w:val="none" w:sz="0" w:space="0" w:color="auto"/>
        <w:right w:val="none" w:sz="0" w:space="0" w:color="auto"/>
      </w:divBdr>
      <w:divsChild>
        <w:div w:id="304898565">
          <w:marLeft w:val="0"/>
          <w:marRight w:val="0"/>
          <w:marTop w:val="0"/>
          <w:marBottom w:val="0"/>
          <w:divBdr>
            <w:top w:val="none" w:sz="0" w:space="0" w:color="auto"/>
            <w:left w:val="none" w:sz="0" w:space="0" w:color="auto"/>
            <w:bottom w:val="none" w:sz="0" w:space="0" w:color="auto"/>
            <w:right w:val="none" w:sz="0" w:space="0" w:color="auto"/>
          </w:divBdr>
          <w:divsChild>
            <w:div w:id="304898582">
              <w:marLeft w:val="0"/>
              <w:marRight w:val="0"/>
              <w:marTop w:val="0"/>
              <w:marBottom w:val="0"/>
              <w:divBdr>
                <w:top w:val="none" w:sz="0" w:space="0" w:color="auto"/>
                <w:left w:val="none" w:sz="0" w:space="0" w:color="auto"/>
                <w:bottom w:val="none" w:sz="0" w:space="0" w:color="auto"/>
                <w:right w:val="none" w:sz="0" w:space="0" w:color="auto"/>
              </w:divBdr>
              <w:divsChild>
                <w:div w:id="304898566">
                  <w:marLeft w:val="2955"/>
                  <w:marRight w:val="0"/>
                  <w:marTop w:val="0"/>
                  <w:marBottom w:val="0"/>
                  <w:divBdr>
                    <w:top w:val="none" w:sz="0" w:space="0" w:color="auto"/>
                    <w:left w:val="none" w:sz="0" w:space="0" w:color="auto"/>
                    <w:bottom w:val="none" w:sz="0" w:space="0" w:color="auto"/>
                    <w:right w:val="none" w:sz="0" w:space="0" w:color="auto"/>
                  </w:divBdr>
                  <w:divsChild>
                    <w:div w:id="304898577">
                      <w:marLeft w:val="0"/>
                      <w:marRight w:val="0"/>
                      <w:marTop w:val="0"/>
                      <w:marBottom w:val="0"/>
                      <w:divBdr>
                        <w:top w:val="none" w:sz="0" w:space="0" w:color="auto"/>
                        <w:left w:val="none" w:sz="0" w:space="0" w:color="auto"/>
                        <w:bottom w:val="none" w:sz="0" w:space="0" w:color="auto"/>
                        <w:right w:val="none" w:sz="0" w:space="0" w:color="auto"/>
                      </w:divBdr>
                      <w:divsChild>
                        <w:div w:id="304898569">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92">
      <w:marLeft w:val="0"/>
      <w:marRight w:val="0"/>
      <w:marTop w:val="0"/>
      <w:marBottom w:val="0"/>
      <w:divBdr>
        <w:top w:val="none" w:sz="0" w:space="0" w:color="auto"/>
        <w:left w:val="none" w:sz="0" w:space="0" w:color="auto"/>
        <w:bottom w:val="none" w:sz="0" w:space="0" w:color="auto"/>
        <w:right w:val="none" w:sz="0" w:space="0" w:color="auto"/>
      </w:divBdr>
      <w:divsChild>
        <w:div w:id="304898599">
          <w:marLeft w:val="0"/>
          <w:marRight w:val="0"/>
          <w:marTop w:val="180"/>
          <w:marBottom w:val="0"/>
          <w:divBdr>
            <w:top w:val="none" w:sz="0" w:space="0" w:color="auto"/>
            <w:left w:val="none" w:sz="0" w:space="0" w:color="auto"/>
            <w:bottom w:val="none" w:sz="0" w:space="0" w:color="auto"/>
            <w:right w:val="none" w:sz="0" w:space="0" w:color="auto"/>
          </w:divBdr>
          <w:divsChild>
            <w:div w:id="304898583">
              <w:marLeft w:val="0"/>
              <w:marRight w:val="0"/>
              <w:marTop w:val="0"/>
              <w:marBottom w:val="0"/>
              <w:divBdr>
                <w:top w:val="none" w:sz="0" w:space="0" w:color="auto"/>
                <w:left w:val="none" w:sz="0" w:space="0" w:color="auto"/>
                <w:bottom w:val="none" w:sz="0" w:space="0" w:color="auto"/>
                <w:right w:val="none" w:sz="0" w:space="0" w:color="auto"/>
              </w:divBdr>
              <w:divsChild>
                <w:div w:id="304898588">
                  <w:marLeft w:val="0"/>
                  <w:marRight w:val="0"/>
                  <w:marTop w:val="0"/>
                  <w:marBottom w:val="0"/>
                  <w:divBdr>
                    <w:top w:val="none" w:sz="0" w:space="0" w:color="auto"/>
                    <w:left w:val="none" w:sz="0" w:space="0" w:color="auto"/>
                    <w:bottom w:val="none" w:sz="0" w:space="0" w:color="auto"/>
                    <w:right w:val="none" w:sz="0" w:space="0" w:color="auto"/>
                  </w:divBdr>
                  <w:divsChild>
                    <w:div w:id="304898579">
                      <w:marLeft w:val="0"/>
                      <w:marRight w:val="0"/>
                      <w:marTop w:val="0"/>
                      <w:marBottom w:val="0"/>
                      <w:divBdr>
                        <w:top w:val="none" w:sz="0" w:space="0" w:color="auto"/>
                        <w:left w:val="none" w:sz="0" w:space="0" w:color="auto"/>
                        <w:bottom w:val="none" w:sz="0" w:space="0" w:color="auto"/>
                        <w:right w:val="none" w:sz="0" w:space="0" w:color="auto"/>
                      </w:divBdr>
                      <w:divsChild>
                        <w:div w:id="304898562">
                          <w:marLeft w:val="2940"/>
                          <w:marRight w:val="0"/>
                          <w:marTop w:val="0"/>
                          <w:marBottom w:val="0"/>
                          <w:divBdr>
                            <w:top w:val="none" w:sz="0" w:space="0" w:color="auto"/>
                            <w:left w:val="none" w:sz="0" w:space="0" w:color="auto"/>
                            <w:bottom w:val="none" w:sz="0" w:space="0" w:color="auto"/>
                            <w:right w:val="none" w:sz="0" w:space="0" w:color="auto"/>
                          </w:divBdr>
                          <w:divsChild>
                            <w:div w:id="304898593">
                              <w:marLeft w:val="0"/>
                              <w:marRight w:val="0"/>
                              <w:marTop w:val="0"/>
                              <w:marBottom w:val="0"/>
                              <w:divBdr>
                                <w:top w:val="none" w:sz="0" w:space="0" w:color="auto"/>
                                <w:left w:val="none" w:sz="0" w:space="0" w:color="auto"/>
                                <w:bottom w:val="none" w:sz="0" w:space="0" w:color="auto"/>
                                <w:right w:val="none" w:sz="0" w:space="0" w:color="auto"/>
                              </w:divBdr>
                              <w:divsChild>
                                <w:div w:id="3048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603">
      <w:marLeft w:val="0"/>
      <w:marRight w:val="0"/>
      <w:marTop w:val="0"/>
      <w:marBottom w:val="0"/>
      <w:divBdr>
        <w:top w:val="none" w:sz="0" w:space="0" w:color="auto"/>
        <w:left w:val="none" w:sz="0" w:space="0" w:color="auto"/>
        <w:bottom w:val="none" w:sz="0" w:space="0" w:color="auto"/>
        <w:right w:val="none" w:sz="0" w:space="0" w:color="auto"/>
      </w:divBdr>
    </w:div>
    <w:div w:id="1541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6621-E52E-4BB7-AAB6-43662BF9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11023</Words>
  <Characters>62832</Characters>
  <Application>Microsoft Office Word</Application>
  <DocSecurity>0</DocSecurity>
  <Lines>523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
  <LinksUpToDate>false</LinksUpToDate>
  <CharactersWithSpaces>73708</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LAGES CARVALHO Patrick (SG)</cp:lastModifiedBy>
  <cp:revision>20</cp:revision>
  <cp:lastPrinted>2016-01-14T10:35:00Z</cp:lastPrinted>
  <dcterms:created xsi:type="dcterms:W3CDTF">2016-02-11T12:55:00Z</dcterms:created>
  <dcterms:modified xsi:type="dcterms:W3CDTF">2016-02-12T10:01:00Z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SJ-025</vt:lpwstr>
  </property>
  <property fmtid="{D5CDD505-2E9C-101B-9397-08002B2CF9AE}" pid="8" name="Part">
    <vt:lpwstr>1</vt:lpwstr>
  </property>
  <property fmtid="{D5CDD505-2E9C-101B-9397-08002B2CF9AE}" pid="9" name="Total parts">
    <vt:lpwstr>1</vt:lpwstr>
  </property>
  <property fmtid="{D5CDD505-2E9C-101B-9397-08002B2CF9AE}" pid="10" name="DQCStatus">
    <vt:lpwstr>Yellow (DQC version 03)</vt:lpwstr>
  </property>
</Properties>
</file>