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A6" w:rsidRDefault="00AA5771" w:rsidP="00AA5771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8C83333351054E8583F8A089BD7F1B97" style="width:450.35pt;height:422.5pt">
            <v:imagedata r:id="rId10" o:title=""/>
          </v:shape>
        </w:pict>
      </w:r>
    </w:p>
    <w:bookmarkEnd w:id="0"/>
    <w:p w:rsidR="00BC60A6" w:rsidRDefault="00BC60A6">
      <w:pPr>
        <w:pStyle w:val="Pagedecouverture"/>
        <w:rPr>
          <w:noProof/>
        </w:rPr>
        <w:sectPr w:rsidR="00BC60A6" w:rsidSect="00AA57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BC60A6" w:rsidRDefault="00AA5771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ahoma" w:hAnsi="Tahoma"/>
                <w:b/>
                <w:noProof/>
                <w:sz w:val="22"/>
              </w:rPr>
              <w:lastRenderedPageBreak/>
              <w:t>Vezetői összefoglaló</w:t>
            </w:r>
          </w:p>
        </w:tc>
      </w:tr>
      <w:tr w:rsidR="00BC60A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C60A6" w:rsidRDefault="00AA5771">
            <w:pPr>
              <w:spacing w:before="120" w:after="12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 xml:space="preserve">a munkavállalók szolgáltatások nyújtása keretében történő kiküldetéséről szóló 96/71/EK irányelv módosításáról szóló irányelvre irányuló javaslat hatásvizsgálata 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BC60A6" w:rsidRDefault="00AA5771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A. Fellépés szükséges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 w:rsidR="00BC60A6" w:rsidRDefault="00AA5771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Miért? Milyen problémát kell megoldani?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C60A6" w:rsidRDefault="00BC60A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C60A6" w:rsidRDefault="00AA577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 munkavállalók kiküldetése 2014-ben 1,9 millió európai munkavállalót érintett. Jóllehet ez az uniós foglalkoztatás 0,7 %-át jelenti, a munkavállalók kiküldetése elősegíti a határon átnyúló szolgáltatásnyújtást a belső piacon, különösen az építőiparban és </w:t>
            </w:r>
            <w:r>
              <w:rPr>
                <w:rFonts w:ascii="Arial" w:hAnsi="Arial"/>
                <w:noProof/>
                <w:sz w:val="20"/>
              </w:rPr>
              <w:t xml:space="preserve">egyes személyes és üzleti szolgáltatási ágazatokban. A hatályos szabályok szerint a kiküldő vállalatoknak tiszteletben kell tartaniuk a fogadó országban biztosított alapvető jogosultságokat, többek között a </w:t>
            </w:r>
            <w:r>
              <w:rPr>
                <w:rFonts w:ascii="Arial" w:hAnsi="Arial"/>
                <w:i/>
                <w:noProof/>
                <w:sz w:val="20"/>
              </w:rPr>
              <w:t>minimális bérszintet</w:t>
            </w:r>
            <w:r>
              <w:rPr>
                <w:rFonts w:ascii="Arial" w:hAnsi="Arial"/>
                <w:noProof/>
                <w:sz w:val="20"/>
              </w:rPr>
              <w:t>. Ez az előírás jelentős bérk</w:t>
            </w:r>
            <w:r>
              <w:rPr>
                <w:rFonts w:ascii="Arial" w:hAnsi="Arial"/>
                <w:noProof/>
                <w:sz w:val="20"/>
              </w:rPr>
              <w:t>ülönbséget okoz a kiküldött munkavállalók és a fogadó országok helyi munkavállalói között, amely a becslések szerint országoktól és ágazatoktól függően 10-től 50 %-ig terjed. A differenciált bérezési szabályok torzítják a vállalatok közötti egyenlő verseny</w:t>
            </w:r>
            <w:r>
              <w:rPr>
                <w:rFonts w:ascii="Arial" w:hAnsi="Arial"/>
                <w:noProof/>
                <w:sz w:val="20"/>
              </w:rPr>
              <w:t>feltételeket azáltal, hogy munkaerőköltség-előnyt biztosítanak a küldő vállalatoknak a fogadó tagállamok helyi vállalataihoz képest. Az irányelv és az egyéb uniós jogszabályok közötti következetlenségek hosszú távú kiküldetés esetén jogbizonytalanságot ter</w:t>
            </w:r>
            <w:r>
              <w:rPr>
                <w:rFonts w:ascii="Arial" w:hAnsi="Arial"/>
                <w:noProof/>
                <w:sz w:val="20"/>
              </w:rPr>
              <w:t>emtenek az uniós szabályozási keret alapján kiküldött munkavállalókkal szembeni egyenlő bánásmód tiszteletben tartását illetően. Másrészt előfordulhat, hogy a kiküldetésre vonatkozó általános szabályok nem megfelelőek olyan sajátos helyzetek kezelésére, mi</w:t>
            </w:r>
            <w:r>
              <w:rPr>
                <w:rFonts w:ascii="Arial" w:hAnsi="Arial"/>
                <w:noProof/>
                <w:sz w:val="20"/>
              </w:rPr>
              <w:t xml:space="preserve">nt az alvállalkozói lánc keretében történő kiküldetés, a munkaerő-kölcsönzés keretében történő munkavégzés és a vállalatcsoporton belüli kiküldetés.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C60A6" w:rsidRDefault="00AA5771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 a kezdeményezés várható eredménye?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C60A6" w:rsidRDefault="00BC60A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C60A6" w:rsidRDefault="00AA577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Az 1996. évi irányelv felülvizsgálatának célja azon eredeti célkitűzések erősítése, hogy ösztönözzék a tisztességes verseny légkörében történő, határokon átnyúló szolgáltatásnyújtás szabadságának gyakorlását, valamint az új gazdasági és munkaerőpiaci felté</w:t>
            </w:r>
            <w:r>
              <w:rPr>
                <w:rFonts w:ascii="Arial" w:hAnsi="Arial"/>
                <w:noProof/>
                <w:sz w:val="20"/>
              </w:rPr>
              <w:t>telekhez való hozzáigazítással tiszteletben tartsák a munkavállalók jogait. A kezdeményezés elsősorban arra irányul, hogy tisztességes bérezési feltételeket biztosítson a kiküldött munkavállalók számára, és egyenlő versenyfeltételeket teremtsen a kiküldő é</w:t>
            </w:r>
            <w:r>
              <w:rPr>
                <w:rFonts w:ascii="Arial" w:hAnsi="Arial"/>
                <w:noProof/>
                <w:sz w:val="20"/>
              </w:rPr>
              <w:t xml:space="preserve">s a helyi vállalatok között a fogadó országban; valamint egyértelműbbé tegye az uniós jogszabályokat.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C60A6" w:rsidRDefault="00AA5771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Milyen hozzáadott értéket képvisel az uniós szintű fellépés?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C60A6" w:rsidRDefault="00BC60A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C60A6" w:rsidRDefault="00AA577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 munkavállalók tagállamok közötti kiküldetésére vonatkozó szabályozási keret kizárólag </w:t>
            </w:r>
            <w:r>
              <w:rPr>
                <w:rFonts w:ascii="Arial" w:hAnsi="Arial"/>
                <w:noProof/>
                <w:sz w:val="20"/>
              </w:rPr>
              <w:t xml:space="preserve">uniós szinten határozható meg. A tagállamok és a megfelelő szintű szociális partnerek továbbra is felelősek jogszabályaik megalkotásáért és béreik megállapításáért a nemzeti jognak és gyakorlatoknak megfelelően. </w:t>
            </w:r>
          </w:p>
        </w:tc>
      </w:tr>
    </w:tbl>
    <w:p w:rsidR="00BC60A6" w:rsidRDefault="00BC60A6">
      <w:pPr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BC60A6" w:rsidRDefault="00AA5771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B. Megoldások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C60A6" w:rsidRDefault="00AA5771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Milyen jogalkotási és nem </w:t>
            </w:r>
            <w:r>
              <w:rPr>
                <w:rFonts w:ascii="Tahoma" w:hAnsi="Tahoma"/>
                <w:b/>
                <w:noProof/>
                <w:sz w:val="20"/>
              </w:rPr>
              <w:t>jogalkotási szakpolitikai lehetőségek merültek fel? Van-e előnyben részesített lehetőség? Miért?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C60A6" w:rsidRDefault="00BC60A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C60A6" w:rsidRDefault="00AA577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 Bizottság úgy ítéli meg, hogy az egyenlő javadalmazási szabályok bevezetése, valamint az általánosan kötelező kollektív megállapodásokra való hivatkozásna</w:t>
            </w:r>
            <w:r>
              <w:rPr>
                <w:rFonts w:ascii="Arial" w:hAnsi="Arial"/>
                <w:noProof/>
                <w:sz w:val="20"/>
              </w:rPr>
              <w:t>k az összes ágazatra történő kiterjesztése a fellépés elmaradásánál hatékonyabb alternatívát jelent a tisztességes bérezési feltételekre, a vállalatok közötti egyenlőbb versenyfeltételekre, és a jogi egyértelműség javítására vonatkozó szakpolitikai célkitű</w:t>
            </w:r>
            <w:r>
              <w:rPr>
                <w:rFonts w:ascii="Arial" w:hAnsi="Arial"/>
                <w:noProof/>
                <w:sz w:val="20"/>
              </w:rPr>
              <w:t>zések elérésére. Továbbá a Bizottság a jogi egyértelműség javítása tekintetében hatékonynak tekinti azokat az alternatívákat, amelyek szerint 24 hónapot meghaladó, hosszú távú kiküldetések esetén a fogadó tagállam munkajogát kell alkalmazni a szociális biz</w:t>
            </w:r>
            <w:r>
              <w:rPr>
                <w:rFonts w:ascii="Arial" w:hAnsi="Arial"/>
                <w:noProof/>
                <w:sz w:val="20"/>
              </w:rPr>
              <w:t xml:space="preserve">tonsági koordinációs szabályoknak megfelelően; egyenlő javadalmazást kell bevezetni az alvállalkozói láncban kiküldött munkavállalók és a fővállalkozó munkavállalói között azáltal, hogy az utóbbi munkafeltételeit alkalmazzák, ide értve – ha vannak ilyenek </w:t>
            </w:r>
            <w:r>
              <w:rPr>
                <w:rFonts w:ascii="Arial" w:hAnsi="Arial"/>
                <w:noProof/>
                <w:sz w:val="20"/>
              </w:rPr>
              <w:t xml:space="preserve">– a vállalati szintű megállapodásokból következő munkafeltételeket is; kötelező ugyanolyan szabályokat és feltételeket alkalmazni a kiküldött kölcsönzött munkavállalókra, mint a helyben alkalmazott kölcsönmunkaerőre.. </w:t>
            </w:r>
          </w:p>
        </w:tc>
      </w:tr>
      <w:tr w:rsidR="00BC60A6">
        <w:tc>
          <w:tcPr>
            <w:tcW w:w="10188" w:type="dxa"/>
            <w:shd w:val="clear" w:color="auto" w:fill="CCCCCC"/>
          </w:tcPr>
          <w:p w:rsidR="00BC60A6" w:rsidRDefault="00AA5771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Ki melyik lehetőséget támogatja?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BC60A6">
        <w:tc>
          <w:tcPr>
            <w:tcW w:w="10188" w:type="dxa"/>
            <w:shd w:val="clear" w:color="auto" w:fill="auto"/>
          </w:tcPr>
          <w:p w:rsidR="00BC60A6" w:rsidRDefault="00BC60A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C60A6" w:rsidRDefault="00AA577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Azok az alternatívák, amelyek szerint bevezetik az „egyenlő munka díjazására vonatkozó egyenlő szabályok” elvét és a fogadó tagállam munkajogát alkalmazzák a hosszú távú kiküldetésre, abba az irányba tett lépést jelentenek, amit hét tagállam (AT, BE, FR, D</w:t>
            </w:r>
            <w:r>
              <w:rPr>
                <w:rFonts w:ascii="Arial" w:hAnsi="Arial"/>
                <w:noProof/>
                <w:sz w:val="20"/>
              </w:rPr>
              <w:t xml:space="preserve">E, LU, NL, SE), az Európai Szakszervezetek Szövetsége, valamint </w:t>
            </w:r>
            <w:r>
              <w:rPr>
                <w:rFonts w:ascii="Arial" w:hAnsi="Arial"/>
                <w:noProof/>
                <w:sz w:val="20"/>
              </w:rPr>
              <w:lastRenderedPageBreak/>
              <w:t>az Európai Építőipari Szövetség által szorgalmazott. Az Eurociett támogatja a kölcsönzött munkavállalókról szóló irányelv módosítását a határokon átnyúló és a nemzeti kölcsönzött munkaerő közö</w:t>
            </w:r>
            <w:r>
              <w:rPr>
                <w:rFonts w:ascii="Arial" w:hAnsi="Arial"/>
                <w:noProof/>
                <w:sz w:val="20"/>
              </w:rPr>
              <w:t>tti egyenlő bánásmód biztosítása céljából. Kilenc tagállam (BG, CZ, EE, HU, LT, LV, PL, SK, RO), az Európai Vállalkozói Szövetsége, az Európai Kis- és Középvállalkozások Szövetsége, valamint az Európai Fémipari, Műszaki és Technológiaalapú Iparági Munkálta</w:t>
            </w:r>
            <w:r>
              <w:rPr>
                <w:rFonts w:ascii="Arial" w:hAnsi="Arial"/>
                <w:noProof/>
                <w:sz w:val="20"/>
              </w:rPr>
              <w:t>tók Tanácsa (CEEMET) azt az álláspontot támogatta, miszerint a fellépés előtt kellő időt kell biztosítani a 96/71/EK irányelv érvényesítéséről szóló irányelv végrehajtására.</w:t>
            </w:r>
          </w:p>
        </w:tc>
      </w:tr>
    </w:tbl>
    <w:p w:rsidR="00BC60A6" w:rsidRDefault="00AA5771">
      <w:pPr>
        <w:rPr>
          <w:noProof/>
        </w:rPr>
      </w:pPr>
      <w:r>
        <w:rPr>
          <w:noProof/>
        </w:rPr>
        <w:lastRenderedPageBreak/>
        <w:br w:type="page"/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BC60A6" w:rsidRDefault="00AA5771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C. Az előnyben részesített lehetőség hatásai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C60A6" w:rsidRDefault="00AA5771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Melyek az előnyben részesített le</w:t>
            </w:r>
            <w:r>
              <w:rPr>
                <w:rFonts w:ascii="Tahoma" w:hAnsi="Tahoma"/>
                <w:b/>
                <w:noProof/>
                <w:sz w:val="20"/>
              </w:rPr>
              <w:t>hetőség (ha nincs ilyen, akkor a főbb lehetőségek) előnyei?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C60A6" w:rsidRDefault="00BC60A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C60A6" w:rsidRDefault="00AA5771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Az azonos javadalmazási szabályok elősegítik a kiküldött munkavállalók bérének növekedését, a helyi munkavállalókhoz képesti bérkülönbségek csökkenését, és egyenlő versenyfeltételeket </w:t>
            </w:r>
            <w:r>
              <w:rPr>
                <w:rFonts w:ascii="Arial" w:hAnsi="Arial"/>
                <w:noProof/>
                <w:sz w:val="20"/>
              </w:rPr>
              <w:t>teremtenek a fogadó országokban működő vállalkozások között. A munkaerőköltség terén folytatott verseny hatókörének csökkentése által a munkavállalók kiküldetése előmozdítja a szakosodáson, az innováción és a szakértelmen alapuló, határokon átnyúló szolgál</w:t>
            </w:r>
            <w:r>
              <w:rPr>
                <w:rFonts w:ascii="Arial" w:hAnsi="Arial"/>
                <w:noProof/>
                <w:sz w:val="20"/>
              </w:rPr>
              <w:t>tatásnyújtást. Az irányelv és az egyéb uniós jogszabályok közötti következetlenségek megszüntetésére irányuló pontosítások javítják a jogbiztonságot a vállalkozások, a munkavállalók és hatóságok számára, valamint csökkentik az esetleges peres ügyek költség</w:t>
            </w:r>
            <w:r>
              <w:rPr>
                <w:rFonts w:ascii="Arial" w:hAnsi="Arial"/>
                <w:noProof/>
                <w:sz w:val="20"/>
              </w:rPr>
              <w:t>eit. Az alvállalkozói láncok és a hosszú távú kiküldetések esetében az egyenlő bánásmód elvének alkalmazása várhatóan javítja a kiküldött munkavállalók bérezési feltételeit, így erősítve a szociális védelmet.</w:t>
            </w:r>
          </w:p>
        </w:tc>
      </w:tr>
    </w:tbl>
    <w:p w:rsidR="00BC60A6" w:rsidRDefault="00BC60A6">
      <w:pPr>
        <w:widowControl w:val="0"/>
        <w:rPr>
          <w:noProof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C60A6" w:rsidRDefault="00AA5771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Mekkorák az előnyben részesített lehetőség (h</w:t>
            </w:r>
            <w:r>
              <w:rPr>
                <w:rFonts w:ascii="Tahoma" w:hAnsi="Tahoma"/>
                <w:b/>
                <w:noProof/>
                <w:sz w:val="20"/>
              </w:rPr>
              <w:t>a nincs ilyen, akkor a főbb lehetőségek) költségei?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C60A6" w:rsidRDefault="00BC60A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C60A6" w:rsidRDefault="00AA577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Az azonos bérezési szabályok emelhetik a bérköltségeket az olyan küldő vállalkozások esetében, amelyek az alacsony bérszínvonalú szegmensbe tartoznak (a helyzetek 1/3-a), még akkor is, ha a teljes munk</w:t>
            </w:r>
            <w:r>
              <w:rPr>
                <w:rFonts w:ascii="Arial" w:hAnsi="Arial"/>
                <w:noProof/>
                <w:sz w:val="20"/>
              </w:rPr>
              <w:t>aerőköltség továbbra is elmarad a fogadó tagállam helyi vállalkozásaitól a szociális biztonsági járulékok és a társasági adók országok közötti különbségei miatt. Az, hogy a munkaerőköltség fő versenytényezőként kisebb szerepet játszik, csökkentheti az alac</w:t>
            </w:r>
            <w:r>
              <w:rPr>
                <w:rFonts w:ascii="Arial" w:hAnsi="Arial"/>
                <w:noProof/>
                <w:sz w:val="20"/>
              </w:rPr>
              <w:t>sonyabb bérszínvonalú tagállamokban letelepedett vállalkozások versenyképességét, különösen a munkaerő-igényes ágazatokban, például az építőiparban. A 24 hónapot meghaladó, hosszú távú kiküldetések és az alvállalkozói lánc tekintetében egyenlő bánásmódot e</w:t>
            </w:r>
            <w:r>
              <w:rPr>
                <w:rFonts w:ascii="Arial" w:hAnsi="Arial"/>
                <w:noProof/>
                <w:sz w:val="20"/>
              </w:rPr>
              <w:t>redményező szabályok szintén csökkenthetik a munkaerőköltségek versenytényezőként játszott szerepét, és a fentiekhez hasonló hatásokkal járnak, bár úgy látszik, hogy a hosszú távú kiküldetések az összes kiküldetés kis hányadát teszik ki. A kiküldetésben lé</w:t>
            </w:r>
            <w:r>
              <w:rPr>
                <w:rFonts w:ascii="Arial" w:hAnsi="Arial"/>
                <w:noProof/>
                <w:sz w:val="20"/>
              </w:rPr>
              <w:t xml:space="preserve">vő, kölcsönzött munkavállalókra vonatkozó egyenlő bánásmód alkalmazása ugyancsak a vállalkozások bérköltségeinek emelkedését eredményezheti, még ha a szakpolitikai lehetőség nem is ír elő további feltételeket azokhoz képest, amelyeket jelenleg alkalmaznak </w:t>
            </w:r>
            <w:r>
              <w:rPr>
                <w:rFonts w:ascii="Arial" w:hAnsi="Arial"/>
                <w:noProof/>
                <w:sz w:val="20"/>
              </w:rPr>
              <w:t>a helyben alkalmazott kölcsönzött munkavállalókra.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C60A6" w:rsidRDefault="00AA5771"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Hogyan érinti mindez a vállalkozásokat, a kis- és középvállalkozásokat és a mikrovállalkozásokat? </w:t>
            </w:r>
            <w:r>
              <w:rPr>
                <w:rFonts w:ascii="Tahoma" w:hAnsi="Tahoma"/>
                <w:noProof/>
                <w:sz w:val="20"/>
                <w:u w:val="single"/>
              </w:rPr>
              <w:t>Legfeljebb 8 sor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C60A6" w:rsidRDefault="00BC60A6">
            <w:pPr>
              <w:spacing w:before="60" w:after="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C60A6" w:rsidRDefault="00AA5771">
            <w:pPr>
              <w:spacing w:before="60"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Nem tervezünk külön szabályozást a kkv-k esetében. Először is a kkv-k számára előnyös a nagyobb jogi egyértelműség, valamint a bírósági pereskedés kockázataiból származó adminisztratív teher csökkenése. Az egyenlő bérezési szabályok, valamint a hosszú távú</w:t>
            </w:r>
            <w:r>
              <w:rPr>
                <w:rFonts w:ascii="Arial" w:hAnsi="Arial"/>
                <w:noProof/>
                <w:sz w:val="20"/>
              </w:rPr>
              <w:t xml:space="preserve"> kiküldetésekre és az alvállalkozói láncokra vonatkozó egyenlő bánásmód – a bérköltségek esetleges emelkedése következtében – különösen azokat a kkv-kat érintheti, amelyek az alacsony bérszínvonalú piaci szegmensbe tartozó munkavállalókat kiküldve nyújtana</w:t>
            </w:r>
            <w:r>
              <w:rPr>
                <w:rFonts w:ascii="Arial" w:hAnsi="Arial"/>
                <w:noProof/>
                <w:sz w:val="20"/>
              </w:rPr>
              <w:t>k határon átnyúló szolgáltatásokat. A szociális biztonsági járulékok és egyéb adók országok közötti különbségei, többek között az egyes tagállamokban a kkv-kra vonatkozó különös szabályozások, ugyanakkor enyhíthetik ezt a hatást. A munkavállalókat kiküldő,</w:t>
            </w:r>
            <w:r>
              <w:rPr>
                <w:rFonts w:ascii="Arial" w:hAnsi="Arial"/>
                <w:noProof/>
                <w:sz w:val="20"/>
              </w:rPr>
              <w:t xml:space="preserve"> a magas bérszínvonalú szegmensben működő kkv-k pedig előnyhöz juthatnak a bérezési szabályokra vonatkozó egyenlő versenyfeltételeken alapuló tisztességes verseny légkörében. A javasolt alternatívák hatása növelheti üzleti lehetőségeiket és munkahely-terem</w:t>
            </w:r>
            <w:r>
              <w:rPr>
                <w:rFonts w:ascii="Arial" w:hAnsi="Arial"/>
                <w:noProof/>
                <w:sz w:val="20"/>
              </w:rPr>
              <w:t xml:space="preserve">etési képességüket. 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C60A6" w:rsidRDefault="00AA5771"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Jelentős lesz-e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  <w:r>
              <w:rPr>
                <w:rFonts w:ascii="Tahoma" w:hAnsi="Tahoma"/>
                <w:b/>
                <w:noProof/>
                <w:sz w:val="20"/>
              </w:rPr>
              <w:t>a nemzeti költségvetésekre és közigazgatásokra gyakorolt hatás?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BC60A6">
        <w:tc>
          <w:tcPr>
            <w:tcW w:w="10188" w:type="dxa"/>
            <w:shd w:val="clear" w:color="auto" w:fill="auto"/>
          </w:tcPr>
          <w:p w:rsidR="00BC60A6" w:rsidRDefault="00BC60A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C60A6" w:rsidRDefault="00AA577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Várhatóan nem jelentkezik külön költség a nemzeti költségvetések és közigazgatások számára. A jelenleg átültetési szakaszban lévő, az érvényesítésről </w:t>
            </w:r>
            <w:r>
              <w:rPr>
                <w:rFonts w:ascii="Arial" w:hAnsi="Arial"/>
                <w:noProof/>
                <w:sz w:val="20"/>
              </w:rPr>
              <w:t>szóló 2014. évi irányelv már előirányozta a tájékoztatási és jogérvényesítési költségeket.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C60A6" w:rsidRDefault="00AA5771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Lesznek-e egyéb jelentős hatások?</w:t>
            </w:r>
            <w:r>
              <w:rPr>
                <w:rFonts w:ascii="Tahoma" w:hAnsi="Tahoma"/>
                <w:noProof/>
                <w:sz w:val="20"/>
              </w:rPr>
              <w:t xml:space="preserve">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C60A6" w:rsidRDefault="00BC60A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C60A6" w:rsidRDefault="00AA577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Az A1 hordozható dokumentumokban foglalt információk javítása, valamint az érvényesítésről szóló irányelv átültetése fokozza ma</w:t>
            </w:r>
            <w:r>
              <w:rPr>
                <w:rFonts w:ascii="Arial" w:hAnsi="Arial"/>
                <w:noProof/>
                <w:sz w:val="20"/>
              </w:rPr>
              <w:t>jd a munkavállalók kiküldetésének dinamikájára vonatkozó információk megbízhatóságát.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 w:rsidR="00BC60A6" w:rsidRDefault="00AA5771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>
              <w:rPr>
                <w:rFonts w:ascii="Tahoma" w:hAnsi="Tahoma"/>
                <w:b/>
                <w:noProof/>
                <w:sz w:val="22"/>
              </w:rPr>
              <w:t>D. Nyomon követés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 w:rsidR="00BC60A6" w:rsidRDefault="00AA5771"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Mikor kerül sor a szakpolitika felülvizsgálatára? </w:t>
            </w:r>
          </w:p>
        </w:tc>
      </w:tr>
      <w:tr w:rsidR="00BC60A6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:rsidR="00BC60A6" w:rsidRDefault="00BC60A6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BC60A6" w:rsidRDefault="00AA577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A Bizottság az átültetés határidejétől számított öt év elteltével értékeli az irányelv hatását. A</w:t>
            </w:r>
            <w:r>
              <w:rPr>
                <w:rFonts w:ascii="Tahoma" w:hAnsi="Tahoma"/>
                <w:noProof/>
                <w:sz w:val="20"/>
              </w:rPr>
              <w:t xml:space="preserve"> Bizottság külső szakértők segítségével értékelő jelentést készít, konzultálva a szociális partnerekkel és egyéb érdekeltekkel.</w:t>
            </w:r>
          </w:p>
        </w:tc>
      </w:tr>
    </w:tbl>
    <w:p w:rsidR="00BC60A6" w:rsidRDefault="00BC60A6">
      <w:pPr>
        <w:rPr>
          <w:noProof/>
        </w:rPr>
      </w:pPr>
    </w:p>
    <w:sectPr w:rsidR="00BC60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A6" w:rsidRDefault="00AA5771">
      <w:r>
        <w:separator/>
      </w:r>
    </w:p>
  </w:endnote>
  <w:endnote w:type="continuationSeparator" w:id="0">
    <w:p w:rsidR="00BC60A6" w:rsidRDefault="00A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71" w:rsidRPr="00AA5771" w:rsidRDefault="00AA5771" w:rsidP="00AA5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71" w:rsidRPr="00AA5771" w:rsidRDefault="00AA5771" w:rsidP="00AA5771">
    <w:pPr>
      <w:pStyle w:val="FooterCoverPage"/>
      <w:rPr>
        <w:rFonts w:ascii="Arial" w:hAnsi="Arial" w:cs="Arial"/>
        <w:b/>
        <w:sz w:val="48"/>
      </w:rPr>
    </w:pPr>
    <w:r w:rsidRPr="00AA5771">
      <w:rPr>
        <w:rFonts w:ascii="Arial" w:hAnsi="Arial" w:cs="Arial"/>
        <w:b/>
        <w:sz w:val="48"/>
      </w:rPr>
      <w:t>HU</w:t>
    </w:r>
    <w:r w:rsidRPr="00AA5771">
      <w:rPr>
        <w:rFonts w:ascii="Arial" w:hAnsi="Arial" w:cs="Arial"/>
        <w:b/>
        <w:sz w:val="48"/>
      </w:rPr>
      <w:tab/>
    </w:r>
    <w:r w:rsidRPr="00AA5771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AA5771">
      <w:tab/>
    </w:r>
    <w:r w:rsidRPr="00AA5771"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71" w:rsidRPr="00AA5771" w:rsidRDefault="00AA5771" w:rsidP="00AA5771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Default="00BC60A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0A6" w:rsidRDefault="00AA57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Default="00BC6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A6" w:rsidRDefault="00AA5771">
      <w:r>
        <w:separator/>
      </w:r>
    </w:p>
  </w:footnote>
  <w:footnote w:type="continuationSeparator" w:id="0">
    <w:p w:rsidR="00BC60A6" w:rsidRDefault="00AA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71" w:rsidRPr="00AA5771" w:rsidRDefault="00AA5771" w:rsidP="00AA5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71" w:rsidRPr="00AA5771" w:rsidRDefault="00AA5771" w:rsidP="00AA5771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71" w:rsidRPr="00AA5771" w:rsidRDefault="00AA5771" w:rsidP="00AA5771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Default="00BC60A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Default="00BC60A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Default="00BC60A6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erico Pancaldi">
    <w15:presenceInfo w15:providerId="Windows Live" w15:userId="e240e77a7bed5f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amely a következ\u337? dokumentumot kíséri"/>
    <w:docVar w:name="LW_CONFIDENCE" w:val=" "/>
    <w:docVar w:name="LW_CONST_RESTREINT_UE" w:val="RESTREINT UE/EU RESTRICTED"/>
    <w:docVar w:name="LW_CORRIGENDUM" w:val="&lt;UNUSED&gt;"/>
    <w:docVar w:name="LW_COVERPAGE_GUID" w:val="8C83333351054E8583F8A089BD7F1B97"/>
    <w:docVar w:name="LW_CROSSREFERENCE" w:val="{COM(2016) 128 final}_x000b_{SWD(2016) 52 final}"/>
    <w:docVar w:name="LW_DocType" w:val="NORMAL"/>
    <w:docVar w:name="LW_EMISSION" w:val="2016.3.8."/>
    <w:docVar w:name="LW_EMISSION_ISODATE" w:val="2016-03-08"/>
    <w:docVar w:name="LW_EMISSION_LOCATION" w:val="STR"/>
    <w:docVar w:name="LW_EMISSION_PREFIX" w:val="Strasbourg, "/>
    <w:docVar w:name="LW_EMISSION_SUFFIX" w:val=" "/>
    <w:docVar w:name="LW_ID_DOCTYPE_NONLW" w:val="CP-02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 munkavállalók szolgáltatások nyújtása keretében történ\u337? kiküldetésér\u337?l szóló, 1996. december 16-i 96/71/EK európai parlamenti tanácsi irányelv módosításáról"/>
    <w:docVar w:name="LW_PART_NBR" w:val="1"/>
    <w:docVar w:name="LW_PART_NBR_TOTAL" w:val="1"/>
    <w:docVar w:name="LW_REF.INST.NEW" w:val="SWD"/>
    <w:docVar w:name="LW_REF.INST.NEW_ADOPTED" w:val="final"/>
    <w:docVar w:name="LW_REF.INST.NEW_TEXT" w:val="(2016) 53"/>
    <w:docVar w:name="LW_REF.INTERNE" w:val="&lt;UNUSED&gt;"/>
    <w:docVar w:name="LW_SUPERTITRE" w:val="&lt;UNUSED&gt;"/>
    <w:docVar w:name="LW_TITRE.OBJ.CP" w:val="&lt;UNUSED&gt;"/>
    <w:docVar w:name="LW_TYPE.DOC.CP" w:val="BIZOTTSÁGI SZOLGÁLATI MUNKADOKUMENTUM_x000b__x000b_A HATÁSVIZSGÁLAT VEZET\u336?I ÖSSZEFOGLALÓJA_x000b_"/>
    <w:docVar w:name="LW_TYPEACTEPRINCIPAL.CP" w:val="Javaslat _x000b_Az Európai Parlament és a Tanács irányelve"/>
  </w:docVars>
  <w:rsids>
    <w:rsidRoot w:val="00BC60A6"/>
    <w:rsid w:val="00AA5771"/>
    <w:rsid w:val="00B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228E3-FEEC-429F-8C93-CFCC37DE565D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1112</Words>
  <Characters>8261</Characters>
  <Application>Microsoft Office Word</Application>
  <DocSecurity>0</DocSecurity>
  <Lines>119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20</cp:revision>
  <cp:lastPrinted>2016-03-01T15:21:00Z</cp:lastPrinted>
  <dcterms:created xsi:type="dcterms:W3CDTF">2016-03-06T19:37:00Z</dcterms:created>
  <dcterms:modified xsi:type="dcterms:W3CDTF">2016-03-10T14:44:00Z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NewReviewCycle">
    <vt:lpwstr/>
  </property>
  <property fmtid="{D5CDD505-2E9C-101B-9397-08002B2CF9AE}" pid="10" name="ContentTypeId">
    <vt:lpwstr>0x010100AB6DCF41F10D214DBDDF7E1F5EB8F7C1</vt:lpwstr>
  </property>
  <property fmtid="{D5CDD505-2E9C-101B-9397-08002B2CF9AE}" pid="11" name="TemplateUrl">
    <vt:lpwstr/>
  </property>
</Properties>
</file>