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F5" w:rsidRDefault="00E323DF" w:rsidP="00E323DF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E8FE833D18FD4975A4260C99C338FC0F" style="width:450.35pt;height:348.45pt">
            <v:imagedata r:id="rId9" o:title=""/>
          </v:shape>
        </w:pict>
      </w:r>
    </w:p>
    <w:bookmarkEnd w:id="0"/>
    <w:p w:rsidR="003C26F5" w:rsidRDefault="003C26F5">
      <w:pPr>
        <w:rPr>
          <w:noProof/>
        </w:rPr>
        <w:sectPr w:rsidR="003C26F5" w:rsidSect="00E323D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3C26F5" w:rsidRDefault="00E323DF">
      <w:pPr>
        <w:keepNext/>
        <w:spacing w:after="24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</w:rPr>
        <w:lastRenderedPageBreak/>
        <w:t xml:space="preserve">1. Wprowadzenie </w:t>
      </w:r>
    </w:p>
    <w:p w:rsidR="003C26F5" w:rsidRDefault="00E323DF">
      <w:pPr>
        <w:pStyle w:val="PlainText"/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Przewodniczący Komisji Europejskiej (KE) Jean-Claude Juncker zapowiedział </w:t>
      </w:r>
      <w:r>
        <w:rPr>
          <w:rFonts w:ascii="Times New Roman" w:hAnsi="Times New Roman"/>
          <w:noProof/>
          <w:sz w:val="24"/>
        </w:rPr>
        <w:t>utworzenie europejskiego filaru praw socjalnych w swoim orędziu o stanie Unii wygłoszonym w Parlamencie Europejskim w dniu 9 września 2015 r. Inicjatywa ta jest ujęta w programie prac Komisji na 2016 r. i wpisuje się w działania Komisji na rzecz pogłębione</w:t>
      </w:r>
      <w:r>
        <w:rPr>
          <w:rFonts w:ascii="Times New Roman" w:hAnsi="Times New Roman"/>
          <w:noProof/>
          <w:sz w:val="24"/>
        </w:rPr>
        <w:t>j i bardziej sprawiedliwej unii gospodarczej i walutowej (UGW)</w:t>
      </w:r>
      <w:r>
        <w:rPr>
          <w:rStyle w:val="FootnoteReference"/>
          <w:rFonts w:ascii="Times New Roman" w:hAnsi="Times New Roman"/>
          <w:noProof/>
          <w:sz w:val="24"/>
        </w:rPr>
        <w:footnoteReference w:id="2"/>
      </w:r>
      <w:r>
        <w:rPr>
          <w:rFonts w:ascii="Times New Roman" w:hAnsi="Times New Roman"/>
          <w:noProof/>
          <w:sz w:val="24"/>
        </w:rPr>
        <w:t>.</w:t>
      </w:r>
    </w:p>
    <w:p w:rsidR="003C26F5" w:rsidRDefault="00E323DF">
      <w:pPr>
        <w:pStyle w:val="PlainText"/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 orędziu o stanie Unii przewodniczący KE Jean-Claude Juncker powiedział: „Musimy zintensyfikować prace nad uczciwym i prawdziwie paneuropejskim rynkiem pracy.</w:t>
      </w:r>
      <w:r>
        <w:rPr>
          <w:rFonts w:ascii="Times New Roman" w:hAnsi="Times New Roman"/>
          <w:i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(...) W ramach tych działań będ</w:t>
      </w:r>
      <w:r>
        <w:rPr>
          <w:rFonts w:ascii="Times New Roman" w:hAnsi="Times New Roman"/>
          <w:noProof/>
          <w:sz w:val="24"/>
        </w:rPr>
        <w:t>ę chciał stworzyć europejski filar praw socjalnych, który bierze pod uwagę zmieniające się realia europejskich społeczeństw i świata pracy.</w:t>
      </w:r>
      <w:r>
        <w:rPr>
          <w:rFonts w:ascii="Times New Roman" w:hAnsi="Times New Roman"/>
          <w:i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Filar ten może służyć za kompas wyznaczający kierunek działań na rzecz odnowionej konwergencji w strefie euro.</w:t>
      </w:r>
      <w:r>
        <w:rPr>
          <w:rFonts w:ascii="Times New Roman" w:hAnsi="Times New Roman"/>
          <w:i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Ten e</w:t>
      </w:r>
      <w:r>
        <w:rPr>
          <w:rFonts w:ascii="Times New Roman" w:hAnsi="Times New Roman"/>
          <w:noProof/>
          <w:sz w:val="24"/>
        </w:rPr>
        <w:t>uropejski filar praw socjalnych powinien być uzupełnieniem tego, co już razem osiągnęliśmy w dziedzinie ochrony pracowników w UE.</w:t>
      </w:r>
      <w:r>
        <w:rPr>
          <w:rFonts w:ascii="Times New Roman" w:hAnsi="Times New Roman"/>
          <w:i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Będę oczekiwał od partnerów społecznych, że odegrają kluczową rolę w tym procesie.</w:t>
      </w:r>
      <w:r>
        <w:rPr>
          <w:rFonts w:ascii="Times New Roman" w:hAnsi="Times New Roman"/>
          <w:i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Wierzę, że dobrze postępujemy, zapoczątkowu</w:t>
      </w:r>
      <w:r>
        <w:rPr>
          <w:rFonts w:ascii="Times New Roman" w:hAnsi="Times New Roman"/>
          <w:noProof/>
          <w:sz w:val="24"/>
        </w:rPr>
        <w:t xml:space="preserve">jąc tę inicjatywę w strefie euro i pozwalając pozostałym państwom członkowskim UE, by przyłączyły się do niej, jeśli zechcą”. </w:t>
      </w:r>
    </w:p>
    <w:p w:rsidR="003C26F5" w:rsidRDefault="00E323DF">
      <w:pPr>
        <w:pStyle w:val="PlainText"/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 niniejszym komunikacie przedstawiono plan działania prowadzący do utworzenia europejskiego filaru praw socjalnych. Zawarto w ni</w:t>
      </w:r>
      <w:r>
        <w:rPr>
          <w:rFonts w:ascii="Times New Roman" w:hAnsi="Times New Roman"/>
          <w:noProof/>
          <w:sz w:val="24"/>
        </w:rPr>
        <w:t>m uzasadnienie inicjatywy, omówiono jej rolę, zakres i charakter oraz rozpoczęto szerokie konsultacje mające na celu zebranie informacji zwrotnych. Wstępny projekt filaru załączony do niniejszego komunikatu ma na celu ułatwienie dyskusji na temat proponowa</w:t>
      </w:r>
      <w:r>
        <w:rPr>
          <w:rFonts w:ascii="Times New Roman" w:hAnsi="Times New Roman"/>
          <w:noProof/>
          <w:sz w:val="24"/>
        </w:rPr>
        <w:t>nej inicjatywy. Niniejszemu komunikatowi towarzyszą dwa dokumenty robocze służb Komisji: pierwszy z nich opisuje najważniejsze tendencje gospodarcze, społeczne i dotyczące rynku pracy, w odpowiedzi na które ma zostać wprowadzony filar, a drugi omawia najwa</w:t>
      </w:r>
      <w:r>
        <w:rPr>
          <w:rFonts w:ascii="Times New Roman" w:hAnsi="Times New Roman"/>
          <w:noProof/>
          <w:sz w:val="24"/>
        </w:rPr>
        <w:t>żniejszy dorobek prawny na poziomie UE</w:t>
      </w:r>
      <w:r>
        <w:rPr>
          <w:rStyle w:val="FootnoteReference"/>
          <w:rFonts w:ascii="Times New Roman" w:hAnsi="Times New Roman"/>
          <w:noProof/>
          <w:sz w:val="24"/>
        </w:rPr>
        <w:footnoteReference w:id="3"/>
      </w:r>
      <w:r>
        <w:rPr>
          <w:rFonts w:ascii="Times New Roman" w:hAnsi="Times New Roman"/>
          <w:noProof/>
          <w:sz w:val="24"/>
        </w:rPr>
        <w:t xml:space="preserve">. </w:t>
      </w:r>
    </w:p>
    <w:p w:rsidR="003C26F5" w:rsidRDefault="00E323DF">
      <w:pPr>
        <w:keepNext/>
        <w:spacing w:after="24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2. Co przemawia za europejskim filarem praw socjalnych</w:t>
      </w:r>
    </w:p>
    <w:p w:rsidR="003C26F5" w:rsidRDefault="00E323DF">
      <w:pPr>
        <w:keepNext/>
        <w:spacing w:after="24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2.1. Społeczna gospodarka rynkowa o wysokiej konkurencyjności</w:t>
      </w:r>
    </w:p>
    <w:p w:rsidR="003C26F5" w:rsidRDefault="00E323D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Działanie na szczeblu UE odzwierciedla zasady leżące u podstaw Unii i opiera się na przekonaniu, </w:t>
      </w:r>
      <w:r>
        <w:rPr>
          <w:rFonts w:ascii="Times New Roman" w:hAnsi="Times New Roman"/>
          <w:noProof/>
          <w:sz w:val="24"/>
        </w:rPr>
        <w:t>że rozwój gospodarczy powinien zwiększać postęp społeczny i spójność społeczną, gwarantując jednocześnie odpowiednie zabezpieczenia socjalne, zgodnie z europejskimi wartościami; polityka społeczna powinna być również postrzegana jako czynnik zwiększający p</w:t>
      </w:r>
      <w:r>
        <w:rPr>
          <w:rFonts w:ascii="Times New Roman" w:hAnsi="Times New Roman"/>
          <w:noProof/>
          <w:sz w:val="24"/>
        </w:rPr>
        <w:t>roduktywność poprzez ograniczenie nierówności, tworzenie większej liczby miejsc pracy i zapewnienie optymalnych warunków rozwoju dla europejskiego kapitału ludzkiego. Przekonanie to znajduje potwierdzenie w danych dotyczących zatrudnienia i postępu społecz</w:t>
      </w:r>
      <w:r>
        <w:rPr>
          <w:rFonts w:ascii="Times New Roman" w:hAnsi="Times New Roman"/>
          <w:noProof/>
          <w:sz w:val="24"/>
        </w:rPr>
        <w:t>nego. Państwa członkowskie osiągające najlepsze wyniki gospodarcze prowadzą ambitniejszą i skuteczniejszą politykę społeczną; polityka ta stanowi centralny element ich modelu wzrostu, a nie zwykłe następstwo zaawansowania gospodarki. Kluczem do sukcesu jes</w:t>
      </w:r>
      <w:r>
        <w:rPr>
          <w:rFonts w:ascii="Times New Roman" w:hAnsi="Times New Roman"/>
          <w:noProof/>
          <w:sz w:val="24"/>
        </w:rPr>
        <w:t>t stworzenie takich systemów bezpieczeństwa socjalnego i instytucji rynku pracy, które dobrze pełnią swoją rolę i wspierają tworzenie miejsc pracy.</w:t>
      </w:r>
    </w:p>
    <w:p w:rsidR="003C26F5" w:rsidRDefault="00E323D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lastRenderedPageBreak/>
        <w:t>Takie podejście stanowi również fundament programu gospodarczego Komisji, co obrazuje roczna analiza wzrostu gospodarczego na 2016 r. W swoich dążeniach mających na celu wspieranie reform strukturalnych, inwestycji i odpowiedzialnej polityki budżetowej Kom</w:t>
      </w:r>
      <w:r>
        <w:rPr>
          <w:rFonts w:ascii="Times New Roman" w:hAnsi="Times New Roman"/>
          <w:noProof/>
          <w:sz w:val="24"/>
        </w:rPr>
        <w:t xml:space="preserve">isja kładzie wyraźny nacisk na kwestie społeczne i sprawiedliwość społeczną. </w:t>
      </w:r>
    </w:p>
    <w:p w:rsidR="003C26F5" w:rsidRDefault="00E323DF">
      <w:pPr>
        <w:keepLine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Zgodnie z zasadą pomocniczości kształtowanie polityki zatrudnienia i polityki społecznej leży w gestii przede wszystkim państw członkowskich. Dotyczy to również kwestii prawa pra</w:t>
      </w:r>
      <w:r>
        <w:rPr>
          <w:rFonts w:ascii="Times New Roman" w:hAnsi="Times New Roman"/>
          <w:noProof/>
          <w:sz w:val="24"/>
        </w:rPr>
        <w:t>cy i organizacji systemów bezpieczeństwa socjalnego. Taki podział kompetencji jest potwierdzony w traktatach unijnych; od czasu powstania Europejskiej Wspólnoty Gospodarczej traktaty te przewidują również, że UE może uzupełniać działania państw członkowski</w:t>
      </w:r>
      <w:r>
        <w:rPr>
          <w:rFonts w:ascii="Times New Roman" w:hAnsi="Times New Roman"/>
          <w:noProof/>
          <w:sz w:val="24"/>
        </w:rPr>
        <w:t>ch. Artykuł 3 Traktatu o Unii Europejskiej odzwierciedla ten ogólny cel, zgodnie z którym Unia „[d]ziała na rzecz trwałego rozwoju Europy, którego podstawą jest zrównoważony wzrost gospodarczy oraz stabilność cen, społeczna gospodarka rynkowa o wysokiej ko</w:t>
      </w:r>
      <w:r>
        <w:rPr>
          <w:rFonts w:ascii="Times New Roman" w:hAnsi="Times New Roman"/>
          <w:noProof/>
          <w:sz w:val="24"/>
        </w:rPr>
        <w:t>nkurencyjności zmierzająca do pełnego zatrudnienia i postępu społecznego oraz wysoki poziom ochrony i poprawy jakości środowiska”.</w:t>
      </w:r>
    </w:p>
    <w:p w:rsidR="003C26F5" w:rsidRDefault="00E323DF">
      <w:pPr>
        <w:pStyle w:val="PlainText"/>
        <w:spacing w:after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Z tego właśnie powodu proces tworzenia i pogłębiania jednolitego rynku europejskiego szedł w parze z rozwojem socjalnego </w:t>
      </w:r>
      <w:r>
        <w:rPr>
          <w:rFonts w:ascii="Times New Roman" w:hAnsi="Times New Roman"/>
          <w:noProof/>
          <w:sz w:val="24"/>
        </w:rPr>
        <w:t>dorobku prawnego (</w:t>
      </w:r>
      <w:r>
        <w:rPr>
          <w:rFonts w:ascii="Times New Roman" w:hAnsi="Times New Roman"/>
          <w:i/>
          <w:noProof/>
          <w:sz w:val="24"/>
        </w:rPr>
        <w:t>acquis</w:t>
      </w:r>
      <w:r>
        <w:rPr>
          <w:rFonts w:ascii="Times New Roman" w:hAnsi="Times New Roman"/>
          <w:noProof/>
          <w:sz w:val="24"/>
        </w:rPr>
        <w:t>) na szczeblu UE, aby zapewnić równe warunki działania, ograniczyć ryzyko dumpingu socjalnego lub „równania w dół” oraz ułatwić integrację gospodarczą i społeczną. Z tego też względu zatrudnienie i kwestie socjalne stanowią od lat 9</w:t>
      </w:r>
      <w:r>
        <w:rPr>
          <w:rFonts w:ascii="Times New Roman" w:hAnsi="Times New Roman"/>
          <w:noProof/>
          <w:sz w:val="24"/>
        </w:rPr>
        <w:t>0. XX wieku nieodzowny element procesu koordynacji polityki gospodarczej na poziomie UE – obecnie znanego jako europejski semestr. Projekt europejskiego filaru praw socjalnych kieruje się tą samą logiką i ma dwojaki cel: wyjście z kryzysu i przygotowanie s</w:t>
      </w:r>
      <w:r>
        <w:rPr>
          <w:rFonts w:ascii="Times New Roman" w:hAnsi="Times New Roman"/>
          <w:noProof/>
          <w:sz w:val="24"/>
        </w:rPr>
        <w:t xml:space="preserve">ię na przyszłe wyzwania oraz przyczynienie się do powstania pogłębionej i bardziej sprawiedliwej UGW. </w:t>
      </w:r>
    </w:p>
    <w:p w:rsidR="003C26F5" w:rsidRDefault="00E323DF">
      <w:pPr>
        <w:pStyle w:val="PlainText"/>
        <w:keepNext/>
        <w:spacing w:before="120" w:after="24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2.2. Wyjście z kryzysu i przygotowanie się na przyszłe wyzwania </w:t>
      </w:r>
    </w:p>
    <w:p w:rsidR="003C26F5" w:rsidRDefault="00E323DF">
      <w:pPr>
        <w:pStyle w:val="PlainText"/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Europa przeszła najpoważniejszy kryzys od dziesięcioleci: każde państwo członkowskie z o</w:t>
      </w:r>
      <w:r>
        <w:rPr>
          <w:rFonts w:ascii="Times New Roman" w:hAnsi="Times New Roman"/>
          <w:noProof/>
          <w:sz w:val="24"/>
        </w:rPr>
        <w:t>sobna i cała UE zmagają się z jego skutkami politycznymi, gospodarczymi i społecznymi, starając się jednocześnie przewidzieć dalszy rozwój sytuacji. Kryzys miał dotkliwe skutki dla europejskich społeczeństw i gospodarek – skutki, które są wciąż widoczne. S</w:t>
      </w:r>
      <w:r>
        <w:rPr>
          <w:rFonts w:ascii="Times New Roman" w:hAnsi="Times New Roman"/>
          <w:noProof/>
          <w:sz w:val="24"/>
        </w:rPr>
        <w:t>ystemy bezpieczeństwa socjalnego złagodziły nieco skutki kryzysu, ale nastąpił wzrost bezrobocia, duży odsetek ludności jest zagrożony ubóstwem, finanse publiczne są mocno napięte, a sytuacja gospodarcza poszczególnych państw bardzo się zróżnicowała. Szcze</w:t>
      </w:r>
      <w:r>
        <w:rPr>
          <w:rFonts w:ascii="Times New Roman" w:hAnsi="Times New Roman"/>
          <w:noProof/>
          <w:sz w:val="24"/>
        </w:rPr>
        <w:t>gólnie poważne skutki dla jednostek i społeczeństw ma utrzymujące się od lat wysokie bezrobocie: blisko 22 miliony osób pozostaje bez pracy i szuka zatrudnienia (w tym prawie 17 mln w strefie euro), a 10 milionów spośród nich jest bezrobotnych dłużej niż j</w:t>
      </w:r>
      <w:r>
        <w:rPr>
          <w:rFonts w:ascii="Times New Roman" w:hAnsi="Times New Roman"/>
          <w:noProof/>
          <w:sz w:val="24"/>
        </w:rPr>
        <w:t xml:space="preserve">eden rok. </w:t>
      </w:r>
    </w:p>
    <w:p w:rsidR="003C26F5" w:rsidRDefault="00E323DF">
      <w:pPr>
        <w:pStyle w:val="PlainText"/>
        <w:spacing w:after="24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Pewne długookresowe trendy o fundamentalnym znaczeniu są częściowo maskowane przez kryzys, a inne stały się bardziej widoczne. Należą do nich np. zmiany struktur społecznych, rodzinnych i modeli pracy; wydłużenie i większa zmienność życia zawodo</w:t>
      </w:r>
      <w:r>
        <w:rPr>
          <w:rFonts w:ascii="Times New Roman" w:hAnsi="Times New Roman"/>
          <w:noProof/>
          <w:sz w:val="24"/>
        </w:rPr>
        <w:t>wego; bardziej zróżnicowana siła robocza i rozpowszechnianie się nowych form pracy; paradoksalny związek pomiędzy rosnącym poziomem wykształcenia a coraz powszechniejszym niedopasowaniem umiejętności do potrzeb rynku pracy; narastające nierówności; nowe po</w:t>
      </w:r>
      <w:r>
        <w:rPr>
          <w:rFonts w:ascii="Times New Roman" w:hAnsi="Times New Roman"/>
          <w:noProof/>
          <w:sz w:val="24"/>
        </w:rPr>
        <w:t xml:space="preserve">trzeby i nowe możliwości związane z dłuższym średnim trwaniem życia oraz starzeniem się społeczeństwa; zmiany technologiczne oraz cyfryzacja społeczeństwa i gospodarki. </w:t>
      </w:r>
    </w:p>
    <w:p w:rsidR="003C26F5" w:rsidRDefault="00E323DF">
      <w:pPr>
        <w:pStyle w:val="PlainText"/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Skala i charakter wyzwań, jakie stoją przed światem pracy i ogółem społeczeństwa, zmie</w:t>
      </w:r>
      <w:r>
        <w:rPr>
          <w:rFonts w:ascii="Times New Roman" w:hAnsi="Times New Roman"/>
          <w:noProof/>
          <w:sz w:val="24"/>
        </w:rPr>
        <w:t xml:space="preserve">niła się radykalnie w porównaniu z XX wiekiem. Europa będzie się musiała przystosować do wielu nowych trendów – obecnie i w przyszłości. Cele polityki społecznej i jej skuteczność są </w:t>
      </w:r>
      <w:r>
        <w:rPr>
          <w:rFonts w:ascii="Times New Roman" w:hAnsi="Times New Roman"/>
          <w:noProof/>
          <w:sz w:val="24"/>
        </w:rPr>
        <w:lastRenderedPageBreak/>
        <w:t>poddawane poważnej próbie. Europa musi posiadać dobrze funkcjonujące i sp</w:t>
      </w:r>
      <w:r>
        <w:rPr>
          <w:rFonts w:ascii="Times New Roman" w:hAnsi="Times New Roman"/>
          <w:noProof/>
          <w:sz w:val="24"/>
        </w:rPr>
        <w:t xml:space="preserve">rawiedliwe rynki pracy oraz systemy bezpieczeństwa socjalnego, aby móc zwiększyć produktywność, konkurować na światowych rynkach, zwiększyć spójność społeczną i zapewnić stały wzrost poziomu życia swoim obywatelom. </w:t>
      </w:r>
    </w:p>
    <w:p w:rsidR="003C26F5" w:rsidRDefault="00E323DF">
      <w:pPr>
        <w:pStyle w:val="PlainText"/>
        <w:spacing w:after="24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Ten sposób myślenia zaczyna dochodzić do</w:t>
      </w:r>
      <w:r>
        <w:rPr>
          <w:rFonts w:ascii="Times New Roman" w:hAnsi="Times New Roman"/>
          <w:noProof/>
          <w:sz w:val="24"/>
        </w:rPr>
        <w:t xml:space="preserve"> głosu zarówno na arenie międzynarodowej, jak i we wszystkich państwach członkowskich</w:t>
      </w:r>
      <w:r>
        <w:rPr>
          <w:rStyle w:val="FootnoteReference"/>
          <w:rFonts w:ascii="Times New Roman" w:hAnsi="Times New Roman"/>
          <w:noProof/>
          <w:sz w:val="24"/>
        </w:rPr>
        <w:footnoteReference w:id="4"/>
      </w:r>
      <w:r>
        <w:rPr>
          <w:rFonts w:ascii="Times New Roman" w:hAnsi="Times New Roman"/>
          <w:noProof/>
          <w:sz w:val="24"/>
        </w:rPr>
        <w:t>. Mimo wielu niewiadomych dotyczących przyszłości, na świecie pojawia się konsensus – poparty coraz liczniejszymi dowodami – w sprawie konieczności ściślejszego powiązani</w:t>
      </w:r>
      <w:r>
        <w:rPr>
          <w:rFonts w:ascii="Times New Roman" w:hAnsi="Times New Roman"/>
          <w:noProof/>
          <w:sz w:val="24"/>
        </w:rPr>
        <w:t>a rozwoju gospodarczego, społecznego i ekologicznego oraz przekonanie, że nierówności hamują rozwój gospodarczy i że należy zbudować bardziej integracyjny model wzrostu. Świadczą o tym chociażby cele zrównoważonego rozwoju przyjęte we wrześniu 2015 r. prze</w:t>
      </w:r>
      <w:r>
        <w:rPr>
          <w:rFonts w:ascii="Times New Roman" w:hAnsi="Times New Roman"/>
          <w:noProof/>
          <w:sz w:val="24"/>
        </w:rPr>
        <w:t>z Organizację Narodów Zjednoczonych i konkluzje z posiedzeń grupy G20.</w:t>
      </w:r>
      <w:r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Te globalne plany działania czerpią z licznych badań organizacji międzynarodowych, takich jak Organizacja Współpracy Gospodarczej i Rozwoju, Bank Światowy, Międzynarodowa Organizacja Pr</w:t>
      </w:r>
      <w:r>
        <w:rPr>
          <w:rFonts w:ascii="Times New Roman" w:hAnsi="Times New Roman"/>
          <w:noProof/>
          <w:sz w:val="24"/>
        </w:rPr>
        <w:t>acy i Międzynarodowy Fundusz Walutowy.</w:t>
      </w:r>
    </w:p>
    <w:p w:rsidR="003C26F5" w:rsidRDefault="00E323DF">
      <w:pPr>
        <w:pStyle w:val="PlainText"/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Publikacje te podkreślają, że inwestycje w kapitał ludzki przyczyniają się w znaczącym stopniu do długoterminowego wzrostu gospodarczego, równości i postępu społecznego. Potwierdzają one również, że w długim okresie n</w:t>
      </w:r>
      <w:r>
        <w:rPr>
          <w:rFonts w:ascii="Times New Roman" w:hAnsi="Times New Roman"/>
          <w:noProof/>
          <w:sz w:val="24"/>
        </w:rPr>
        <w:t xml:space="preserve">ierówność dochodów może wpływać niekorzystnie na potencjał wzrostu gospodarczego, ponieważ konsoliduje i wzmacnia brak równych szans, ogranicza rozwój umiejętności i utrudnia mobilność zawodową i społeczną. W rozwiniętych gospodarkach, które opierają swój </w:t>
      </w:r>
      <w:r>
        <w:rPr>
          <w:rFonts w:ascii="Times New Roman" w:hAnsi="Times New Roman"/>
          <w:noProof/>
          <w:sz w:val="24"/>
        </w:rPr>
        <w:t xml:space="preserve">dobrobyt na wzroście produktywności i na zdolności do innowacji, rozwój społeczny i gospodarczy idą ręka w rękę. </w:t>
      </w:r>
    </w:p>
    <w:p w:rsidR="003C26F5" w:rsidRDefault="00E323DF">
      <w:pPr>
        <w:pStyle w:val="PlainText"/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Fundamentem nowoczesnej polityki społecznej powinny być: inwestycje w kapitał ludzki oparte na zasadzie równych szans; zapobieganie ryzyku soc</w:t>
      </w:r>
      <w:r>
        <w:rPr>
          <w:rFonts w:ascii="Times New Roman" w:hAnsi="Times New Roman"/>
          <w:noProof/>
          <w:sz w:val="24"/>
        </w:rPr>
        <w:t>jalnemu i ochrona przed nim; utrzymywanie skutecznych zabezpieczeń socjalnych; stosowanie zachęt do wejścia na rynek pracy – tak aby umożliwić obywatelom prowadzenie godnego życia, płynne dostosowywanie się do zmian sytuacji osobistej i zawodowej w ciągu i</w:t>
      </w:r>
      <w:r>
        <w:rPr>
          <w:rFonts w:ascii="Times New Roman" w:hAnsi="Times New Roman"/>
          <w:noProof/>
          <w:sz w:val="24"/>
        </w:rPr>
        <w:t>ch życia oraz jak najlepsze wykorzystanie zdolności.</w:t>
      </w:r>
    </w:p>
    <w:p w:rsidR="003C26F5" w:rsidRDefault="00E323DF">
      <w:pPr>
        <w:pStyle w:val="PlainText"/>
        <w:keepNext/>
        <w:spacing w:after="24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2.3. W kierunku pogłębionej i bardziej sprawiedliwej unii gospodarczej i walutowej</w:t>
      </w:r>
    </w:p>
    <w:p w:rsidR="003C26F5" w:rsidRDefault="00E323DF">
      <w:pPr>
        <w:pStyle w:val="PlainText"/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Strefa euro wyciąga wnioski z kryzysu, jaki miał miejsce w ostatnich latach, i rozpoczyna proces głębszej integracji i k</w:t>
      </w:r>
      <w:r>
        <w:rPr>
          <w:rFonts w:ascii="Times New Roman" w:hAnsi="Times New Roman"/>
          <w:noProof/>
          <w:sz w:val="24"/>
        </w:rPr>
        <w:t>onsolidacji. Działania te obejmują oczywiście wymiar społeczny. W sprawozdaniu pięciu przewodniczących poświęconym dokończeniu budowy europejskiej UGW</w:t>
      </w:r>
      <w:r>
        <w:rPr>
          <w:rStyle w:val="FootnoteReference"/>
          <w:rFonts w:ascii="Times New Roman" w:hAnsi="Times New Roman"/>
          <w:noProof/>
          <w:sz w:val="24"/>
        </w:rPr>
        <w:footnoteReference w:id="5"/>
      </w:r>
      <w:r>
        <w:rPr>
          <w:rFonts w:ascii="Times New Roman" w:hAnsi="Times New Roman"/>
          <w:noProof/>
          <w:sz w:val="24"/>
        </w:rPr>
        <w:t xml:space="preserve"> podkreślono, że „[w] kwestiach społecznych Europa powinna dążyć do uzyskania najwyższej oceny”, a „[p]om</w:t>
      </w:r>
      <w:r>
        <w:rPr>
          <w:rFonts w:ascii="Times New Roman" w:hAnsi="Times New Roman"/>
          <w:noProof/>
          <w:sz w:val="24"/>
        </w:rPr>
        <w:t>yślne wdrożenie UGW wymaga, aby rynki pracy i siatki bezpieczeństwa socjalnego funkcjonowały sprawnie i w sposób sprawiedliwy we wszystkich państwach członkowskich strefy euro”. W sprawozdaniu tym przyznano, że nie istnieje uniwersalny model, ale podkreślo</w:t>
      </w:r>
      <w:r>
        <w:rPr>
          <w:rFonts w:ascii="Times New Roman" w:hAnsi="Times New Roman"/>
          <w:noProof/>
          <w:sz w:val="24"/>
        </w:rPr>
        <w:t>no jednocześnie, że wyzwania w różnych państwach członkowskich są często podobne. Wezwano również do położenia większego nacisku na zatrudnienie i postęp społeczny w ramach szerszego procesu konwergencji w kierunku bardziej odpornych struktur gospodarczych</w:t>
      </w:r>
      <w:r>
        <w:rPr>
          <w:rFonts w:ascii="Times New Roman" w:hAnsi="Times New Roman"/>
          <w:noProof/>
          <w:sz w:val="24"/>
        </w:rPr>
        <w:t xml:space="preserve"> w obrębie strefy euro.</w:t>
      </w:r>
    </w:p>
    <w:p w:rsidR="003C26F5" w:rsidRDefault="00E323DF">
      <w:pPr>
        <w:pStyle w:val="PlainText"/>
        <w:keepLines/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Zalecenia te to coś więcej niż tylko imperatywy polityczne czy społeczne – ich realizacja jest konieczna z ekonomicznego punktu widzenia. Doświadczenia ostatnich piętnastu lat pokazały, że zakłócenia równowagi makroekonomicznej utrz</w:t>
      </w:r>
      <w:r>
        <w:rPr>
          <w:rFonts w:ascii="Times New Roman" w:hAnsi="Times New Roman"/>
          <w:noProof/>
          <w:sz w:val="24"/>
        </w:rPr>
        <w:t xml:space="preserve">ymujące się w jednym państwie członkowskim lub w kilku państwach członkowskich mogą zagrozić stabilności całej strefy euro i że niezdolność tych państw do zlikwidowania zakłóceń może doprowadzić do jeszcze głębszych rozbieżności, które są bardzo kosztowne </w:t>
      </w:r>
      <w:r>
        <w:rPr>
          <w:rFonts w:ascii="Times New Roman" w:hAnsi="Times New Roman"/>
          <w:noProof/>
          <w:sz w:val="24"/>
        </w:rPr>
        <w:t>dla gospodarek. Po kryzysie z lat 2007–2008, który dotknął szczególnie mocno niektóre państwa, sytuacja w strefie euro przestała być jednorodna. Zmniejszenie tych różnic wymaga czasu. W dalszej perspektywie jest oczywiste, że pomyślna przyszłość strefy eur</w:t>
      </w:r>
      <w:r>
        <w:rPr>
          <w:rFonts w:ascii="Times New Roman" w:hAnsi="Times New Roman"/>
          <w:noProof/>
          <w:sz w:val="24"/>
        </w:rPr>
        <w:t>o zależy w dużym stopniu od sprawnego funkcjonowania krajowych rynków pracy i systemów bezpieczeństwa socjalnego oraz od skutecznego absorbowania skutków wstrząsów makroekonomicznych przez gospodarkę i jej zdolności dostosowawczych.</w:t>
      </w:r>
    </w:p>
    <w:p w:rsidR="003C26F5" w:rsidRDefault="00E323DF">
      <w:pPr>
        <w:pStyle w:val="PlainText"/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Aby rynki pracy działał</w:t>
      </w:r>
      <w:r>
        <w:rPr>
          <w:rFonts w:ascii="Times New Roman" w:hAnsi="Times New Roman"/>
          <w:noProof/>
          <w:sz w:val="24"/>
        </w:rPr>
        <w:t>y efektywnie i sprzyjały włączeniu społecznemu, muszą odpowiednio godzić ze sobą elastyczność i bezpieczeństwo stosunku pracy, dbając w ten sposób zarówno o zdolności dostosowawcze, jak i wysoki poziom zatrudnienia. Związany z tą koncepcją model elastyczne</w:t>
      </w:r>
      <w:r>
        <w:rPr>
          <w:rFonts w:ascii="Times New Roman" w:hAnsi="Times New Roman"/>
          <w:noProof/>
          <w:sz w:val="24"/>
        </w:rPr>
        <w:t xml:space="preserve">go rynku pracy i bezpieczeństwa socjalnego (ang. </w:t>
      </w:r>
      <w:r>
        <w:rPr>
          <w:rFonts w:ascii="Times New Roman" w:hAnsi="Times New Roman"/>
          <w:i/>
          <w:noProof/>
          <w:sz w:val="24"/>
        </w:rPr>
        <w:t>flexicurity</w:t>
      </w:r>
      <w:r>
        <w:rPr>
          <w:rFonts w:ascii="Times New Roman" w:hAnsi="Times New Roman"/>
          <w:noProof/>
          <w:sz w:val="24"/>
        </w:rPr>
        <w:t xml:space="preserve">) nie jest nowy, ale w świetle skutków kryzysu i zmian zachodzących na rynku pracy nadszedł czas, aby na nowo rozważyć, w jaki sposób najlepiej stosować go w praktyce. Przedsiębiorstwom zależy na </w:t>
      </w:r>
      <w:r>
        <w:rPr>
          <w:rFonts w:ascii="Times New Roman" w:hAnsi="Times New Roman"/>
          <w:noProof/>
          <w:sz w:val="24"/>
        </w:rPr>
        <w:t>przewidywalnym otoczeniu biznesowym, które cechuje pewność prawa; chcą one przyciągać wykwalifikowanych i wydajnych pracowników, ale jednocześnie być w stanie reagować na szybko zmieniające się realia rynkowe. Pracownicy są z kolei zainteresowani bezpiecze</w:t>
      </w:r>
      <w:r>
        <w:rPr>
          <w:rFonts w:ascii="Times New Roman" w:hAnsi="Times New Roman"/>
          <w:noProof/>
          <w:sz w:val="24"/>
        </w:rPr>
        <w:t>ństwem zatrudnienia i dochodów. Chcą być w stanie godzić pracę i życie prywatne, ale także podejmować nowe wyzwania i adaptować się do nowych sytuacji w trakcie swojej kariery zawodowej oraz stale gromadzić cenne umiejętności w perspektywie całego życia. O</w:t>
      </w:r>
      <w:r>
        <w:rPr>
          <w:rFonts w:ascii="Times New Roman" w:hAnsi="Times New Roman"/>
          <w:noProof/>
          <w:sz w:val="24"/>
        </w:rPr>
        <w:t>soby bezrobotne i bierne zawodowo często starają się powrócić na rynek pracy, ale boją się utknięcia na nisko płatnych stanowiskach, które nie oferują im żadnych perspektyw ani podstawowych praw socjalnych. W interesie gospodarek i społeczeństw, szczególni</w:t>
      </w:r>
      <w:r>
        <w:rPr>
          <w:rFonts w:ascii="Times New Roman" w:hAnsi="Times New Roman"/>
          <w:noProof/>
          <w:sz w:val="24"/>
        </w:rPr>
        <w:t xml:space="preserve">e w obrębie strefy euro, leży lepszy rozwój i wykorzystywanie umiejętności, większa sprawność i odporność, spójność społeczna oraz sprawiedliwy i efektywny podział praw, obowiązków i dochodów, w tym również między pokoleniami. </w:t>
      </w:r>
    </w:p>
    <w:p w:rsidR="003C26F5" w:rsidRDefault="00E323DF">
      <w:pPr>
        <w:pStyle w:val="PlainText"/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 świetle wysokiego bezroboc</w:t>
      </w:r>
      <w:r>
        <w:rPr>
          <w:rFonts w:ascii="Times New Roman" w:hAnsi="Times New Roman"/>
          <w:noProof/>
          <w:sz w:val="24"/>
        </w:rPr>
        <w:t>ia i starzenia się społeczeństwa oraz presji na finanse publiczne i konieczności ograniczania efektów zewnętrznych wynikających z zakłóceń równowagi makroekonomicznej w pojedynczych państwach szczególnego znaczenia nabierają różnego rodzaju kwestie związan</w:t>
      </w:r>
      <w:r>
        <w:rPr>
          <w:rFonts w:ascii="Times New Roman" w:hAnsi="Times New Roman"/>
          <w:noProof/>
          <w:sz w:val="24"/>
        </w:rPr>
        <w:t>e z działaniem krajowych systemów opieki społecznej: po pierwsze, czy są adekwatne do potrzeb i mają zapewnione stabilne finansowanie w długim okresie, w kontekście zmieniających się potrzeb społecznych, w tym konieczności walki z ubóstwem; po drugie, jaki</w:t>
      </w:r>
      <w:r>
        <w:rPr>
          <w:rFonts w:ascii="Times New Roman" w:hAnsi="Times New Roman"/>
          <w:noProof/>
          <w:sz w:val="24"/>
        </w:rPr>
        <w:t xml:space="preserve"> mają wpływ na tworzenie miejsc pracy, zarówno z perspektywy pracodawców, jak i osób poszukujących pracy, w tym na motywację tych ostatnich do podjęcia zatrudnienia, oraz czy przyczyniają się do poprawy umiejętności jednostek i ich pełniejszego uczestnictw</w:t>
      </w:r>
      <w:r>
        <w:rPr>
          <w:rFonts w:ascii="Times New Roman" w:hAnsi="Times New Roman"/>
          <w:noProof/>
          <w:sz w:val="24"/>
        </w:rPr>
        <w:t>a w życiu społecznym; po trzecie – aspekt ten ma szczególne znaczenie w przypadku strefy euro – czy są w stanie amortyzować wstrząsy makroekonomiczne i pełnić funkcję automatycznych stabilizatorów. Wysokie zatrudnienie, niskie bezrobocie i dobrze skonstruo</w:t>
      </w:r>
      <w:r>
        <w:rPr>
          <w:rFonts w:ascii="Times New Roman" w:hAnsi="Times New Roman"/>
          <w:noProof/>
          <w:sz w:val="24"/>
        </w:rPr>
        <w:t>wane systemy bezpieczeństwa socjalnego są niezwykle ważne dla zdrowej kondycji finansów publicznych, a zbyt duże różnice dotyczące rynków pracy i sytuacji społecznej zagrażają funkcjonowaniu strefy euro. Dzięki debacie na temat jakości finansów publicznych</w:t>
      </w:r>
      <w:r>
        <w:rPr>
          <w:rFonts w:ascii="Times New Roman" w:hAnsi="Times New Roman"/>
          <w:noProof/>
          <w:sz w:val="24"/>
        </w:rPr>
        <w:t xml:space="preserve"> (na którą duży wpływ mają również systemy bezpieczeństwa socjalnego), podjętej w ramach działań służących poprawie nadzoru budżetowego na szczeblu UE, zwrócono większą uwagę na kwestie sprawiedliwości i skuteczności dochodów i wydatków publicznych.</w:t>
      </w:r>
    </w:p>
    <w:p w:rsidR="003C26F5" w:rsidRDefault="00E323DF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:rsidR="003C26F5" w:rsidRDefault="00E323DF">
      <w:pPr>
        <w:keepNext/>
        <w:spacing w:before="120" w:after="24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2.4.</w:t>
      </w:r>
      <w:r>
        <w:rPr>
          <w:rFonts w:ascii="Times New Roman" w:hAnsi="Times New Roman"/>
          <w:b/>
          <w:noProof/>
          <w:sz w:val="24"/>
        </w:rPr>
        <w:t xml:space="preserve"> Wykorzystanie bogatych doświadczeń </w:t>
      </w:r>
    </w:p>
    <w:p w:rsidR="003C26F5" w:rsidRDefault="00E323DF">
      <w:pPr>
        <w:pStyle w:val="PlainText"/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Przy tworzeniu europejskiego filaru praw socjalnych można skorzystać z dotychczasowych bogatych doświadczeń i istniejących praktyk: w przypadku wielu obszarów liderzy osiągający najlepsze na świecie wyniki znajdują się </w:t>
      </w:r>
      <w:r>
        <w:rPr>
          <w:rFonts w:ascii="Times New Roman" w:hAnsi="Times New Roman"/>
          <w:noProof/>
          <w:sz w:val="24"/>
        </w:rPr>
        <w:t xml:space="preserve">właśnie w Europie, a stosowane przez nich rozwiązania są dobrze znane. Biorąc jednak pod uwagę skalę dzisiejszych wyzwań, nie ma już miejsca na bierne samozadowolenie ani trzymanie się </w:t>
      </w:r>
      <w:r>
        <w:rPr>
          <w:rFonts w:ascii="Times New Roman" w:hAnsi="Times New Roman"/>
          <w:i/>
          <w:noProof/>
          <w:sz w:val="24"/>
        </w:rPr>
        <w:t>status quo</w:t>
      </w:r>
      <w:r>
        <w:rPr>
          <w:rFonts w:ascii="Times New Roman" w:hAnsi="Times New Roman"/>
          <w:noProof/>
          <w:sz w:val="24"/>
        </w:rPr>
        <w:t>. Wiele lekcji można również wyciągnąć z szybko zmieniających</w:t>
      </w:r>
      <w:r>
        <w:rPr>
          <w:rFonts w:ascii="Times New Roman" w:hAnsi="Times New Roman"/>
          <w:noProof/>
          <w:sz w:val="24"/>
        </w:rPr>
        <w:t xml:space="preserve"> się realiów na świecie.</w:t>
      </w:r>
    </w:p>
    <w:p w:rsidR="003C26F5" w:rsidRDefault="00E323DF">
      <w:pPr>
        <w:pStyle w:val="PlainText"/>
        <w:keepLines/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Filar uwzględnia znaczące różnice pomiędzy państwami członkowskimi, ale może jednocześnie opierać się na tych wartościach i zasadach, które są wspólne na poziomie krajowym, europejskim i międzynarodowym. Te wartości i zasady zajmuj</w:t>
      </w:r>
      <w:r>
        <w:rPr>
          <w:rFonts w:ascii="Times New Roman" w:hAnsi="Times New Roman"/>
          <w:noProof/>
          <w:sz w:val="24"/>
        </w:rPr>
        <w:t>ą ważne miejsce w takich dokumentach, jak Traktat o Unii Europejskiej (TUE), Traktat o funkcjonowaniu Unii Europejskiej (TFUE), Karta praw podstawowych Unii Europejskiej, i w orzecznictwie Trybunału Sprawiedliwości Unii Europejskiej, a także w instrumentac</w:t>
      </w:r>
      <w:r>
        <w:rPr>
          <w:rFonts w:ascii="Times New Roman" w:hAnsi="Times New Roman"/>
          <w:noProof/>
          <w:sz w:val="24"/>
        </w:rPr>
        <w:t xml:space="preserve">h międzynarodowych, takich jak Europejska karta społeczna przyjęta przez Radę Europy czy zalecenia przedstawiane przez MOP. </w:t>
      </w:r>
    </w:p>
    <w:p w:rsidR="003C26F5" w:rsidRDefault="00E323DF">
      <w:pPr>
        <w:pStyle w:val="PlainText"/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Tego typu ramy obejmują często szeroki zakres dziedzin i określają dla nich ogólne zasady lub minimalne standardy, które są uzupełniane na szczeblu krajowym, regionalnym lub lokalnym. Wyzwanie dla Europy stanowi zatem nie tyle uznawanie praw, co korzystani</w:t>
      </w:r>
      <w:r>
        <w:rPr>
          <w:rFonts w:ascii="Times New Roman" w:hAnsi="Times New Roman"/>
          <w:noProof/>
          <w:sz w:val="24"/>
        </w:rPr>
        <w:t xml:space="preserve">e z nich w praktyce oraz ich wdrażanie, ze względu na szybkie zmiany otoczenia społecznego, prawnego i ekonomicznego. </w:t>
      </w:r>
    </w:p>
    <w:p w:rsidR="003C26F5" w:rsidRDefault="00E323DF">
      <w:pPr>
        <w:pStyle w:val="PlainText"/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Na przestrzeni lat Komisja podejmowała inicjatywy w celu wzmocnienia działań realizujących pilne priorytety i aktualizujących unijny </w:t>
      </w:r>
      <w:r>
        <w:rPr>
          <w:rFonts w:ascii="Times New Roman" w:hAnsi="Times New Roman"/>
          <w:i/>
          <w:noProof/>
          <w:sz w:val="24"/>
        </w:rPr>
        <w:t>acqu</w:t>
      </w:r>
      <w:r>
        <w:rPr>
          <w:rFonts w:ascii="Times New Roman" w:hAnsi="Times New Roman"/>
          <w:i/>
          <w:noProof/>
          <w:sz w:val="24"/>
        </w:rPr>
        <w:t>is</w:t>
      </w:r>
      <w:r>
        <w:rPr>
          <w:rFonts w:ascii="Times New Roman" w:hAnsi="Times New Roman"/>
          <w:noProof/>
          <w:sz w:val="24"/>
        </w:rPr>
        <w:t>. Działania takie są zgodne ze strategią lepszych uregulowań prawnych: nie chodzi tu o mniejszą liczbę uregulowań, tylko o takie podejście do regulacji, które w pełni uwzględnia realne skutki gospodarcze, społeczne i środowiskowe, aby zagwarantować, że k</w:t>
      </w:r>
      <w:r>
        <w:rPr>
          <w:rFonts w:ascii="Times New Roman" w:hAnsi="Times New Roman"/>
          <w:noProof/>
          <w:sz w:val="24"/>
        </w:rPr>
        <w:t>ażda inicjatywa osiągnie swój cel w najlepszy możliwy sposób. Podczas swojej obecnej kadencji Komisja rozpoczęła programy europejskich funduszy strukturalnych i inwestycyjnych na lata 2014–2020, przy czym blisko 20 % środków jest uruchamianych poprzez Euro</w:t>
      </w:r>
      <w:r>
        <w:rPr>
          <w:rFonts w:ascii="Times New Roman" w:hAnsi="Times New Roman"/>
          <w:noProof/>
          <w:sz w:val="24"/>
        </w:rPr>
        <w:t xml:space="preserve">pejski Fundusz Społeczny. Komisja podjęła również działania w wielu obszarach polityki, które obejmują między innymi: </w:t>
      </w:r>
    </w:p>
    <w:p w:rsidR="003C26F5" w:rsidRDefault="00E323DF">
      <w:pPr>
        <w:pStyle w:val="PlainText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zwrócenie większej uwagi na aspekty społeczne w ramach europejskiego semestru na rzecz koordynacji polityki gospodarczej, stosowanie wska</w:t>
      </w:r>
      <w:r>
        <w:rPr>
          <w:rFonts w:ascii="Times New Roman" w:hAnsi="Times New Roman"/>
          <w:noProof/>
          <w:sz w:val="24"/>
        </w:rPr>
        <w:t>źników społecznych w procedurze dotyczącej zakłóceń równowagi makroekonomicznej, promowanie kryteriów społecznych (tzw. „benchmarking społeczny”) oraz ocenę skutków społecznych nowego programu pomocy stabilizacyjnej dla Grecji;</w:t>
      </w:r>
    </w:p>
    <w:p w:rsidR="003C26F5" w:rsidRDefault="00E323DF">
      <w:pPr>
        <w:pStyle w:val="PlainText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uwzględnianie celów społeczn</w:t>
      </w:r>
      <w:r>
        <w:rPr>
          <w:rFonts w:ascii="Times New Roman" w:hAnsi="Times New Roman"/>
          <w:noProof/>
          <w:sz w:val="24"/>
        </w:rPr>
        <w:t>ych w inicjatywach przewodnich, takich jak plan inwestycyjny dla Europy, unia energetyczna i jednolity rynek cyfrowy;</w:t>
      </w:r>
    </w:p>
    <w:p w:rsidR="003C26F5" w:rsidRDefault="00E323DF">
      <w:pPr>
        <w:pStyle w:val="PlainText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przedstawienie dokumentu „Strategiczne zaangażowanie na rzecz równości płci w latach 2016–2019”;</w:t>
      </w:r>
    </w:p>
    <w:p w:rsidR="003C26F5" w:rsidRDefault="00E323DF">
      <w:pPr>
        <w:pStyle w:val="PlainText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skoncentrowane, wczesne wsparcie finansow</w:t>
      </w:r>
      <w:r>
        <w:rPr>
          <w:rFonts w:ascii="Times New Roman" w:hAnsi="Times New Roman"/>
          <w:noProof/>
          <w:sz w:val="24"/>
        </w:rPr>
        <w:t>e dla państw członkowskich w celu umożliwienia im wprowadzenia programu gwarancji dla młodzieży, który przewiduje, że wszyscy młodzi ludzie poniżej 25. roku życia powinni otrzymać dobrej jakości, konkretną ofertę zatrudnienia w ciągu 4 miesięcy od zakończe</w:t>
      </w:r>
      <w:r>
        <w:rPr>
          <w:rFonts w:ascii="Times New Roman" w:hAnsi="Times New Roman"/>
          <w:noProof/>
          <w:sz w:val="24"/>
        </w:rPr>
        <w:t xml:space="preserve">nia formalnego kształcenia lub utraty pracy; </w:t>
      </w:r>
    </w:p>
    <w:p w:rsidR="003C26F5" w:rsidRDefault="00E323DF">
      <w:pPr>
        <w:pStyle w:val="PlainText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wydanie wytycznych dla państw członkowskich w sprawie ponownej integracji na rynku pracy osób długotrwale bezrobotnych; </w:t>
      </w:r>
    </w:p>
    <w:p w:rsidR="003C26F5" w:rsidRDefault="00E323DF">
      <w:pPr>
        <w:pStyle w:val="PlainText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przedstawienie wniosku dotyczącego europejskiego aktu w sprawie dostępności, aby ułatwić </w:t>
      </w:r>
      <w:r>
        <w:rPr>
          <w:rFonts w:ascii="Times New Roman" w:hAnsi="Times New Roman"/>
          <w:noProof/>
          <w:sz w:val="24"/>
        </w:rPr>
        <w:t xml:space="preserve">dostęp na jednolitym rynku do podstawowych dóbr i usług dla osób niepełnosprawnych; </w:t>
      </w:r>
    </w:p>
    <w:p w:rsidR="003C26F5" w:rsidRDefault="00E323DF">
      <w:pPr>
        <w:pStyle w:val="PlainText"/>
        <w:numPr>
          <w:ilvl w:val="0"/>
          <w:numId w:val="18"/>
        </w:numPr>
        <w:spacing w:after="240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zaproponowanie przeglądu dyrektywy o delegowaniu pracowników w celu wsparcia zasady równości wynagrodzeń za taką samą pracę w tym samym miejscu pracy.</w:t>
      </w:r>
    </w:p>
    <w:p w:rsidR="003C26F5" w:rsidRDefault="00E323DF">
      <w:pPr>
        <w:pStyle w:val="PlainText"/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 2016 r. prowadzone</w:t>
      </w:r>
      <w:r>
        <w:rPr>
          <w:rFonts w:ascii="Times New Roman" w:hAnsi="Times New Roman"/>
          <w:noProof/>
          <w:sz w:val="24"/>
        </w:rPr>
        <w:t xml:space="preserve"> są również prace nad kilkoma dodatkowymi aspektami, które będą kontynuowane równolegle do konsultacji w sprawie filaru. Są to prace w sprawie: „nowego początku” dla pracujących rodziców, aby pomóc im w osiągnięciu równowagi pomiędzy życiem zawodowym a pry</w:t>
      </w:r>
      <w:r>
        <w:rPr>
          <w:rFonts w:ascii="Times New Roman" w:hAnsi="Times New Roman"/>
          <w:noProof/>
          <w:sz w:val="24"/>
        </w:rPr>
        <w:t xml:space="preserve">watnym; europejskiego programu na rzecz umiejętności; oraz szczegółowej analizy 24 dyrektyw dotyczących bezpieczeństwa i higieny pracy, która powinna pomóc ocenić ich aktualność, skuteczność i spójność; działanie to ma służyć zapewnieniu wysokiego poziomu </w:t>
      </w:r>
      <w:r>
        <w:rPr>
          <w:rFonts w:ascii="Times New Roman" w:hAnsi="Times New Roman"/>
          <w:noProof/>
          <w:sz w:val="24"/>
        </w:rPr>
        <w:t xml:space="preserve">ochrony zdrowia i bezpieczeństwa pracowników w świetle nowych zagrożeń, a także uproszczeniu i modernizacji obowiązujących przepisów oraz ułatwieniu ich stosowania przez MŚP. Powyższe przykłady pokazują, że UE może działać w sferze społecznej wspierająco, </w:t>
      </w:r>
      <w:r>
        <w:rPr>
          <w:rFonts w:ascii="Times New Roman" w:hAnsi="Times New Roman"/>
          <w:noProof/>
          <w:sz w:val="24"/>
        </w:rPr>
        <w:t>przedstawiać wytyczne i ramowe regulacje, oraz dają pojęcie o dalszych działaniach, które mogą być podjęte w związku z utworzeniem filaru.</w:t>
      </w:r>
    </w:p>
    <w:p w:rsidR="003C26F5" w:rsidRDefault="00E323DF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Ważnym priorytetem dla obecnej Komisji jest także zachęcanie do dialogu społecznego na wszystkich szczeblach. Po konf</w:t>
      </w:r>
      <w:r>
        <w:rPr>
          <w:rFonts w:ascii="Times New Roman" w:hAnsi="Times New Roman"/>
          <w:noProof/>
          <w:sz w:val="24"/>
        </w:rPr>
        <w:t>erencji wysokiego szczebla rozpoczynającej na nowo unijny dialog społeczny, która odbyła się w marcu 2015 r., europejscy partnerzy społeczni uzgodnili na szczeblu międzysektorowym, że przeprowadzą wspólnie szczegółową analizę zatrudnienia, oraz ustalili ws</w:t>
      </w:r>
      <w:r>
        <w:rPr>
          <w:rFonts w:ascii="Times New Roman" w:hAnsi="Times New Roman"/>
          <w:noProof/>
          <w:sz w:val="24"/>
        </w:rPr>
        <w:t>pólny program prac na lata 2015–2017. Rozpoczęto negocjacje w sprawie niezależnego porozumienia ramowego dotyczącego aktywnego starzenia się; przygotowywane są wspólne wnioski w sprawie równowagi między życiem zawodowym a prywatnym. grupa robocza bada wdro</w:t>
      </w:r>
      <w:r>
        <w:rPr>
          <w:rFonts w:ascii="Times New Roman" w:hAnsi="Times New Roman"/>
          <w:noProof/>
          <w:sz w:val="24"/>
        </w:rPr>
        <w:t xml:space="preserve">żenie przez jej członków poprzednich niezależnych porozumień ramowych. Sektorowi partnerzy społeczni UE, reprezentujący 43 różnych sektorów i 75 % siły roboczej, kontynuowali również realizację swoich wspólnych programów prac. </w:t>
      </w:r>
    </w:p>
    <w:p w:rsidR="003C26F5" w:rsidRDefault="00E323DF">
      <w:pPr>
        <w:keepNext/>
        <w:spacing w:after="240" w:line="240" w:lineRule="auto"/>
        <w:jc w:val="both"/>
        <w:rPr>
          <w:rFonts w:ascii="Times New Roman" w:eastAsia="SimSun" w:hAnsi="Times New Roman" w:cs="Times New Roman"/>
          <w:b/>
          <w:iCs/>
          <w:noProof/>
          <w:kern w:val="3"/>
          <w:sz w:val="24"/>
          <w:szCs w:val="24"/>
        </w:rPr>
      </w:pPr>
      <w:r>
        <w:rPr>
          <w:rFonts w:ascii="Times New Roman" w:hAnsi="Times New Roman"/>
          <w:b/>
          <w:noProof/>
          <w:kern w:val="3"/>
          <w:sz w:val="24"/>
        </w:rPr>
        <w:t>3. Europejski filar praw soc</w:t>
      </w:r>
      <w:r>
        <w:rPr>
          <w:rFonts w:ascii="Times New Roman" w:hAnsi="Times New Roman"/>
          <w:b/>
          <w:noProof/>
          <w:kern w:val="3"/>
          <w:sz w:val="24"/>
        </w:rPr>
        <w:t>jalnych: rola, zakres i charakter prawny</w:t>
      </w:r>
    </w:p>
    <w:p w:rsidR="003C26F5" w:rsidRDefault="00E323DF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Celem filaru jest sformułowanie pewnych kluczowych zasad, które będą wspierać sprawnie działające i sprawiedliwe rynki pracy oraz systemy bezpieczeństwa socjalnego. Jak wskazał przewodniczący KE Jean-Claude Juncker,</w:t>
      </w:r>
      <w:r>
        <w:rPr>
          <w:rFonts w:ascii="Times New Roman" w:hAnsi="Times New Roman"/>
          <w:noProof/>
          <w:sz w:val="24"/>
        </w:rPr>
        <w:t xml:space="preserve"> filar ten zostanie utworzony w strefie euro, a pozostałe państwa członkowskie UE będą miały możliwość dobrowolnego przyłączenia się do tej inicjatywy. </w:t>
      </w:r>
    </w:p>
    <w:p w:rsidR="003C26F5" w:rsidRDefault="00E323DF">
      <w:pPr>
        <w:spacing w:after="24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Filar praw socjalnych będzie zatem stanowić rozwinięcie i uzupełnienie istniejącego na szczeblu UE doro</w:t>
      </w:r>
      <w:r>
        <w:rPr>
          <w:rFonts w:ascii="Times New Roman" w:hAnsi="Times New Roman"/>
          <w:noProof/>
          <w:sz w:val="24"/>
        </w:rPr>
        <w:t>bku socjalnego, a jego zasady będą kładły szczególny nacisk na potrzeby i wyzwania dotyczące strefy euro. Po zatwierdzeniu filar powinien stać się ramami odniesienia umożliwiającymi monitorowanie zatrudnienia i sytuacji społecznej w uczestniczących państwa</w:t>
      </w:r>
      <w:r>
        <w:rPr>
          <w:rFonts w:ascii="Times New Roman" w:hAnsi="Times New Roman"/>
          <w:noProof/>
          <w:sz w:val="24"/>
        </w:rPr>
        <w:t>ch członkowskich, przeprowadzanie reform na szczeblu krajowym oraz w szczególności ukierunkowanie nowej konwergencji w strefie euro.</w:t>
      </w:r>
    </w:p>
    <w:p w:rsidR="003C26F5" w:rsidRDefault="00E323DF">
      <w:pPr>
        <w:keepNext/>
        <w:spacing w:before="120" w:after="24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3.1. Określenie zasad odpowiadających obecnym i przyszłym realiom </w:t>
      </w:r>
    </w:p>
    <w:p w:rsidR="003C26F5" w:rsidRDefault="00E323DF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Do niniejszego komunikatu załączono wstępny projekt fila</w:t>
      </w:r>
      <w:r>
        <w:rPr>
          <w:rFonts w:ascii="Times New Roman" w:hAnsi="Times New Roman"/>
          <w:noProof/>
          <w:sz w:val="24"/>
        </w:rPr>
        <w:t xml:space="preserve">ru, który stanowi podstawę do dyskusji. Przy wyborze poszczególnych zasad kierowano się ich znaczeniem dla osiągania wyników gospodarczych i postępów społecznych przez uczestniczące państwa członkowskie. </w:t>
      </w:r>
    </w:p>
    <w:p w:rsidR="003C26F5" w:rsidRDefault="00E323DF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Struktura projektu opiera się na trzech głównych os</w:t>
      </w:r>
      <w:r>
        <w:rPr>
          <w:rFonts w:ascii="Times New Roman" w:hAnsi="Times New Roman"/>
          <w:noProof/>
          <w:sz w:val="24"/>
        </w:rPr>
        <w:t xml:space="preserve">iach: </w:t>
      </w:r>
    </w:p>
    <w:p w:rsidR="003C26F5" w:rsidRDefault="00E323DF">
      <w:pPr>
        <w:pStyle w:val="ListParagraph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równość szans i dostęp do zatrudnienia, w tym rozwój umiejętności i uczenie się przez całe życie oraz aktywne wsparcie na rzecz zatrudnienia, aby zwiększyć szanse na zatrudnienie, ułatwić wejście lub powrót na rynek pracy i poruszanie się po tym ryn</w:t>
      </w:r>
      <w:r>
        <w:rPr>
          <w:rFonts w:ascii="Times New Roman" w:hAnsi="Times New Roman"/>
          <w:noProof/>
          <w:sz w:val="24"/>
        </w:rPr>
        <w:t xml:space="preserve">ku oraz poprawić umiejętności przystosowania zawodowego; </w:t>
      </w:r>
    </w:p>
    <w:p w:rsidR="003C26F5" w:rsidRDefault="00E323DF">
      <w:pPr>
        <w:pStyle w:val="ListParagraph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uczciwe warunki pracy zapewniające właściwy i stabilny podział praw i obowiązków pomiędzy pracownikami a pracodawcami oraz odpowiednią równowagę pomiędzy elastycznością a bezpieczeństwem zatrudnienia, aby ułatwić tworzenie nowych miejsc pracy i podejmowani</w:t>
      </w:r>
      <w:r>
        <w:rPr>
          <w:rFonts w:ascii="Times New Roman" w:hAnsi="Times New Roman"/>
          <w:noProof/>
          <w:sz w:val="24"/>
        </w:rPr>
        <w:t xml:space="preserve">e zatrudnienia oraz wspierać zdolności adaptacji przedsiębiorstw i dialog społeczny; </w:t>
      </w:r>
    </w:p>
    <w:p w:rsidR="003C26F5" w:rsidRDefault="00E323DF">
      <w:pPr>
        <w:pStyle w:val="ListParagraph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odpowiednia i zrównoważona ochrona socjalna, jak również dostęp do niezbędnych usług o wysokiej jakości, w tym opieki nad dziećmi, ochrony zdrowia i opieki długoterminowe</w:t>
      </w:r>
      <w:r>
        <w:rPr>
          <w:rFonts w:ascii="Times New Roman" w:hAnsi="Times New Roman"/>
          <w:noProof/>
          <w:sz w:val="24"/>
        </w:rPr>
        <w:t xml:space="preserve">j, aby zapewnić godne życie i ochronę przed zagrożeniami oraz możliwość pełnego udziału w życiu zawodowym i społecznym. </w:t>
      </w:r>
    </w:p>
    <w:p w:rsidR="003C26F5" w:rsidRDefault="00E323DF">
      <w:pPr>
        <w:pStyle w:val="PlainText"/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 projekcie wskazano pewną liczbę dziedzin polityki i przypisano do nich określone zasady. Zasady te wyprowadzono z uprawnień socjalnyc</w:t>
      </w:r>
      <w:r>
        <w:rPr>
          <w:rFonts w:ascii="Times New Roman" w:hAnsi="Times New Roman"/>
          <w:noProof/>
          <w:sz w:val="24"/>
        </w:rPr>
        <w:t xml:space="preserve">h, które znajdują się już w prawie unijnym i innych odpowiednich źródłach prawa; określają one bardziej szczegółowo, w jaki sposób można realizować te prawa socjalne. Przy ich formułowaniu korzystano również z wytycznych istniejących na szczeblu UE, np. w </w:t>
      </w:r>
      <w:r>
        <w:rPr>
          <w:rFonts w:ascii="Times New Roman" w:hAnsi="Times New Roman"/>
          <w:noProof/>
          <w:sz w:val="24"/>
        </w:rPr>
        <w:t xml:space="preserve">kontekście koordynacji polityki gospodarczej, starając się jednocześnie uwzględnić najbardziej aktualne tendencje. </w:t>
      </w:r>
    </w:p>
    <w:p w:rsidR="003C26F5" w:rsidRDefault="00E323DF">
      <w:pPr>
        <w:spacing w:after="36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 przypadku każdej z tych zasad istnieją duże różnice pomiędzy poszczególnymi państwami europejskimi; konieczne jest także uporanie się z wi</w:t>
      </w:r>
      <w:r>
        <w:rPr>
          <w:rFonts w:ascii="Times New Roman" w:hAnsi="Times New Roman"/>
          <w:noProof/>
          <w:sz w:val="24"/>
        </w:rPr>
        <w:t>eloma trudnościami praktycznymi, o różnej skali. Dotyczą one zwykle rozbieżności interesów obywateli, przedsiębiorstw i społeczeństwa; ewentualnych kompromisów pomiędzy krótko- i długookresowymi rozwiązaniami; istnienia szarej strefy, także w wyniku rozmyw</w:t>
      </w:r>
      <w:r>
        <w:rPr>
          <w:rFonts w:ascii="Times New Roman" w:hAnsi="Times New Roman"/>
          <w:noProof/>
          <w:sz w:val="24"/>
        </w:rPr>
        <w:t xml:space="preserve">ania się tradycyjnej koncepcji pracy; kwestii podziału kosztów pomiędzy sektorem prywatnym a publicznym. Kolejnym wyzwaniem jest opracowanie nowych standardów i praktyk w taki sposób, aby odpowiadały one potrzebom dynamicznie zmieniającej się gospodarki i </w:t>
      </w:r>
      <w:r>
        <w:rPr>
          <w:rFonts w:ascii="Times New Roman" w:hAnsi="Times New Roman"/>
          <w:noProof/>
          <w:sz w:val="24"/>
        </w:rPr>
        <w:t xml:space="preserve">wspierały proces konwergencji na poziomie regionów i całych państw członkowskich. </w:t>
      </w:r>
    </w:p>
    <w:p w:rsidR="003C26F5" w:rsidRDefault="00E323DF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Koncepcja filaru, ani też debata prowadząca do jego utworzenia, nie powinna służyć zamaskowaniu tych różnic i napięć, ale ich ujawnieniu i przeanalizowaniu z nowej perspekty</w:t>
      </w:r>
      <w:r>
        <w:rPr>
          <w:rFonts w:ascii="Times New Roman" w:hAnsi="Times New Roman"/>
          <w:noProof/>
          <w:sz w:val="24"/>
        </w:rPr>
        <w:t>wy, uwzględniającej zmiany realiów świata pracy i odmienne sytuacje państw członkowskich. W ten sposób filar powinien przyczynić się do modernizacji, rozszerzenia i pogłębienia praw socjalnych w pracy i w życiu społecznym poprzez ułatwienie korzystania z n</w:t>
      </w:r>
      <w:r>
        <w:rPr>
          <w:rFonts w:ascii="Times New Roman" w:hAnsi="Times New Roman"/>
          <w:noProof/>
          <w:sz w:val="24"/>
        </w:rPr>
        <w:t>ich w praktyce i rozpowszechnianie praktyk przynoszących korzyści obywatelom, przedsiębiorstwom i całemu społeczeństwu.</w:t>
      </w:r>
    </w:p>
    <w:p w:rsidR="003C26F5" w:rsidRDefault="00E323DF">
      <w:pPr>
        <w:keepNext/>
        <w:spacing w:before="240" w:after="24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3.2. Wartość dodana dla strefy euro i całej UE</w:t>
      </w:r>
    </w:p>
    <w:p w:rsidR="003C26F5" w:rsidRDefault="00E323DF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Filar nie powiela ani nie parafrazuje unijnego </w:t>
      </w:r>
      <w:r>
        <w:rPr>
          <w:rFonts w:ascii="Times New Roman" w:hAnsi="Times New Roman"/>
          <w:i/>
          <w:noProof/>
          <w:sz w:val="24"/>
        </w:rPr>
        <w:t>acquis</w:t>
      </w:r>
      <w:r>
        <w:rPr>
          <w:rFonts w:ascii="Times New Roman" w:hAnsi="Times New Roman"/>
          <w:noProof/>
          <w:sz w:val="24"/>
        </w:rPr>
        <w:t>: doprecyzowuje on zasady i zobowiąz</w:t>
      </w:r>
      <w:r>
        <w:rPr>
          <w:rFonts w:ascii="Times New Roman" w:hAnsi="Times New Roman"/>
          <w:noProof/>
          <w:sz w:val="24"/>
        </w:rPr>
        <w:t xml:space="preserve">ania, które mogą przyczynić się do większej konwergencji w strefie euro. Na analogicznej zasadzie – podobnie jak filar nie zastępuje </w:t>
      </w:r>
      <w:r>
        <w:rPr>
          <w:rFonts w:ascii="Times New Roman" w:hAnsi="Times New Roman"/>
          <w:i/>
          <w:noProof/>
          <w:sz w:val="24"/>
        </w:rPr>
        <w:t>acquis</w:t>
      </w:r>
      <w:r>
        <w:rPr>
          <w:rFonts w:ascii="Times New Roman" w:hAnsi="Times New Roman"/>
          <w:noProof/>
          <w:sz w:val="24"/>
        </w:rPr>
        <w:t xml:space="preserve"> – zaproponowane tutaj zasady nie zastępują istniejących praw: oferują one możliwość dokonania oceny, a w przyszłości</w:t>
      </w:r>
      <w:r>
        <w:rPr>
          <w:rFonts w:ascii="Times New Roman" w:hAnsi="Times New Roman"/>
          <w:noProof/>
          <w:sz w:val="24"/>
        </w:rPr>
        <w:t xml:space="preserve"> także wyrównania w górę wyników krajowych polityk zatrudnienia i polityk socjalnych. </w:t>
      </w:r>
    </w:p>
    <w:p w:rsidR="003C26F5" w:rsidRDefault="00E323DF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Proces prowadzący do ustanowienia filaru powinien stać się również okazją do przeglądu </w:t>
      </w:r>
      <w:r>
        <w:rPr>
          <w:rFonts w:ascii="Times New Roman" w:hAnsi="Times New Roman"/>
          <w:i/>
          <w:noProof/>
          <w:sz w:val="24"/>
        </w:rPr>
        <w:t>acquis</w:t>
      </w:r>
      <w:r>
        <w:rPr>
          <w:rFonts w:ascii="Times New Roman" w:hAnsi="Times New Roman"/>
          <w:noProof/>
          <w:sz w:val="24"/>
        </w:rPr>
        <w:t>. Obecny dorobek prawny był tworzony stopniowo, przez długi okres; poszczegó</w:t>
      </w:r>
      <w:r>
        <w:rPr>
          <w:rFonts w:ascii="Times New Roman" w:hAnsi="Times New Roman"/>
          <w:noProof/>
          <w:sz w:val="24"/>
        </w:rPr>
        <w:t xml:space="preserve">lne dziedziny różnią się też stopniem regulacji. Przy okazji konsultacji w sprawie filaru można przyjrzeć się całemu </w:t>
      </w:r>
      <w:r>
        <w:rPr>
          <w:rFonts w:ascii="Times New Roman" w:hAnsi="Times New Roman"/>
          <w:i/>
          <w:noProof/>
          <w:sz w:val="24"/>
        </w:rPr>
        <w:t>acquis</w:t>
      </w:r>
      <w:r>
        <w:rPr>
          <w:rFonts w:ascii="Times New Roman" w:hAnsi="Times New Roman"/>
          <w:noProof/>
          <w:sz w:val="24"/>
        </w:rPr>
        <w:t>, ocenić jego adekwatność w kontekście nowych tendencji i zidentyfikować obszary, które mogą wymagać w przyszłości podjęcia działań n</w:t>
      </w:r>
      <w:r>
        <w:rPr>
          <w:rFonts w:ascii="Times New Roman" w:hAnsi="Times New Roman"/>
          <w:noProof/>
          <w:sz w:val="24"/>
        </w:rPr>
        <w:t xml:space="preserve">a odpowiednim szczeblu. </w:t>
      </w:r>
    </w:p>
    <w:p w:rsidR="003C26F5" w:rsidRDefault="00E323DF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Takie podsumowanie powinno służyć w szczególności znalezieniu odpowiedzi na następujące pytania: czy istnieje deficyt we wdrażaniu </w:t>
      </w:r>
      <w:r>
        <w:rPr>
          <w:rFonts w:ascii="Times New Roman" w:hAnsi="Times New Roman"/>
          <w:i/>
          <w:noProof/>
          <w:sz w:val="24"/>
        </w:rPr>
        <w:t>acquis</w:t>
      </w:r>
      <w:r>
        <w:rPr>
          <w:rFonts w:ascii="Times New Roman" w:hAnsi="Times New Roman"/>
          <w:noProof/>
          <w:sz w:val="24"/>
        </w:rPr>
        <w:t>? Czy prawa socjalne ustanowione na szczeblu UE wykazują jakiekolwiek poważne luki? W jaki spo</w:t>
      </w:r>
      <w:r>
        <w:rPr>
          <w:rFonts w:ascii="Times New Roman" w:hAnsi="Times New Roman"/>
          <w:noProof/>
          <w:sz w:val="24"/>
        </w:rPr>
        <w:t>sób można przeciwdziałać takim deficytom i lukom? Z tego też względu proces konsultacji prowadzący do utworzenia filaru będzie otwarty dla wszystkich państw członkowskich i powinien pomóc państwom spoza strefy euro w decyzji, czy chcą przyłączyć się do fil</w:t>
      </w:r>
      <w:r>
        <w:rPr>
          <w:rFonts w:ascii="Times New Roman" w:hAnsi="Times New Roman"/>
          <w:noProof/>
          <w:sz w:val="24"/>
        </w:rPr>
        <w:t>aru.</w:t>
      </w:r>
    </w:p>
    <w:p w:rsidR="003C26F5" w:rsidRDefault="00E323DF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Prace nad ustanowieniem filaru będą dopełniać inne działania służące pogłębieniu UGW</w:t>
      </w:r>
      <w:r>
        <w:rPr>
          <w:rStyle w:val="FootnoteReference"/>
          <w:rFonts w:ascii="Times New Roman" w:hAnsi="Times New Roman"/>
          <w:noProof/>
          <w:sz w:val="24"/>
        </w:rPr>
        <w:footnoteReference w:id="6"/>
      </w:r>
      <w:r>
        <w:rPr>
          <w:rFonts w:ascii="Times New Roman" w:hAnsi="Times New Roman"/>
          <w:noProof/>
          <w:sz w:val="24"/>
        </w:rPr>
        <w:t xml:space="preserve"> i będą stanowić wkład w przygotowanie białej księgi w sprawie przyszłości europejskiej unii gospodarczej i walutowej, zaplanowanej na wiosnę 2017 r. W szczególności,</w:t>
      </w:r>
      <w:r>
        <w:rPr>
          <w:rFonts w:ascii="Times New Roman" w:hAnsi="Times New Roman"/>
          <w:noProof/>
          <w:sz w:val="24"/>
        </w:rPr>
        <w:t xml:space="preserve"> sprawozdanie pięciu przewodniczących w sprawie dokończenia budowy europejskiej UGW podkreśla potrzebę kontynuowania procesu konwergencji w celu osiągnięcia zbliżonego poziomu odporności struktur gospodarczych oraz nadania temu procesowi bardziej wiążącego</w:t>
      </w:r>
      <w:r>
        <w:rPr>
          <w:rFonts w:ascii="Times New Roman" w:hAnsi="Times New Roman"/>
          <w:noProof/>
          <w:sz w:val="24"/>
        </w:rPr>
        <w:t xml:space="preserve"> charakteru w perspektywie średniookresowej. Cele te zostałyby osiągnięte poprzez uzgodnienie wspólnego zbioru wysokich standardów, które powinny skupiać się m.in. na rynkach pracy.</w:t>
      </w:r>
      <w:r>
        <w:rPr>
          <w:rStyle w:val="FootnoteReference"/>
          <w:rFonts w:ascii="Times New Roman" w:hAnsi="Times New Roman"/>
          <w:noProof/>
          <w:sz w:val="24"/>
        </w:rPr>
        <w:t xml:space="preserve"> </w:t>
      </w:r>
    </w:p>
    <w:p w:rsidR="003C26F5" w:rsidRDefault="00E323DF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Oprócz tego, charakter prawny samego filaru będzie musiał uwzględniać zak</w:t>
      </w:r>
      <w:r>
        <w:rPr>
          <w:rFonts w:ascii="Times New Roman" w:hAnsi="Times New Roman"/>
          <w:noProof/>
          <w:sz w:val="24"/>
        </w:rPr>
        <w:t xml:space="preserve">res i ograniczenia prawne, zarówno na poziomie UE, jak i strefy euro. I tak na przykład art. 153 Traktatu o funkcjonowaniu Unii Europejskiej wyraźnie przewiduje, że Unia nie ma kompetencji do stanowienia prawa dotyczącego „wynagrodzeń”. </w:t>
      </w:r>
    </w:p>
    <w:p w:rsidR="003C26F5" w:rsidRDefault="00E323DF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 w:val="24"/>
        </w:rPr>
        <w:t>Na potrzeby ustano</w:t>
      </w:r>
      <w:r>
        <w:rPr>
          <w:rFonts w:ascii="Times New Roman" w:hAnsi="Times New Roman"/>
          <w:noProof/>
          <w:sz w:val="24"/>
        </w:rPr>
        <w:t xml:space="preserve">wienia filaru można wziąć pod uwagę szereg instrumentów, m.in. zalecenie, ale zasadnicze znaczenie dla Komisji będzie miało zaangażowanie Parlamentu i Rady oraz innych instytucji UE oraz uzyskanie szerokiego poparcia dla wprowadzenia tego środka. </w:t>
      </w:r>
    </w:p>
    <w:p w:rsidR="003C26F5" w:rsidRDefault="00E323DF">
      <w:pPr>
        <w:keepNext/>
        <w:rPr>
          <w:rFonts w:ascii="Times New Roman" w:eastAsia="SimSun" w:hAnsi="Times New Roman" w:cs="Times New Roman"/>
          <w:b/>
          <w:iCs/>
          <w:noProof/>
          <w:kern w:val="3"/>
          <w:sz w:val="24"/>
          <w:szCs w:val="24"/>
        </w:rPr>
      </w:pPr>
      <w:r>
        <w:rPr>
          <w:rFonts w:ascii="Times New Roman" w:hAnsi="Times New Roman"/>
          <w:b/>
          <w:noProof/>
          <w:kern w:val="3"/>
          <w:sz w:val="24"/>
        </w:rPr>
        <w:t xml:space="preserve">4. Cele konsultacji </w:t>
      </w:r>
    </w:p>
    <w:p w:rsidR="003C26F5" w:rsidRDefault="00E323D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Utworzenie filaru praw socjalnych stanowi okazję do refleksji nad istniejącymi prawami socjalnymi, szczególnymi potrzebami strefy euro, zmieniającymi się realiami w świecie pracy i nad reformami, które są potrzebne na wszystkich szczeb</w:t>
      </w:r>
      <w:r>
        <w:rPr>
          <w:rFonts w:ascii="Times New Roman" w:hAnsi="Times New Roman"/>
          <w:noProof/>
          <w:sz w:val="24"/>
        </w:rPr>
        <w:t>lach. Konsultacje powinny mieć zatem możliwie jak najszerszy zasięg.</w:t>
      </w:r>
    </w:p>
    <w:p w:rsidR="003C26F5" w:rsidRDefault="00E323DF">
      <w:pPr>
        <w:keepNext/>
        <w:spacing w:after="240" w:line="240" w:lineRule="auto"/>
        <w:jc w:val="both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 xml:space="preserve">4.1. Pożądane wyniki konsultacji </w:t>
      </w:r>
    </w:p>
    <w:p w:rsidR="003C26F5" w:rsidRDefault="00E323DF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Proces konsultacji ma trzy główne cele.</w:t>
      </w:r>
    </w:p>
    <w:p w:rsidR="003C26F5" w:rsidRDefault="00E323DF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Pierwszym celem jest dokonanie oceny obecnie obowiązującego unijnego </w:t>
      </w:r>
      <w:r>
        <w:rPr>
          <w:rFonts w:ascii="Times New Roman" w:hAnsi="Times New Roman"/>
          <w:i/>
          <w:noProof/>
          <w:sz w:val="24"/>
        </w:rPr>
        <w:t>acquis</w:t>
      </w:r>
      <w:r>
        <w:rPr>
          <w:rFonts w:ascii="Times New Roman" w:hAnsi="Times New Roman"/>
          <w:noProof/>
          <w:sz w:val="24"/>
        </w:rPr>
        <w:t xml:space="preserve">. W szczególności konsultacje powinny pomóc ustalić, w jakim stopniu istniejące prawa znajdują zastosowanie w praktyce i są adekwatne z punktu widzenia obecnych i przyszłych wyzwań, oraz czy należy w związku z tym rozważyć nowe sposoby działania. </w:t>
      </w:r>
    </w:p>
    <w:p w:rsidR="003C26F5" w:rsidRDefault="00E323DF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Drugim c</w:t>
      </w:r>
      <w:r>
        <w:rPr>
          <w:rFonts w:ascii="Times New Roman" w:hAnsi="Times New Roman"/>
          <w:noProof/>
          <w:sz w:val="24"/>
        </w:rPr>
        <w:t>elem konsultacji jest refleksja nad nowymi tendencjami w modelach pracy i w życiu społeczeństw, które pojawiają się na skutek zmian demograficznych, nowych technologii i innych czynników mających wpływ na życie zawodowe i warunki społeczne. Należy aktywnie</w:t>
      </w:r>
      <w:r>
        <w:rPr>
          <w:rFonts w:ascii="Times New Roman" w:hAnsi="Times New Roman"/>
          <w:noProof/>
          <w:sz w:val="24"/>
        </w:rPr>
        <w:t xml:space="preserve"> zachęcać do wskazywania najlepszych praktyk i praktycznych doświadczeń z dziedziny innowacji społecznych.</w:t>
      </w:r>
    </w:p>
    <w:p w:rsidR="003C26F5" w:rsidRDefault="00E323DF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noProof/>
        </w:rPr>
      </w:pPr>
      <w:r>
        <w:rPr>
          <w:rFonts w:ascii="Times New Roman" w:hAnsi="Times New Roman"/>
          <w:noProof/>
          <w:sz w:val="24"/>
        </w:rPr>
        <w:t>Trzecim celem jest zebranie opinii i informacji zwrotnych na temat projektu europejskiego filaru praw socjalnych. Konsultacje powinny służyć przedysk</w:t>
      </w:r>
      <w:r>
        <w:rPr>
          <w:rFonts w:ascii="Times New Roman" w:hAnsi="Times New Roman"/>
          <w:noProof/>
          <w:sz w:val="24"/>
        </w:rPr>
        <w:t xml:space="preserve">utowaniu jego zakresu i treści oraz roli, jaką ma on pełnić w kontekście społecznego wymiaru UGW, refleksji nad szczególnymi potrzebami strefy euro, omówieniu specyfiki zasad zaproponowanych w niniejszym komunikacie oraz przeanalizowaniu wyzwań, które się </w:t>
      </w:r>
      <w:r>
        <w:rPr>
          <w:rFonts w:ascii="Times New Roman" w:hAnsi="Times New Roman"/>
          <w:noProof/>
          <w:sz w:val="24"/>
        </w:rPr>
        <w:t xml:space="preserve">z nimi wiążą. Konsultacje powinny również pomóc państwom członkowskim spoza strefy euro w decyzji, czy chcą przyłączyć się do filaru. </w:t>
      </w:r>
    </w:p>
    <w:p w:rsidR="003C26F5" w:rsidRDefault="00E323DF">
      <w:pPr>
        <w:spacing w:before="240" w:after="24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Konsultacje powinny zakończyć się do dnia 31 grudnia 2016 r.; w oparciu o ich wyniki Komisja przedstawi ostateczny projek</w:t>
      </w:r>
      <w:r>
        <w:rPr>
          <w:rFonts w:ascii="Times New Roman" w:hAnsi="Times New Roman"/>
          <w:noProof/>
          <w:sz w:val="24"/>
        </w:rPr>
        <w:t xml:space="preserve">t filaru na początku 2017 r. </w:t>
      </w:r>
    </w:p>
    <w:p w:rsidR="003C26F5" w:rsidRDefault="00E323DF">
      <w:pPr>
        <w:keepNext/>
        <w:spacing w:before="360" w:after="24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4.2. Pobudzenie debaty</w:t>
      </w:r>
    </w:p>
    <w:p w:rsidR="003C26F5" w:rsidRDefault="00E323DF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 nadchodzących miesiącach Komisja będzie aktywnie współpracować z pozostałymi instytucjami UE, organami krajowymi i parlamentami, związkami zawodowymi i stowarzyszeniami przedsiębiorców, organizacjami p</w:t>
      </w:r>
      <w:r>
        <w:rPr>
          <w:rFonts w:ascii="Times New Roman" w:hAnsi="Times New Roman"/>
          <w:noProof/>
          <w:sz w:val="24"/>
        </w:rPr>
        <w:t xml:space="preserve">ozarządowymi, podmiotami świadczącymi usługi społeczne, ekspertami ze środowisk akademickich, jak również z ogółem społeczeństwa. Na szczeblu krajowym Komisja będzie zachęcać do debaty za pośrednictwem swoich przedstawicielstw w państwach członkowskich. </w:t>
      </w:r>
    </w:p>
    <w:p w:rsidR="003C26F5" w:rsidRDefault="00E323DF">
      <w:pPr>
        <w:spacing w:after="3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U</w:t>
      </w:r>
      <w:r>
        <w:rPr>
          <w:rFonts w:ascii="Times New Roman" w:hAnsi="Times New Roman"/>
          <w:noProof/>
          <w:sz w:val="24"/>
        </w:rPr>
        <w:t>nijni partnerzy społeczni zostaną poproszeni o czynny udział w kształtowaniu filaru. Komisja zwróci się również o opinię Europejskiego Komitetu Ekonomiczno-Społecznego i Komitetu Regionów.</w:t>
      </w:r>
    </w:p>
    <w:p w:rsidR="003C26F5" w:rsidRDefault="00E323DF">
      <w:pPr>
        <w:keepNext/>
        <w:spacing w:after="24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4.3. Zbieranie informacji zwrotnych</w:t>
      </w:r>
    </w:p>
    <w:p w:rsidR="003C26F5" w:rsidRDefault="00E323DF">
      <w:pPr>
        <w:keepNext/>
        <w:keepLines/>
        <w:spacing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W celu dostarczenia materiałów </w:t>
      </w:r>
      <w:r>
        <w:rPr>
          <w:rFonts w:ascii="Times New Roman" w:hAnsi="Times New Roman"/>
          <w:noProof/>
          <w:sz w:val="24"/>
        </w:rPr>
        <w:t>do debaty Komisja będzie prowadzić – obok konsultacji społecznych – dodatkowe prace w trzech nurtach – każdy z nich odpowiada jednemu z pożądanych wyników konsultacji, o których wspomniano wcześniej:</w:t>
      </w:r>
    </w:p>
    <w:p w:rsidR="003C26F5" w:rsidRDefault="00E323DF">
      <w:pPr>
        <w:pStyle w:val="ListParagraph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Podsumowanie dorobku socjalnego UE.</w:t>
      </w:r>
    </w:p>
    <w:p w:rsidR="003C26F5" w:rsidRDefault="00E323DF">
      <w:pPr>
        <w:pStyle w:val="ListParagraph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Przyszłość rynków pr</w:t>
      </w:r>
      <w:r>
        <w:rPr>
          <w:rFonts w:ascii="Times New Roman" w:hAnsi="Times New Roman"/>
          <w:noProof/>
          <w:sz w:val="24"/>
        </w:rPr>
        <w:t>acy i systemów bezpieczeństwa socjalnego – wyzwania i szanse.</w:t>
      </w:r>
    </w:p>
    <w:p w:rsidR="003C26F5" w:rsidRDefault="00E323DF">
      <w:pPr>
        <w:pStyle w:val="ListParagraph"/>
        <w:numPr>
          <w:ilvl w:val="0"/>
          <w:numId w:val="7"/>
        </w:numPr>
        <w:spacing w:before="120" w:after="24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Rola europejskiego filaru praw socjalnych w ramach pogłębionej i bardziej sprawiedliwej unii gospodarczej i walutowej.</w:t>
      </w:r>
    </w:p>
    <w:p w:rsidR="003C26F5" w:rsidRDefault="00E323DF">
      <w:pPr>
        <w:spacing w:after="24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Przed końcem 2016 r. Komisja zorganizuje konferencję europejską, aby poznać</w:t>
      </w:r>
      <w:r>
        <w:rPr>
          <w:rFonts w:ascii="Times New Roman" w:hAnsi="Times New Roman"/>
          <w:noProof/>
          <w:sz w:val="24"/>
        </w:rPr>
        <w:t xml:space="preserve"> opinie zainteresowanych stron.</w:t>
      </w:r>
    </w:p>
    <w:p w:rsidR="003C26F5" w:rsidRDefault="00E323DF">
      <w:pPr>
        <w:keepNext/>
        <w:spacing w:after="24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4.4. Przygotowanie dyskusji</w:t>
      </w:r>
    </w:p>
    <w:p w:rsidR="003C26F5" w:rsidRDefault="00E323DF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Na potrzeby konsultacji utworzono specjalną stronę internetową: </w:t>
      </w:r>
      <w:hyperlink r:id="rId16">
        <w:r>
          <w:rPr>
            <w:rStyle w:val="Hyperlink"/>
            <w:rFonts w:ascii="Times New Roman" w:hAnsi="Times New Roman"/>
            <w:noProof/>
            <w:color w:val="auto"/>
            <w:sz w:val="24"/>
          </w:rPr>
          <w:t>http://ec.europa.eu/priorities/</w:t>
        </w:r>
        <w:r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</w:rPr>
          <w:br/>
        </w:r>
        <w:r>
          <w:rPr>
            <w:rStyle w:val="Hyperlink"/>
            <w:rFonts w:ascii="Times New Roman" w:hAnsi="Times New Roman"/>
            <w:noProof/>
            <w:color w:val="auto"/>
            <w:sz w:val="24"/>
          </w:rPr>
          <w:t>deeper-and-fairer-economic-and-monetary-union/european-pillar-social-rights</w:t>
        </w:r>
      </w:hyperlink>
      <w:r>
        <w:rPr>
          <w:rFonts w:ascii="Times New Roman" w:hAnsi="Times New Roman"/>
          <w:noProof/>
          <w:sz w:val="24"/>
        </w:rPr>
        <w:t xml:space="preserve"> </w:t>
      </w:r>
    </w:p>
    <w:p w:rsidR="003C26F5" w:rsidRDefault="00E323D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Znajdą się na niej następujące materiały:</w:t>
      </w:r>
    </w:p>
    <w:p w:rsidR="003C26F5" w:rsidRDefault="00E323DF">
      <w:pPr>
        <w:pStyle w:val="ListParagraph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niniejszy komunikat i uzupełniające go dokumenty robocze służb Komisji;</w:t>
      </w:r>
    </w:p>
    <w:p w:rsidR="003C26F5" w:rsidRDefault="00E323DF">
      <w:pPr>
        <w:pStyle w:val="ListParagraph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komplet arkuszy informacyjnych pr</w:t>
      </w:r>
      <w:r>
        <w:rPr>
          <w:rFonts w:ascii="Times New Roman" w:hAnsi="Times New Roman"/>
          <w:noProof/>
          <w:sz w:val="24"/>
        </w:rPr>
        <w:t>zygotowanych przez służby Komisji, opisujących bardziej szczegółowo argumenty ekonomiczne i prawne, które uzasadniają wybór dziedzin objętych filarem (zob. projekt filaru załączony do niniejszego komunikatu);</w:t>
      </w:r>
    </w:p>
    <w:p w:rsidR="003C26F5" w:rsidRDefault="00E323DF">
      <w:pPr>
        <w:pStyle w:val="ListParagraph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zaplanowane działania w ramach każdego z trzech</w:t>
      </w:r>
      <w:r>
        <w:rPr>
          <w:rFonts w:ascii="Times New Roman" w:hAnsi="Times New Roman"/>
          <w:noProof/>
          <w:sz w:val="24"/>
        </w:rPr>
        <w:t xml:space="preserve"> nurtów prac, o których wspomniano powyżej;</w:t>
      </w:r>
    </w:p>
    <w:p w:rsidR="003C26F5" w:rsidRDefault="00E323DF">
      <w:pPr>
        <w:pStyle w:val="ListParagraph"/>
        <w:numPr>
          <w:ilvl w:val="0"/>
          <w:numId w:val="7"/>
        </w:numPr>
        <w:spacing w:before="120" w:after="24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wykaz spotkań i wydarzeń na szczeblu unijnym i krajowym zaplanowanych na nadchodzące miesiące.</w:t>
      </w:r>
    </w:p>
    <w:p w:rsidR="003C26F5" w:rsidRDefault="00E323DF">
      <w:pPr>
        <w:keepNext/>
        <w:spacing w:after="24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5. Pytania do konsultacji</w:t>
      </w:r>
    </w:p>
    <w:p w:rsidR="003C26F5" w:rsidRDefault="00E323DF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Komisja zachęca wszystkie zainteresowane strony do udzielenia odpowiedzi na pytania postawi</w:t>
      </w:r>
      <w:r>
        <w:rPr>
          <w:rFonts w:ascii="Times New Roman" w:hAnsi="Times New Roman"/>
          <w:noProof/>
          <w:sz w:val="24"/>
        </w:rPr>
        <w:t xml:space="preserve">one w niniejszym komunikacie, a także do przekazania wszelkich dodatkowych uwag do dnia </w:t>
      </w:r>
      <w:r>
        <w:rPr>
          <w:rFonts w:ascii="Times New Roman" w:hAnsi="Times New Roman"/>
          <w:b/>
          <w:noProof/>
          <w:sz w:val="24"/>
        </w:rPr>
        <w:t>31 grudnia 2016 r.</w:t>
      </w:r>
      <w:r>
        <w:rPr>
          <w:rFonts w:ascii="Times New Roman" w:hAnsi="Times New Roman"/>
          <w:noProof/>
          <w:sz w:val="24"/>
        </w:rPr>
        <w:t xml:space="preserve"> </w:t>
      </w:r>
    </w:p>
    <w:p w:rsidR="003C26F5" w:rsidRDefault="00E323DF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Można to zrobić poprzez wypełnienie internetowej ankiety dostępnej na wspomnianej powyżej stronie internetowej lub przesłanie odpowiedzi pocztą elek</w:t>
      </w:r>
      <w:r>
        <w:rPr>
          <w:rFonts w:ascii="Times New Roman" w:hAnsi="Times New Roman"/>
          <w:noProof/>
          <w:sz w:val="24"/>
        </w:rPr>
        <w:t xml:space="preserve">troniczną na następujący adres: </w:t>
      </w:r>
    </w:p>
    <w:p w:rsidR="003C26F5" w:rsidRDefault="00E323DF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r:id="rId17">
        <w:r>
          <w:rPr>
            <w:rStyle w:val="Hyperlink"/>
            <w:rFonts w:ascii="Times New Roman" w:hAnsi="Times New Roman"/>
            <w:noProof/>
            <w:sz w:val="24"/>
          </w:rPr>
          <w:t>EMPL-EUROPEAN-PILLAR-OF-SOCIAL-RIGHTS@ec.europa.eu</w:t>
        </w:r>
      </w:hyperlink>
      <w:r>
        <w:rPr>
          <w:noProof/>
        </w:rPr>
        <w:t xml:space="preserve"> </w:t>
      </w:r>
    </w:p>
    <w:p w:rsidR="003C26F5" w:rsidRDefault="00E323DF">
      <w:pPr>
        <w:pageBreakBefore/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albo pocztą zwykłą na adres:</w:t>
      </w:r>
    </w:p>
    <w:p w:rsidR="003C26F5" w:rsidRDefault="00E323D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lang w:val="en-GB"/>
        </w:rPr>
        <w:t>EUROPEAN COMMISSION</w:t>
      </w:r>
    </w:p>
    <w:p w:rsidR="003C26F5" w:rsidRDefault="00E323D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lang w:val="en-GB"/>
        </w:rPr>
        <w:t xml:space="preserve">Directorate-General Employment, Social </w:t>
      </w:r>
      <w:r>
        <w:rPr>
          <w:rFonts w:ascii="Times New Roman" w:hAnsi="Times New Roman"/>
          <w:noProof/>
          <w:sz w:val="24"/>
          <w:lang w:val="en-GB"/>
        </w:rPr>
        <w:t>Affairs and Inclusion</w:t>
      </w:r>
    </w:p>
    <w:p w:rsidR="003C26F5" w:rsidRDefault="00E323D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lang w:val="fr-FR"/>
        </w:rPr>
        <w:t>Rue Joseph II, 27 – 00/120</w:t>
      </w:r>
    </w:p>
    <w:p w:rsidR="003C26F5" w:rsidRDefault="00E323DF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lang w:val="fr-FR"/>
        </w:rPr>
        <w:t>B-1049 BRUXELLES</w:t>
      </w:r>
      <w:r>
        <w:rPr>
          <w:rStyle w:val="FootnoteReference"/>
          <w:rFonts w:ascii="Times New Roman" w:hAnsi="Times New Roman"/>
          <w:noProof/>
          <w:sz w:val="24"/>
        </w:rPr>
        <w:footnoteReference w:id="7"/>
      </w:r>
      <w:r>
        <w:rPr>
          <w:rFonts w:ascii="Times New Roman" w:hAnsi="Times New Roman"/>
          <w:noProof/>
          <w:sz w:val="24"/>
          <w:lang w:val="fr-FR"/>
        </w:rPr>
        <w:t xml:space="preserve"> </w:t>
      </w:r>
    </w:p>
    <w:p w:rsidR="003C26F5" w:rsidRDefault="003C26F5">
      <w:pPr>
        <w:keepNext/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</w:p>
    <w:p w:rsidR="003C26F5" w:rsidRDefault="00E323DF">
      <w:pPr>
        <w:keepNext/>
        <w:spacing w:after="24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Komisja Europejska pragnie poznać opinie na temat następujących kwestii:</w:t>
      </w:r>
    </w:p>
    <w:p w:rsidR="003C26F5" w:rsidRDefault="00E323DF">
      <w:pPr>
        <w:keepNext/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Sytuacja społeczna a dorobek socjalny UE</w:t>
      </w:r>
    </w:p>
    <w:p w:rsidR="003C26F5" w:rsidRDefault="00E323DF">
      <w:pPr>
        <w:pStyle w:val="ListParagraph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Jakie kwestie uważają Państwo za najpilniejsze priorytety w dziedzinie </w:t>
      </w:r>
      <w:r>
        <w:rPr>
          <w:rFonts w:ascii="Times New Roman" w:hAnsi="Times New Roman"/>
          <w:noProof/>
          <w:sz w:val="24"/>
        </w:rPr>
        <w:t>zatrudnienia i sytuacji społecznej?</w:t>
      </w:r>
    </w:p>
    <w:p w:rsidR="003C26F5" w:rsidRDefault="003C26F5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C26F5" w:rsidRDefault="00E323DF">
      <w:pPr>
        <w:pStyle w:val="ListParagraph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 jaki sposób możemy uwzględnić istniejące w Europie różnice w zakresie zatrudnienia i sytuacji społecznej?</w:t>
      </w:r>
    </w:p>
    <w:p w:rsidR="003C26F5" w:rsidRDefault="003C26F5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3C26F5" w:rsidRDefault="00E323DF">
      <w:pPr>
        <w:pStyle w:val="ListParagraph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Czy unijny </w:t>
      </w:r>
      <w:r>
        <w:rPr>
          <w:rFonts w:ascii="Times New Roman" w:hAnsi="Times New Roman"/>
          <w:i/>
          <w:noProof/>
          <w:sz w:val="24"/>
        </w:rPr>
        <w:t>acquis</w:t>
      </w:r>
      <w:r>
        <w:rPr>
          <w:rFonts w:ascii="Times New Roman" w:hAnsi="Times New Roman"/>
          <w:noProof/>
          <w:sz w:val="24"/>
        </w:rPr>
        <w:t xml:space="preserve"> jest wciąż aktualny i czy widzą Państwo potrzebę dalszych działań na szczeblu UE?</w:t>
      </w:r>
    </w:p>
    <w:p w:rsidR="003C26F5" w:rsidRDefault="00E323DF">
      <w:pPr>
        <w:keepNext/>
        <w:spacing w:after="24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Przyszłość</w:t>
      </w:r>
      <w:r>
        <w:rPr>
          <w:rFonts w:ascii="Times New Roman" w:hAnsi="Times New Roman"/>
          <w:i/>
          <w:noProof/>
          <w:sz w:val="24"/>
        </w:rPr>
        <w:t xml:space="preserve"> rynków pracy i systemów bezpieczeństwa socjalnego</w:t>
      </w:r>
    </w:p>
    <w:p w:rsidR="003C26F5" w:rsidRDefault="00E323DF">
      <w:pPr>
        <w:pStyle w:val="ListParagraph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Jakie tendencje przeobrażą najbardziej, Państwa zdaniem, rynki pracy i systemy bezpieczeństwa socjalnego?</w:t>
      </w:r>
    </w:p>
    <w:p w:rsidR="003C26F5" w:rsidRDefault="003C26F5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C26F5" w:rsidRDefault="00E323DF">
      <w:pPr>
        <w:pStyle w:val="ListParagraph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Jakie są najważniejsze zagrożenia i szanse związane z tymi tendencjami?</w:t>
      </w:r>
    </w:p>
    <w:p w:rsidR="003C26F5" w:rsidRDefault="003C26F5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C26F5" w:rsidRDefault="00E323DF">
      <w:pPr>
        <w:pStyle w:val="ListParagraph"/>
        <w:numPr>
          <w:ilvl w:val="0"/>
          <w:numId w:val="23"/>
        </w:numPr>
        <w:spacing w:after="24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Czy mogą Państwo wskazać </w:t>
      </w:r>
      <w:r>
        <w:rPr>
          <w:rFonts w:ascii="Times New Roman" w:hAnsi="Times New Roman"/>
          <w:noProof/>
          <w:sz w:val="24"/>
        </w:rPr>
        <w:t>(już istniejące albo dopiero wprowadzane) strategie polityczne, instytucje albo praktyki przedsiębiorstw, które mogą posłużyć jako punkt odniesienia?</w:t>
      </w:r>
    </w:p>
    <w:p w:rsidR="003C26F5" w:rsidRDefault="00E323DF">
      <w:pPr>
        <w:keepNext/>
        <w:spacing w:after="24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Europejski filar praw socjalnych</w:t>
      </w:r>
    </w:p>
    <w:p w:rsidR="003C26F5" w:rsidRDefault="00E323DF">
      <w:pPr>
        <w:pStyle w:val="ListParagraph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Czy zgadzają się Państwo z opisanym w niniejszym komunikacie podejściem d</w:t>
      </w:r>
      <w:r>
        <w:rPr>
          <w:rFonts w:ascii="Times New Roman" w:hAnsi="Times New Roman"/>
          <w:noProof/>
          <w:sz w:val="24"/>
        </w:rPr>
        <w:t>otyczącym ustanowienia europejskiego filaru praw socjalnych?</w:t>
      </w:r>
    </w:p>
    <w:p w:rsidR="003C26F5" w:rsidRDefault="003C26F5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C26F5" w:rsidRDefault="00E323DF">
      <w:pPr>
        <w:pStyle w:val="ListParagraph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Czy uważają Państwo za właściwe zakres, dziedziny i zasady filaru, które zaproponowano w niniejszym komunikacie? Czy istnieją jakieś kwestie, które zostały pominięte lub nieodpowiednio potraktow</w:t>
      </w:r>
      <w:r>
        <w:rPr>
          <w:rFonts w:ascii="Times New Roman" w:hAnsi="Times New Roman"/>
          <w:noProof/>
          <w:sz w:val="24"/>
        </w:rPr>
        <w:t>ane w dotychczasowych rozważaniach?</w:t>
      </w:r>
    </w:p>
    <w:p w:rsidR="003C26F5" w:rsidRDefault="003C26F5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C26F5" w:rsidRDefault="00E323DF">
      <w:pPr>
        <w:pStyle w:val="ListParagraph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Jakie dziedziny i zasady będą odgrywać najważniejszą rolę w ramach „odnowionej” konwergencji w strefie euro? </w:t>
      </w:r>
    </w:p>
    <w:p w:rsidR="003C26F5" w:rsidRDefault="003C26F5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C26F5" w:rsidRDefault="00E323DF">
      <w:pPr>
        <w:pStyle w:val="ListParagraph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 jaki sposób należy je wyrazić i realizować? W szczególności, czy widzą Państwo możliwość (i wartość dodaną</w:t>
      </w:r>
      <w:r>
        <w:rPr>
          <w:rFonts w:ascii="Times New Roman" w:hAnsi="Times New Roman"/>
          <w:noProof/>
          <w:sz w:val="24"/>
        </w:rPr>
        <w:t>) wprowadzenia w niektórych obszarach minimalnych standardów lub wartości odniesienia, a jeśli tak, to jakich?</w:t>
      </w:r>
    </w:p>
    <w:p w:rsidR="003C26F5" w:rsidRDefault="00E323DF">
      <w:pPr>
        <w:keepLines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Mogą również Państwo przedstawić uwagi do każdej dziedziny i zasady proponowanego filaru poprzez wypełnienie bardziej szczegółowego kwestionarius</w:t>
      </w:r>
      <w:r>
        <w:rPr>
          <w:rFonts w:ascii="Times New Roman" w:hAnsi="Times New Roman"/>
          <w:noProof/>
          <w:sz w:val="24"/>
        </w:rPr>
        <w:t>za online, który znajduje się na stronie internetowej poświęconej konsultacji.</w:t>
      </w:r>
    </w:p>
    <w:sectPr w:rsidR="003C26F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F5" w:rsidRDefault="00E323DF">
      <w:pPr>
        <w:spacing w:after="0" w:line="240" w:lineRule="auto"/>
      </w:pPr>
      <w:r>
        <w:separator/>
      </w:r>
    </w:p>
  </w:endnote>
  <w:endnote w:type="continuationSeparator" w:id="0">
    <w:p w:rsidR="003C26F5" w:rsidRDefault="00E323DF">
      <w:pPr>
        <w:spacing w:after="0" w:line="240" w:lineRule="auto"/>
      </w:pPr>
      <w:r>
        <w:continuationSeparator/>
      </w:r>
    </w:p>
  </w:endnote>
  <w:endnote w:type="continuationNotice" w:id="1">
    <w:p w:rsidR="003C26F5" w:rsidRDefault="003C26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DF" w:rsidRPr="00E323DF" w:rsidRDefault="00E323DF" w:rsidP="00E32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DF" w:rsidRPr="00E323DF" w:rsidRDefault="00E323DF" w:rsidP="00E323DF">
    <w:pPr>
      <w:pStyle w:val="FooterCoverPage"/>
      <w:rPr>
        <w:rFonts w:ascii="Arial" w:hAnsi="Arial" w:cs="Arial"/>
        <w:b/>
        <w:sz w:val="48"/>
      </w:rPr>
    </w:pPr>
    <w:r w:rsidRPr="00E323DF">
      <w:rPr>
        <w:rFonts w:ascii="Arial" w:hAnsi="Arial" w:cs="Arial"/>
        <w:b/>
        <w:sz w:val="48"/>
      </w:rPr>
      <w:t>PL</w:t>
    </w:r>
    <w:r w:rsidRPr="00E323DF">
      <w:rPr>
        <w:rFonts w:ascii="Arial" w:hAnsi="Arial" w:cs="Arial"/>
        <w:b/>
        <w:sz w:val="48"/>
      </w:rPr>
      <w:tab/>
    </w:r>
    <w:r w:rsidRPr="00E323DF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E323DF">
      <w:tab/>
    </w:r>
    <w:r w:rsidRPr="00E323DF"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DF" w:rsidRPr="00E323DF" w:rsidRDefault="00E323DF" w:rsidP="00E323DF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F5" w:rsidRDefault="003C26F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338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26F5" w:rsidRDefault="00E323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26F5" w:rsidRDefault="003C26F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F5" w:rsidRDefault="003C2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F5" w:rsidRDefault="00E323DF">
      <w:pPr>
        <w:spacing w:after="0" w:line="240" w:lineRule="auto"/>
      </w:pPr>
      <w:r>
        <w:separator/>
      </w:r>
    </w:p>
  </w:footnote>
  <w:footnote w:type="continuationSeparator" w:id="0">
    <w:p w:rsidR="003C26F5" w:rsidRDefault="00E323DF">
      <w:pPr>
        <w:spacing w:after="0" w:line="240" w:lineRule="auto"/>
      </w:pPr>
      <w:r>
        <w:continuationSeparator/>
      </w:r>
    </w:p>
  </w:footnote>
  <w:footnote w:type="continuationNotice" w:id="1">
    <w:p w:rsidR="003C26F5" w:rsidRDefault="003C26F5">
      <w:pPr>
        <w:spacing w:after="0" w:line="240" w:lineRule="auto"/>
      </w:pPr>
    </w:p>
  </w:footnote>
  <w:footnote w:id="2">
    <w:p w:rsidR="003C26F5" w:rsidRDefault="00E323D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Wytyczne polityczne na następną kadencję Komisji Europejskiej, 15 lipca 2014 r.: „Nowy początek dla Europy: Mój program na rzecz zatrudnienia, wzrostu, sprawiedliwości oraz zmian demokratycznych”.</w:t>
      </w:r>
    </w:p>
  </w:footnote>
  <w:footnote w:id="3">
    <w:p w:rsidR="003C26F5" w:rsidRDefault="00E323D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Style w:val="FootnoteReference"/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t>Dokumenty robocze służb Komisji „Główne tendencje w dzie</w:t>
      </w:r>
      <w:r>
        <w:rPr>
          <w:rFonts w:ascii="Times New Roman" w:hAnsi="Times New Roman"/>
          <w:sz w:val="20"/>
        </w:rPr>
        <w:t>dzinie gospodarki, spraw socjalnych i zatrudnienia leżące u podstaw europejskiego filaru praw socjalnych” (SWD(2016) 51) i „Dorobek socjalny UE” (SWD(2016) 50) z dnia 8 marca 2016 r.</w:t>
      </w:r>
    </w:p>
  </w:footnote>
  <w:footnote w:id="4">
    <w:p w:rsidR="003C26F5" w:rsidRDefault="00E323DF">
      <w:pPr>
        <w:pStyle w:val="Default"/>
        <w:jc w:val="both"/>
        <w:rPr>
          <w:rFonts w:ascii="Times New Roman" w:hAnsi="Times New Roman" w:cs="Times New Roman"/>
          <w:highlight w:val="yellow"/>
          <w:lang w:val="en-GB"/>
        </w:rPr>
      </w:pPr>
      <w:r>
        <w:rPr>
          <w:rStyle w:val="FootnoteReference"/>
          <w:rFonts w:ascii="Times New Roman" w:hAnsi="Times New Roman"/>
          <w:color w:val="auto"/>
          <w:sz w:val="20"/>
        </w:rPr>
        <w:footnoteRef/>
      </w:r>
      <w:r>
        <w:rPr>
          <w:rStyle w:val="FootnoteReference"/>
          <w:color w:val="auto"/>
          <w:sz w:val="20"/>
        </w:rPr>
        <w:t xml:space="preserve"> </w:t>
      </w:r>
      <w:r>
        <w:rPr>
          <w:rFonts w:ascii="Times New Roman" w:hAnsi="Times New Roman"/>
          <w:sz w:val="20"/>
        </w:rPr>
        <w:t>Zob. na przykład MOP (2015) „The future of work centenary initiative”; OECD (2016) „Policy forum on the future of work”; Bertelsmann Stiftung (2015) „Redesigning European welfare states – Ways forward”; Bundesministerium für Arbeit und Soziales (2015) „Gre</w:t>
      </w:r>
      <w:r>
        <w:rPr>
          <w:rFonts w:ascii="Times New Roman" w:hAnsi="Times New Roman"/>
          <w:sz w:val="20"/>
        </w:rPr>
        <w:t xml:space="preserve">en Paper: Re-Imagining Work. </w:t>
      </w:r>
      <w:r>
        <w:rPr>
          <w:rFonts w:ascii="Times New Roman" w:hAnsi="Times New Roman"/>
          <w:sz w:val="20"/>
          <w:lang w:val="en-GB"/>
        </w:rPr>
        <w:t>Work 4.0”; Światowe Forum Ekonomiczne (2016) „The Future of Jobs: Employment, Skills and Workforce Strategy for the Fourth Industrial Revolution”; OECD, MFE, Bank Światowy i MOP (2015) „Income inequality and labour income share</w:t>
      </w:r>
      <w:r>
        <w:rPr>
          <w:rFonts w:ascii="Times New Roman" w:hAnsi="Times New Roman"/>
          <w:sz w:val="20"/>
          <w:lang w:val="en-GB"/>
        </w:rPr>
        <w:t xml:space="preserve"> in G20 countries: Trends, Impacts and Causes”. </w:t>
      </w:r>
    </w:p>
  </w:footnote>
  <w:footnote w:id="5">
    <w:p w:rsidR="003C26F5" w:rsidRDefault="00E323DF">
      <w:pPr>
        <w:pStyle w:val="FootnoteText"/>
        <w:jc w:val="both"/>
        <w:rPr>
          <w:lang w:val="en-GB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„Dokończenie budowy europejskiej unii gospodarczej i walutowej”, sprawozdanie opracowane przez Jeana-Claude'a Junckera we współpracy z Donaldem Tuskiem, Jeroenem Dijsselbloemem, Mario Draghim i Martinem Sc</w:t>
      </w:r>
      <w:r>
        <w:rPr>
          <w:rFonts w:ascii="Times New Roman" w:hAnsi="Times New Roman"/>
        </w:rPr>
        <w:t>hulzem, czerwiec 2015 r.</w:t>
      </w:r>
      <w:r>
        <w:rPr>
          <w:rStyle w:val="Caractresdenotedebasdepage"/>
        </w:rPr>
        <w:t xml:space="preserve"> </w:t>
      </w:r>
      <w:r>
        <w:rPr>
          <w:rFonts w:ascii="Times New Roman" w:hAnsi="Times New Roman"/>
        </w:rPr>
        <w:t>W swoim wspólnym wkładzie w sprawozdanie Francja i Niemcy podkreśliły m.in. potrzebę zacieśnienia współpracy i ustalenia wspólnych kierunków działań w niektórych obszarach, takich jak aktywna polityka rynku pracy i systemy zabezpie</w:t>
      </w:r>
      <w:r>
        <w:rPr>
          <w:rFonts w:ascii="Times New Roman" w:hAnsi="Times New Roman"/>
        </w:rPr>
        <w:t xml:space="preserve">czenia społecznego. </w:t>
      </w:r>
      <w:r>
        <w:rPr>
          <w:rFonts w:ascii="Times New Roman" w:hAnsi="Times New Roman"/>
          <w:lang w:val="en-GB"/>
        </w:rPr>
        <w:t xml:space="preserve">Zob. także </w:t>
      </w:r>
      <w:r>
        <w:rPr>
          <w:rFonts w:ascii="Times New Roman" w:hAnsi="Times New Roman"/>
          <w:color w:val="000000"/>
          <w:lang w:val="en-GB"/>
        </w:rPr>
        <w:t>European Political Strategy Center (2015) „The Social Dimension of Economic and Monetary Union”.</w:t>
      </w:r>
      <w:r>
        <w:rPr>
          <w:rFonts w:ascii="Times New Roman" w:hAnsi="Times New Roman"/>
          <w:lang w:val="en-GB"/>
        </w:rPr>
        <w:t xml:space="preserve"> </w:t>
      </w:r>
    </w:p>
  </w:footnote>
  <w:footnote w:id="6">
    <w:p w:rsidR="003C26F5" w:rsidRDefault="00E323DF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COM (2015) 600 z dnia 21 października 2015 r. w sprawie działań na rzecz dokończenia budowy unii gospodarczej i walutowej.</w:t>
      </w:r>
    </w:p>
  </w:footnote>
  <w:footnote w:id="7">
    <w:p w:rsidR="003C26F5" w:rsidRDefault="00E323D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Zwracamy uwagę, że wszystkie otrzymane odpowiedzi oraz dane respondenta zostaną opublikowane w internecie, chyba że respondent sprzeciwi się publikacji swoich danych osobowych, powołując się na konieczność ochrony swoich uzasadnionych interesów. W takim pr</w:t>
      </w:r>
      <w:r>
        <w:rPr>
          <w:rFonts w:ascii="Times New Roman" w:hAnsi="Times New Roman"/>
        </w:rPr>
        <w:t>zypadku uwagi mogą zostać opublikowane anonimowo. W przeciwnym razie odpowiedź nie zostanie opublikowana, a jej treść nie zostanie uwzględniona.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DF" w:rsidRPr="00E323DF" w:rsidRDefault="00E323DF" w:rsidP="00E323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DF" w:rsidRPr="00E323DF" w:rsidRDefault="00E323DF" w:rsidP="00E323DF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DF" w:rsidRPr="00E323DF" w:rsidRDefault="00E323DF" w:rsidP="00E323DF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F5" w:rsidRDefault="003C26F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F5" w:rsidRDefault="003C26F5">
    <w:pPr>
      <w:pStyle w:val="Header"/>
      <w:jc w:val="right"/>
    </w:pPr>
  </w:p>
  <w:p w:rsidR="003C26F5" w:rsidRDefault="003C26F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F5" w:rsidRDefault="003C2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9C1457"/>
    <w:multiLevelType w:val="hybridMultilevel"/>
    <w:tmpl w:val="E51AA0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EA0"/>
    <w:multiLevelType w:val="hybridMultilevel"/>
    <w:tmpl w:val="B99878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D34B1"/>
    <w:multiLevelType w:val="hybridMultilevel"/>
    <w:tmpl w:val="FB78AE86"/>
    <w:lvl w:ilvl="0" w:tplc="D660CF96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A7B19"/>
    <w:multiLevelType w:val="hybridMultilevel"/>
    <w:tmpl w:val="4D762A72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04BCA"/>
    <w:multiLevelType w:val="multilevel"/>
    <w:tmpl w:val="7420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37DAD"/>
    <w:multiLevelType w:val="hybridMultilevel"/>
    <w:tmpl w:val="4232E05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E18F2"/>
    <w:multiLevelType w:val="hybridMultilevel"/>
    <w:tmpl w:val="483A6F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51471"/>
    <w:multiLevelType w:val="hybridMultilevel"/>
    <w:tmpl w:val="32240B54"/>
    <w:lvl w:ilvl="0" w:tplc="0428F2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3BA1"/>
    <w:multiLevelType w:val="hybridMultilevel"/>
    <w:tmpl w:val="A8D2F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53184"/>
    <w:multiLevelType w:val="hybridMultilevel"/>
    <w:tmpl w:val="8B0233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753EE3"/>
    <w:multiLevelType w:val="hybridMultilevel"/>
    <w:tmpl w:val="ACEE9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110A7"/>
    <w:multiLevelType w:val="hybridMultilevel"/>
    <w:tmpl w:val="268AD6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551C9"/>
    <w:multiLevelType w:val="hybridMultilevel"/>
    <w:tmpl w:val="BFD25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F5C39"/>
    <w:multiLevelType w:val="hybridMultilevel"/>
    <w:tmpl w:val="63F076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F4EA9"/>
    <w:multiLevelType w:val="hybridMultilevel"/>
    <w:tmpl w:val="2A987962"/>
    <w:lvl w:ilvl="0" w:tplc="31F290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A768B"/>
    <w:multiLevelType w:val="hybridMultilevel"/>
    <w:tmpl w:val="ABA2E320"/>
    <w:lvl w:ilvl="0" w:tplc="F60AA46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1F497D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3F234B"/>
    <w:multiLevelType w:val="hybridMultilevel"/>
    <w:tmpl w:val="5D8C5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66CED"/>
    <w:multiLevelType w:val="hybridMultilevel"/>
    <w:tmpl w:val="51DA727E"/>
    <w:lvl w:ilvl="0" w:tplc="E22676A0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640298"/>
    <w:multiLevelType w:val="hybridMultilevel"/>
    <w:tmpl w:val="79287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C13A8"/>
    <w:multiLevelType w:val="hybridMultilevel"/>
    <w:tmpl w:val="484884E2"/>
    <w:lvl w:ilvl="0" w:tplc="04882D10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00DBB"/>
    <w:multiLevelType w:val="hybridMultilevel"/>
    <w:tmpl w:val="2F0E8AD8"/>
    <w:lvl w:ilvl="0" w:tplc="04882D10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D5012"/>
    <w:multiLevelType w:val="hybridMultilevel"/>
    <w:tmpl w:val="FFB21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5"/>
  </w:num>
  <w:num w:numId="4">
    <w:abstractNumId w:val="13"/>
  </w:num>
  <w:num w:numId="5">
    <w:abstractNumId w:val="15"/>
  </w:num>
  <w:num w:numId="6">
    <w:abstractNumId w:val="9"/>
  </w:num>
  <w:num w:numId="7">
    <w:abstractNumId w:val="1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6"/>
  </w:num>
  <w:num w:numId="17">
    <w:abstractNumId w:val="17"/>
  </w:num>
  <w:num w:numId="18">
    <w:abstractNumId w:val="2"/>
  </w:num>
  <w:num w:numId="19">
    <w:abstractNumId w:val="12"/>
  </w:num>
  <w:num w:numId="20">
    <w:abstractNumId w:val="21"/>
  </w:num>
  <w:num w:numId="21">
    <w:abstractNumId w:val="6"/>
  </w:num>
  <w:num w:numId="22">
    <w:abstractNumId w:val="0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CONFIDENCE" w:val=" "/>
    <w:docVar w:name="LW_CONST_RESTREINT_UE" w:val="RESTREINT UE/EU RESTRICTED"/>
    <w:docVar w:name="LW_CORRIGENDUM" w:val="&lt;UNUSED&gt;"/>
    <w:docVar w:name="LW_COVERPAGE_GUID" w:val="E8FE833D18FD4975A4260C99C338FC0F"/>
    <w:docVar w:name="LW_CROSSREFERENCE" w:val="{SWD(2016) 50 final}_x000b_{SWD(2016) 51 final}"/>
    <w:docVar w:name="LW_DocType" w:val="NORMAL"/>
    <w:docVar w:name="LW_EMISSION" w:val="8.3.2016"/>
    <w:docVar w:name="LW_EMISSION_ISODATE" w:val="2016-03-08"/>
    <w:docVar w:name="LW_EMISSION_LOCATION" w:val="STR"/>
    <w:docVar w:name="LW_EMISSION_PREFIX" w:val="Strasburg, dnia "/>
    <w:docVar w:name="LW_EMISSION_SUFFIX" w:val=" r."/>
    <w:docVar w:name="LW_ID_DOCTYPE_NONLW" w:val="CP-014"/>
    <w:docVar w:name="LW_LANGUE" w:val="PL"/>
    <w:docVar w:name="LW_MARKING" w:val="&lt;UNUSED&gt;"/>
    <w:docVar w:name="LW_NOM.INST" w:val="KOMISJA EUROPEJSK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6) 127"/>
    <w:docVar w:name="LW_REF.INTERNE" w:val="&lt;UNUSED&gt;"/>
    <w:docVar w:name="LW_SOUS.TITRE.OBJ.CP" w:val="&lt;UNUSED&gt;"/>
    <w:docVar w:name="LW_SUPERTITRE" w:val="&lt;UNUSED&gt;"/>
    <w:docVar w:name="LW_TITRE.OBJ.CP" w:val="Rozpocz\u281?cie konsultacji w sprawie europejskiego filaru praw socjalnych"/>
    <w:docVar w:name="LW_TYPE.DOC.CP" w:val="KOMUNIKAT KOMISJI DO PARLAMENTU EUROPEJSKIEGO, RADY, EUROPEJSKIEGO KOMITETU EKONOMICZNO-SPO\u321?ECZNEGO I KOMITETU REGIONÓW"/>
    <w:docVar w:name="LW_TYPE.DOC.CP.USERTEXT" w:val="&lt;EMPTY&gt;"/>
  </w:docVars>
  <w:rsids>
    <w:rsidRoot w:val="003C26F5"/>
    <w:rsid w:val="003C26F5"/>
    <w:rsid w:val="00E3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Typedudocument">
    <w:name w:val="Type du document"/>
    <w:basedOn w:val="Normal"/>
    <w:next w:val="Normal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FootnoteText">
    <w:name w:val="footnote text"/>
    <w:aliases w:val="Fussnote,stile 1,Fußnote,Podrozdział,Footnote Text Char Char,Footnote Text Char1 Char Char,Footnote Text Char Char Char Char,Footnote Text Char Char1,Char Char,Sprotna opomba - besedilo Znak1,Tekst przypis,o,Char,Märk,Char1,Footnote text,f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ssnote Char,stile 1 Char,Fußnote Char,Podrozdział Char,Footnote Text Char Char Char,Footnote Text Char1 Char Char Char,Footnote Text Char Char Char Char Char,Footnote Text Char Char1 Char,Char Char Char,Tekst przypis Char,o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aliases w:val="Footnote Reference Superscript,BVI fnr, BVI fnr,Footnote symbol,Footnote reference number,Times 10 Point,Exposant 3 Point,EN Footnote Reference,note TESI,Footnote,Footnote Reference Number,E FNZ,-E Fußnotenzeichen,Footnote#,Ref,SUPERS"/>
    <w:basedOn w:val="DefaultParagraphFont"/>
    <w:link w:val="FootnotesymbolCarZchn"/>
    <w:uiPriority w:val="99"/>
    <w:unhideWhenUsed/>
    <w:qFormat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dnormal">
    <w:name w:val="prdnormal"/>
    <w:basedOn w:val="DefaultParagraphFont"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riefingtext">
    <w:name w:val="Briefing text"/>
    <w:basedOn w:val="Normal"/>
    <w:link w:val="BriefingtextChar"/>
    <w:pPr>
      <w:spacing w:after="24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riefingtextChar">
    <w:name w:val="Briefing text Char"/>
    <w:link w:val="Briefingtext"/>
    <w:rPr>
      <w:rFonts w:ascii="Arial" w:eastAsia="Times New Roman" w:hAnsi="Arial" w:cs="Arial"/>
      <w:szCs w:val="24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alibri" w:hAnsi="Calibr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/>
      <w:sz w:val="28"/>
      <w:szCs w:val="21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pPr>
      <w:spacing w:after="160" w:line="240" w:lineRule="exact"/>
      <w:jc w:val="both"/>
    </w:pPr>
    <w:rPr>
      <w:vertAlign w:val="superscript"/>
    </w:rPr>
  </w:style>
  <w:style w:type="character" w:customStyle="1" w:styleId="Caractresdenotedebasdepage">
    <w:name w:val="Caractères de note de bas de page"/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st1">
    <w:name w:val="st1"/>
    <w:basedOn w:val="DefaultParagraphFont"/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Verdana" w:eastAsia="Times New Roman" w:hAnsi="Verdana" w:cs="Times New Roman"/>
      <w:color w:val="000000"/>
      <w:sz w:val="20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Typedudocument">
    <w:name w:val="Type du document"/>
    <w:basedOn w:val="Normal"/>
    <w:next w:val="Normal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FootnoteText">
    <w:name w:val="footnote text"/>
    <w:aliases w:val="Fussnote,stile 1,Fußnote,Podrozdział,Footnote Text Char Char,Footnote Text Char1 Char Char,Footnote Text Char Char Char Char,Footnote Text Char Char1,Char Char,Sprotna opomba - besedilo Znak1,Tekst przypis,o,Char,Märk,Char1,Footnote text,f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ssnote Char,stile 1 Char,Fußnote Char,Podrozdział Char,Footnote Text Char Char Char,Footnote Text Char1 Char Char Char,Footnote Text Char Char Char Char Char,Footnote Text Char Char1 Char,Char Char Char,Tekst przypis Char,o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aliases w:val="Footnote Reference Superscript,BVI fnr, BVI fnr,Footnote symbol,Footnote reference number,Times 10 Point,Exposant 3 Point,EN Footnote Reference,note TESI,Footnote,Footnote Reference Number,E FNZ,-E Fußnotenzeichen,Footnote#,Ref,SUPERS"/>
    <w:basedOn w:val="DefaultParagraphFont"/>
    <w:link w:val="FootnotesymbolCarZchn"/>
    <w:uiPriority w:val="99"/>
    <w:unhideWhenUsed/>
    <w:qFormat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dnormal">
    <w:name w:val="prdnormal"/>
    <w:basedOn w:val="DefaultParagraphFont"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riefingtext">
    <w:name w:val="Briefing text"/>
    <w:basedOn w:val="Normal"/>
    <w:link w:val="BriefingtextChar"/>
    <w:pPr>
      <w:spacing w:after="24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riefingtextChar">
    <w:name w:val="Briefing text Char"/>
    <w:link w:val="Briefingtext"/>
    <w:rPr>
      <w:rFonts w:ascii="Arial" w:eastAsia="Times New Roman" w:hAnsi="Arial" w:cs="Arial"/>
      <w:szCs w:val="24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alibri" w:hAnsi="Calibr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/>
      <w:sz w:val="28"/>
      <w:szCs w:val="21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pPr>
      <w:spacing w:after="160" w:line="240" w:lineRule="exact"/>
      <w:jc w:val="both"/>
    </w:pPr>
    <w:rPr>
      <w:vertAlign w:val="superscript"/>
    </w:rPr>
  </w:style>
  <w:style w:type="character" w:customStyle="1" w:styleId="Caractresdenotedebasdepage">
    <w:name w:val="Caractères de note de bas de page"/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st1">
    <w:name w:val="st1"/>
    <w:basedOn w:val="DefaultParagraphFont"/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Verdana" w:eastAsia="Times New Roman" w:hAnsi="Verdana" w:cs="Times New Roman"/>
      <w:color w:val="000000"/>
      <w:sz w:val="20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9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1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4649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91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9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23127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82626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6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37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60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EMPL-EUROPEAN-PILLAR-OF-SOCIAL-RIGHTS@ec.europa.e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c.europa.eu/priorities/deeper-and-fairer-economic-and-monetary-union/european-pillar-social-rights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AF765-9F6C-4C8C-9B6E-002801EA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4230</Words>
  <Characters>28267</Characters>
  <Application>Microsoft Office Word</Application>
  <DocSecurity>0</DocSecurity>
  <Lines>443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2016-03-09T15:20:00Z</dcterms:created>
  <dcterms:modified xsi:type="dcterms:W3CDTF">2016-03-10T15:14:00Z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Classification">
    <vt:lpwstr> </vt:lpwstr>
  </property>
  <property fmtid="{D5CDD505-2E9C-101B-9397-08002B2CF9AE}" pid="5" name="DocStatus">
    <vt:lpwstr>Green</vt:lpwstr>
  </property>
</Properties>
</file>