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A302C6E92F9F45DAB6970E3BB2034A44" style="width:450.75pt;height:487.5pt">
            <v:imagedata r:id="rId9" o:title=""/>
          </v:shape>
        </w:pict>
      </w:r>
    </w:p>
    <w:p>
      <w:pPr>
        <w:pStyle w:val="Pagedecouverture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LIITE</w:t>
      </w:r>
      <w:r>
        <w:rPr>
          <w:noProof/>
          <w:u w:val="none"/>
        </w:rPr>
        <w:br/>
      </w:r>
      <w:r>
        <w:rPr>
          <w:noProof/>
          <w:u w:val="none"/>
        </w:rPr>
        <w:br/>
        <w:t>ETA:N SEKAKOMITEAN PÄÄTÖS N:o …/2016,</w:t>
      </w:r>
      <w:r>
        <w:rPr>
          <w:noProof/>
          <w:u w:val="none"/>
        </w:rPr>
        <w:br/>
      </w:r>
      <w:r>
        <w:rPr>
          <w:noProof/>
          <w:u w:val="none"/>
        </w:rPr>
        <w:br/>
        <w:t xml:space="preserve">yhteistyöstä muilla kuin neljän vapauden alaan kuuluvilla erityisalueilla tehdyn ETA-sopimuksen pöytäkirjan 31 muuttamisesta </w:t>
      </w:r>
    </w:p>
    <w:p>
      <w:pPr>
        <w:pStyle w:val="Institutionquiagit"/>
        <w:rPr>
          <w:noProof/>
        </w:rPr>
      </w:pPr>
      <w:r>
        <w:rPr>
          <w:noProof/>
        </w:rPr>
        <w:t>ETA:N SEKAKOMITEA, joka</w:t>
      </w:r>
    </w:p>
    <w:p>
      <w:pPr>
        <w:rPr>
          <w:noProof/>
        </w:rPr>
      </w:pPr>
      <w:r>
        <w:rPr>
          <w:noProof/>
        </w:rPr>
        <w:t>ottaa huomioon Euroopan talousalueesta tehdyn sopimuksen, jäljempänä ’ETA-sopimus’, ja erityisesti sen 86 ja 98 artiklan,</w:t>
      </w:r>
    </w:p>
    <w:p>
      <w:pPr>
        <w:rPr>
          <w:noProof/>
        </w:rPr>
      </w:pPr>
      <w:r>
        <w:rPr>
          <w:noProof/>
        </w:rPr>
        <w:t>sekä katsoo seuraavaa:</w:t>
      </w:r>
    </w:p>
    <w:p>
      <w:pPr>
        <w:pStyle w:val="Considrant"/>
        <w:numPr>
          <w:ilvl w:val="0"/>
          <w:numId w:val="11"/>
        </w:numPr>
        <w:rPr>
          <w:noProof/>
        </w:rPr>
      </w:pPr>
      <w:r>
        <w:rPr>
          <w:noProof/>
        </w:rPr>
        <w:t>On aiheellista laajentaa ETA-sopimuksen sopimuspuolten välinen yhteistyö kattamaan yhteistyö, joka koskee työntekijöiden vapaata liikkuvuutta, sosiaaliturvajärjestelmien yhteensovittamista ja toimenpiteitä siirtolaisten, myös kolmansista maista tulevien siirtolaisten, hyväksi.</w:t>
      </w:r>
    </w:p>
    <w:p>
      <w:pPr>
        <w:pStyle w:val="Considrant"/>
        <w:numPr>
          <w:ilvl w:val="0"/>
          <w:numId w:val="11"/>
        </w:numPr>
        <w:rPr>
          <w:noProof/>
        </w:rPr>
      </w:pPr>
      <w:r>
        <w:rPr>
          <w:noProof/>
        </w:rPr>
        <w:t>Sen vuoksi ETA-sopimuksen pöytäkirjaa 31 olisi muutettava, jotta tätä laajennettua yhteistyötä voitaisiin tehdä 1 päivästä tammikuuta 2016,</w:t>
      </w:r>
    </w:p>
    <w:p>
      <w:pPr>
        <w:pStyle w:val="Formuledadoption"/>
        <w:rPr>
          <w:noProof/>
        </w:rPr>
      </w:pPr>
      <w:r>
        <w:rPr>
          <w:noProof/>
        </w:rPr>
        <w:t>ON HYVÄKSYNYT TÄMÄN PÄÄTÖKSEN:</w:t>
      </w:r>
    </w:p>
    <w:p>
      <w:pPr>
        <w:pStyle w:val="Titrearticle"/>
        <w:rPr>
          <w:noProof/>
        </w:rPr>
      </w:pPr>
      <w:r>
        <w:rPr>
          <w:noProof/>
        </w:rPr>
        <w:t>1 artikla</w:t>
      </w:r>
    </w:p>
    <w:p>
      <w:pPr>
        <w:rPr>
          <w:noProof/>
        </w:rPr>
      </w:pPr>
      <w:r>
        <w:rPr>
          <w:noProof/>
        </w:rPr>
        <w:t>Korvataan ETA-sopimuksen pöytäkirjassa 31 olevan 5 artiklan 5 ja 13 kohdassa ilmaisu ”ja 2015” ilmaisulla ”, 2015 ja 2016”.</w:t>
      </w:r>
    </w:p>
    <w:p>
      <w:pPr>
        <w:pStyle w:val="Titrearticle"/>
        <w:rPr>
          <w:noProof/>
        </w:rPr>
      </w:pPr>
      <w:r>
        <w:rPr>
          <w:noProof/>
        </w:rPr>
        <w:t>2 artikla</w:t>
      </w:r>
    </w:p>
    <w:p>
      <w:pPr>
        <w:rPr>
          <w:noProof/>
        </w:rPr>
      </w:pPr>
      <w:r>
        <w:rPr>
          <w:noProof/>
        </w:rPr>
        <w:t>Tämä päätös tulee voimaan sitä päivää seuraavana päivänä, jona viimeinen ETA-sopimuksen 103 artiklan 1 kohdan mukainen ilmoitus on tehty</w:t>
      </w:r>
      <w:r>
        <w:rPr>
          <w:rStyle w:val="FootnoteReference"/>
          <w:noProof/>
        </w:rPr>
        <w:sym w:font="Symbol" w:char="F02A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  <w:color w:val="000000"/>
        </w:rPr>
        <w:footnoteReference w:customMarkFollows="1" w:id="1"/>
        <w:t>Sitä sovelletaan</w:t>
      </w:r>
      <w:r>
        <w:rPr>
          <w:noProof/>
        </w:rPr>
        <w:t xml:space="preserve"> 1 päivästä tammikuuta 2016</w:t>
      </w:r>
      <w:r>
        <w:rPr>
          <w:noProof/>
          <w:color w:val="000000"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3 artikla</w:t>
      </w:r>
    </w:p>
    <w:p>
      <w:pPr>
        <w:rPr>
          <w:noProof/>
        </w:rPr>
      </w:pPr>
      <w:r>
        <w:rPr>
          <w:noProof/>
        </w:rPr>
        <w:t xml:space="preserve">Tämä päätös julkaistaan </w:t>
      </w:r>
      <w:r>
        <w:rPr>
          <w:i/>
          <w:noProof/>
        </w:rPr>
        <w:t>Euroopan unionin virallisen lehden</w:t>
      </w:r>
      <w:r>
        <w:rPr>
          <w:noProof/>
        </w:rPr>
        <w:t xml:space="preserve"> ETA-osastossa ja ETA-täydennysosassa.</w:t>
      </w:r>
    </w:p>
    <w:p>
      <w:pPr>
        <w:pStyle w:val="Fait"/>
        <w:rPr>
          <w:noProof/>
        </w:rPr>
      </w:pPr>
      <w:r>
        <w:rPr>
          <w:noProof/>
        </w:rPr>
        <w:t>Tehty Brysselissä</w:t>
      </w:r>
    </w:p>
    <w:p>
      <w:pPr>
        <w:pStyle w:val="Institutionquisigne"/>
        <w:rPr>
          <w:noProof/>
        </w:rPr>
      </w:pPr>
      <w:r>
        <w:rPr>
          <w:noProof/>
        </w:rPr>
        <w:tab/>
        <w:t>ETA:n sekakomitean puolesta</w:t>
      </w:r>
    </w:p>
    <w:p>
      <w:pPr>
        <w:pStyle w:val="Personnequisigne"/>
        <w:rPr>
          <w:noProof/>
        </w:rPr>
      </w:pPr>
      <w:r>
        <w:rPr>
          <w:noProof/>
        </w:rPr>
        <w:tab/>
        <w:t>Puheenjohtaja</w:t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lastRenderedPageBreak/>
        <w:tab/>
      </w:r>
      <w:r>
        <w:rPr>
          <w:noProof/>
        </w:rPr>
        <w:br/>
      </w:r>
      <w:r>
        <w:rPr>
          <w:noProof/>
        </w:rPr>
        <w:tab/>
        <w:t>ETA:n sekakomitean sihteerit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sym w:font="Symbol" w:char="F02A"/>
      </w:r>
      <w:r>
        <w:tab/>
        <w:t>[Valtiosäännön asettamista vaatimuksista ei ole ilmoitettu.] [Valtiosäännön asettamista vaatimuksista on ilmoitettu.]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F0C6C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1FAFD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89A3D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624E5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CEE4E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E5423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C709E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46C01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8364B0"/>
    <w:multiLevelType w:val="singleLevel"/>
    <w:tmpl w:val="D084FB54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31CD398A"/>
    <w:multiLevelType w:val="singleLevel"/>
    <w:tmpl w:val="0276BF00"/>
    <w:name w:val="List Dash 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23"/>
    <w:lvlOverride w:ilvl="0">
      <w:startOverride w:val="1"/>
    </w:lvlOverride>
  </w:num>
  <w:num w:numId="12">
    <w:abstractNumId w:val="20"/>
  </w:num>
  <w:num w:numId="13">
    <w:abstractNumId w:val="14"/>
  </w:num>
  <w:num w:numId="14">
    <w:abstractNumId w:val="22"/>
  </w:num>
  <w:num w:numId="15">
    <w:abstractNumId w:val="12"/>
  </w:num>
  <w:num w:numId="16">
    <w:abstractNumId w:val="15"/>
  </w:num>
  <w:num w:numId="17">
    <w:abstractNumId w:val="10"/>
  </w:num>
  <w:num w:numId="18">
    <w:abstractNumId w:val="21"/>
  </w:num>
  <w:num w:numId="19">
    <w:abstractNumId w:val="9"/>
  </w:num>
  <w:num w:numId="20">
    <w:abstractNumId w:val="16"/>
  </w:num>
  <w:num w:numId="21">
    <w:abstractNumId w:val="18"/>
  </w:num>
  <w:num w:numId="22">
    <w:abstractNumId w:val="19"/>
  </w:num>
  <w:num w:numId="23">
    <w:abstractNumId w:val="11"/>
  </w:num>
  <w:num w:numId="24">
    <w:abstractNumId w:val="17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oNotTrackMoves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OVERPAGE_EXISTS" w:val="True"/>
    <w:docVar w:name="DQCDateTime" w:val="2016-03-11 09:03:5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1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&lt;UNUSED&gt;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A302C6E92F9F45DAB6970E3BB2034A44"/>
    <w:docVar w:name="LW_CROSSREFERENCE" w:val="&lt;UNUSED&gt;"/>
    <w:docVar w:name="LW_DocType" w:val="ANNEX"/>
    <w:docVar w:name="LW_EMISSION" w:val="11.3.2016"/>
    <w:docVar w:name="LW_EMISSION_ISODATE" w:val="2016-03-11"/>
    <w:docVar w:name="LW_EMISSION_LOCATION" w:val="BRX"/>
    <w:docVar w:name="LW_EMISSION_PREFIX" w:val="Bryssel "/>
    <w:docVar w:name="LW_EMISSION_SUFFIX" w:val=" "/>
    <w:docVar w:name="LW_ID_DOCSTRUCTURE" w:val="COM/ANNEX"/>
    <w:docVar w:name="LW_ID_DOCTYPE" w:val="SG-017"/>
    <w:docVar w:name="LW_LANGUE" w:val="FI"/>
    <w:docVar w:name="LW_MARKING" w:val="&lt;UNUSED&gt;"/>
    <w:docVar w:name="LW_NOM.INST" w:val="EUROOPAN KOMISSIO"/>
    <w:docVar w:name="LW_NOM.INST_JOINTDOC" w:val="&lt;EMPTY&gt;"/>
    <w:docVar w:name="LW_OBJETACTEPRINCIPAL.CP" w:val="&lt;UNUSED&gt;"/>
    <w:docVar w:name="LW_PART_NBR" w:val="1"/>
    <w:docVar w:name="LW_PART_NBR_TOTAL" w:val="1"/>
    <w:docVar w:name="LW_REF.INST.NEW" w:val="COM"/>
    <w:docVar w:name="LW_REF.INST.NEW_ADOPTED" w:val="final"/>
    <w:docVar w:name="LW_REF.INST.NEW_TEXT" w:val="(2016) 131"/>
    <w:docVar w:name="LW_REF.INTERNE" w:val="&lt;UNUSED&gt;"/>
    <w:docVar w:name="LW_SUPERTITRE" w:val="&lt;UNUSED&gt;"/>
    <w:docVar w:name="LW_TITRE.OBJ" w:val="ETA:N SEKAKOMITEAN PÄÄTÖS N:o .../2016_x000b_annettu....,_x000b_yhteistyöstä muilla kuin neljän vapauden alaan kuuluvilla erityisalueilla tehdyn ETA-sopimuksen pöytäkirjan 31 muuttamisesta_x000b__x000b_asiakirjaan_x000b__x000b_Ehdotus neuvoston päätökseksi_x000b__x000b_ETA:n sekakomiteassa Euroopan unionin puolesta esitettävästä kannasta yhteistyöstä muilla kuin neljän vapauden alaan kuuluvilla erityisalueilla tehdyn ETA-sopimuksen pöytäkirjan 31 muuttamiseen_x000b_(Budjettikohta 04 03 01 03)_x000b_"/>
    <w:docVar w:name="LW_TITRE.OBJ.CP" w:val="ETA:N SEKAKOMITEAN PÄÄTÖS N:o .../2016_x000b_annettu....,_x000b_yhteistyöstä muilla kuin neljän vapauden alaan kuuluvilla erityisalueilla tehdyn ETA-sopimuksen pöytäkirjan 31 muuttamisesta_x000b__x000b_asiakirjaan_x000b__x000b_Ehdotus neuvoston päätökseksi_x000b__x000b_ETA:n sekakomiteassa Euroopan unionin puolesta esitettävästä kannasta yhteistyöstä muilla kuin neljän vapauden alaan kuuluvilla erityisalueilla tehdyn ETA-sopimuksen pöytäkirjan 31 muuttamiseen_x000b_(Budjettikohta 04 03 01 03)_x000b_"/>
    <w:docVar w:name="LW_TYPE.DOC" w:val="LIITE"/>
    <w:docVar w:name="LW_TYPE.DOC.CP" w:val="LIITE"/>
    <w:docVar w:name="LW_TYPEACTEPRINCIPAL.CP" w:val="&lt;UNUSED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Dash3">
    <w:name w:val="List Dash 3"/>
    <w:basedOn w:val="Normal"/>
    <w:pPr>
      <w:numPr>
        <w:numId w:val="9"/>
      </w:numPr>
    </w:pPr>
    <w:rPr>
      <w:rFonts w:eastAsia="Times New Roman"/>
      <w:szCs w:val="24"/>
    </w:rPr>
  </w:style>
  <w:style w:type="paragraph" w:customStyle="1" w:styleId="ListDash4">
    <w:name w:val="List Dash 4"/>
    <w:basedOn w:val="Normal"/>
    <w:pPr>
      <w:numPr>
        <w:numId w:val="10"/>
      </w:numPr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E88A-D2E2-45E6-ADD7-9B6DC70A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157</Words>
  <Characters>1169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RIBEIRO MIRANDA (EEAS)</dc:creator>
  <cp:keywords/>
  <cp:lastModifiedBy>DIGIT/A3</cp:lastModifiedBy>
  <cp:revision>7</cp:revision>
  <cp:lastPrinted>2014-02-26T14:25:00Z</cp:lastPrinted>
  <dcterms:created xsi:type="dcterms:W3CDTF">2016-02-23T10:11:00Z</dcterms:created>
  <dcterms:modified xsi:type="dcterms:W3CDTF">2016-03-11T08:03:00Z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5.8.3, Build 20130911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