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5C2DF8AB3C64104B962524CCCC29CD6" style="width:450.8pt;height:411.3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ZAŁĄCZNIKI</w:t>
      </w:r>
    </w:p>
    <w:p>
      <w:pPr>
        <w:pStyle w:val="Accompagnant"/>
        <w:rPr>
          <w:noProof/>
        </w:rPr>
      </w:pPr>
      <w:r>
        <w:rPr>
          <w:noProof/>
        </w:rPr>
        <w:t>do</w:t>
      </w:r>
    </w:p>
    <w:p>
      <w:pPr>
        <w:pStyle w:val="Typeacteprincipal"/>
        <w:rPr>
          <w:noProof/>
        </w:rPr>
      </w:pPr>
      <w:r>
        <w:rPr>
          <w:noProof/>
        </w:rPr>
        <w:t>Dyrektywy Parlamentu Europejskiego i Rady</w:t>
      </w:r>
    </w:p>
    <w:p>
      <w:pPr>
        <w:pStyle w:val="Objetacteprincipal"/>
        <w:rPr>
          <w:noProof/>
        </w:rPr>
      </w:pPr>
      <w:r>
        <w:rPr>
          <w:noProof/>
        </w:rPr>
        <w:t>w sprawie uznawania kwalifikacji zawodowych w żegludze śródlądowej</w:t>
      </w:r>
      <w:r>
        <w:rPr>
          <w:noProof/>
        </w:rPr>
        <w:br/>
        <w:t xml:space="preserve">oraz uchylającej dyrektywę Rady 96/50/WE i dyrektywę Rady 91/672/EWG </w:t>
      </w:r>
    </w:p>
    <w:p>
      <w:pPr>
        <w:pStyle w:val="Annextitre"/>
        <w:keepNext/>
        <w:rPr>
          <w:noProof/>
        </w:rPr>
      </w:pPr>
    </w:p>
    <w:p>
      <w:pPr>
        <w:pStyle w:val="Annextitre"/>
        <w:keepNext/>
        <w:rPr>
          <w:noProof/>
        </w:rPr>
      </w:pPr>
      <w:r>
        <w:rPr>
          <w:noProof/>
        </w:rPr>
        <w:t>Załącznik I</w:t>
      </w:r>
      <w:r>
        <w:rPr>
          <w:noProof/>
        </w:rPr>
        <w:br/>
      </w:r>
    </w:p>
    <w:p>
      <w:pPr>
        <w:jc w:val="center"/>
        <w:rPr>
          <w:b/>
          <w:noProof/>
        </w:rPr>
      </w:pPr>
      <w:r>
        <w:rPr>
          <w:b/>
          <w:noProof/>
        </w:rPr>
        <w:t>Minimalne wymogi dotyczące wieku, zgodności administracyjnej, kompetencji i stażu w żegludze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Minimalne wymogi dotyczące kwalifikacji załogi pokładowej określone w niniejszym załączniku należy traktować jako rosnący poziom kwalifikacji, z wyjątkiem kwalifikacji młodszych marynarzy i praktykantów, które uważa się za znajdujące się na tym samym poziomie. </w:t>
      </w:r>
    </w:p>
    <w:p>
      <w:pPr>
        <w:pStyle w:val="Heading1"/>
        <w:numPr>
          <w:ilvl w:val="0"/>
          <w:numId w:val="12"/>
        </w:numPr>
        <w:rPr>
          <w:noProof/>
        </w:rPr>
      </w:pPr>
      <w:r>
        <w:rPr>
          <w:noProof/>
        </w:rPr>
        <w:t>Kwalifikacje załogi pokładowej na poziomie podstawowym</w:t>
      </w:r>
    </w:p>
    <w:p>
      <w:pPr>
        <w:spacing w:before="0" w:after="0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Minimalne wymogi dotyczące uzyskania świadectwa młodszego marynarza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Każda osoba ubiegająca się o unijne świadectwo kwalifikacji: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16 lat.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Minimalne wymogi dotyczące uzyskania świadectwa praktykanta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Każda osoba ubiegająca się o unijne świadectwo kwalifikacji: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15 lat;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musi podpisać umowę w sprawie praktyk, w której przewidziany jest zatwierdzony program szkolenia, o którym mowa w art. 17.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Kwalifikacje załogi pokładowej na poziomie operacyjnym </w:t>
      </w:r>
      <w:r>
        <w:rPr>
          <w:noProof/>
        </w:rPr>
        <w:tab/>
      </w:r>
    </w:p>
    <w:p>
      <w:pPr>
        <w:pStyle w:val="Heading2"/>
        <w:rPr>
          <w:noProof/>
        </w:rPr>
      </w:pPr>
      <w:r>
        <w:rPr>
          <w:noProof/>
        </w:rPr>
        <w:t>Minimalne wymogi dotyczące uzyskania świadectwa marynarza</w:t>
      </w:r>
    </w:p>
    <w:p>
      <w:pPr>
        <w:ind w:left="851"/>
        <w:rPr>
          <w:noProof/>
          <w:szCs w:val="24"/>
        </w:rPr>
      </w:pPr>
      <w:r>
        <w:rPr>
          <w:noProof/>
        </w:rPr>
        <w:t>Każda osoba ubiegająca się o unijne świadectwo kwalifikacji: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17 lat;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ukończyć zatwierdzony program szkolenia, o którym mowa w art. 17, trwający nie krócej niż dwa lata, oparty na standardzie kompetencji dla poziomu operacyjnego określonym w załączniku II;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>musi mieć w ramach tego zatwierdzonego programu szkolenia staż w żegludze nie krótszy niż 90 dni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lub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19 lat;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musi pomyślnie przejść ocenę kompetencji przeprowadzaną przez organ administracyjny, której celem jest zweryfikowanie, czy spełnione są standardy kompetencji dla poziomu operacyjnego określone w załączniku II;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staż w żegludze nie krótszy niż 360 dni lub 180 dni, w przypadku gdy dana osoba może dodatkowo przedstawić dowód posiadania doświadczenia zawodowego o stażu wynoszącym co najmniej 250 dni uzyskanego na statku morskim w charakterze członka załogi pokładowej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lub</w:t>
      </w:r>
    </w:p>
    <w:p>
      <w:pPr>
        <w:spacing w:before="0" w:after="0"/>
        <w:ind w:left="850" w:hanging="850"/>
        <w:rPr>
          <w:noProof/>
          <w:szCs w:val="24"/>
        </w:rPr>
      </w:pPr>
      <w:r>
        <w:rPr>
          <w:noProof/>
        </w:rPr>
        <w:t>c)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19 lat;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co najmniej pięcioletnie doświadczenie zawodowe przed przystąpieniem do programu szkolenia;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ukończyć zatwierdzony program szkolenia, o którym mowa w art. 17, oparty na standardach kompetencji dla poziomu operacyjnego określonych w załączniku II;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w ramach tego zatwierdzonego programu szkolenia staż w żegludze nie krótszy niż 90 dni.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Minimalne wymogi dotyczące uzyskania świadectwa starszego marynarza</w:t>
      </w:r>
    </w:p>
    <w:p>
      <w:pPr>
        <w:ind w:left="840" w:firstLine="11"/>
        <w:rPr>
          <w:noProof/>
          <w:szCs w:val="24"/>
        </w:rPr>
      </w:pPr>
      <w:r>
        <w:rPr>
          <w:noProof/>
        </w:rPr>
        <w:t>Każda osoba ubiegająca się o unijne świadectwo kwalifikacji: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staż w żegludze nie krótszy niż 180 dni i mieć w tym czasie kwalifikacje do pełnienia funkcji marynarza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lub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musi z powodzeniem ukończyć zatwierdzony program szkolenia, o którym mowa w art. 17, oparty na standardach kompetencji dla poziomu operacyjnego określonych w załączniku II;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w ramach tego zatwierdzonego programu szkolenia staż w żegludze nie krótszy niż 270 dni.</w:t>
      </w:r>
    </w:p>
    <w:p>
      <w:pPr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Minimalne wymogi dotyczące uzyskania świadectwa sternika</w:t>
      </w:r>
    </w:p>
    <w:p>
      <w:pPr>
        <w:ind w:left="851"/>
        <w:rPr>
          <w:noProof/>
          <w:szCs w:val="24"/>
        </w:rPr>
      </w:pPr>
      <w:r>
        <w:rPr>
          <w:noProof/>
        </w:rPr>
        <w:t>Każda osoba ubiegająca się o unijne świadectwo kwalifikacji: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staż w żegludze nie krótszy niż 180 dni i mieć w tym czasie kwalifikacje do pełnienia funkcji starszego marynarza.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Kwalifikacje załogi pokładowej na poziomie zarządzania </w:t>
      </w:r>
    </w:p>
    <w:p>
      <w:pPr>
        <w:pStyle w:val="Heading2"/>
        <w:rPr>
          <w:noProof/>
        </w:rPr>
      </w:pPr>
      <w:r>
        <w:rPr>
          <w:noProof/>
        </w:rPr>
        <w:t>Minimalne wymogi dotyczące unijnych świadectw kwalifikacji kapitana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Każda osoba ubiegająca się o unijne świadectwo kwalifikacji: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musi mieć ukończone 21 lat;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z powodzeniem ukończyć zatwierdzony program szkolenia, o którym mowa w art. 17, trwający nie krócej niż dwa lata, oparty na standardach kompetencji dla poziomu zarządzania określonych w załączniku II;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uzyskać w ramach tego zatwierdzonego programu szkolenia lub po jego ukończeniu staż w żegludze nie krótszy niż 360 dni</w:t>
      </w:r>
    </w:p>
    <w:p>
      <w:pPr>
        <w:ind w:left="850" w:hanging="850"/>
        <w:rPr>
          <w:noProof/>
          <w:szCs w:val="24"/>
        </w:rPr>
      </w:pPr>
      <w:r>
        <w:rPr>
          <w:noProof/>
        </w:rPr>
        <w:t>lub</w:t>
      </w:r>
    </w:p>
    <w:p>
      <w:pPr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21 lat;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musi posiadać kwalifikacje sternika lub mieć staż w żegludze nie krótszy niż 540 dni lub 180 dni, w przypadku gdy dana osoba może dodatkowo przedstawić dowód posiadania doświadczenia zawodowego o stażu wynoszącym co najmniej 500 dni uzyskanego na statku morskim w charakterze członka załogi pokładowej;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musi pomyślnie przejść ocenę kompetencji przeprowadzaną przez organ administracyjny, której celem jest zweryfikowanie, czy spełnione są standardy kompetencji dla poziomu zarządzania określone w załączniku II </w:t>
      </w:r>
    </w:p>
    <w:p>
      <w:pPr>
        <w:spacing w:before="0" w:after="0"/>
        <w:ind w:left="993" w:hanging="993"/>
        <w:rPr>
          <w:noProof/>
          <w:szCs w:val="24"/>
        </w:rPr>
      </w:pPr>
      <w:r>
        <w:rPr>
          <w:noProof/>
        </w:rPr>
        <w:t>lub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c)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ukończone 21 lat;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mieć co najmniej pięcioletnie doświadczenie zawodowe przed przystąpieniem do zatwierdzonego programu szkolenia;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ukończyć zatwierdzony program szkolenia, o którym mowa w art. 17, oparty na standardach kompetencji dla poziomu zarządzania określonych w załączniku II;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musi uzyskać w ramach tego zatwierdzonego programu szkolenia i nie później niż w ciągu 180 dni od jego ukończenia staż w żegludze nie krótszy niż 180 dni.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Wymogi dotyczące szczególnych zezwoleń w odniesieniu do świadectwa kwalifikacji kapitana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 xml:space="preserve">Drogi wodne o charakterze morskim </w:t>
      </w:r>
    </w:p>
    <w:p>
      <w:pPr>
        <w:ind w:left="851"/>
        <w:rPr>
          <w:noProof/>
        </w:rPr>
      </w:pPr>
      <w:r>
        <w:rPr>
          <w:noProof/>
        </w:rPr>
        <w:t>Każdy kandydat:</w:t>
      </w:r>
    </w:p>
    <w:p>
      <w:pPr>
        <w:pStyle w:val="Tiret1"/>
        <w:rPr>
          <w:noProof/>
        </w:rPr>
      </w:pPr>
      <w:r>
        <w:rPr>
          <w:noProof/>
        </w:rPr>
        <w:lastRenderedPageBreak/>
        <w:t>musi spełniać minimalne wymogi dotyczące unijnych świadectw kwalifikacji kapitana określone w niniejszym załączniku;</w:t>
      </w:r>
    </w:p>
    <w:p>
      <w:pPr>
        <w:pStyle w:val="Tiret1"/>
        <w:rPr>
          <w:noProof/>
        </w:rPr>
      </w:pPr>
      <w:r>
        <w:rPr>
          <w:noProof/>
        </w:rPr>
        <w:t xml:space="preserve">musi spełniać określone w załączniku II standardy kompetencji dotyczące żeglowania po drogach wodnych o charakterze morskim. 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Radar</w:t>
      </w:r>
    </w:p>
    <w:p>
      <w:pPr>
        <w:pStyle w:val="Text1"/>
        <w:ind w:left="851"/>
        <w:rPr>
          <w:noProof/>
        </w:rPr>
      </w:pPr>
      <w:r>
        <w:rPr>
          <w:noProof/>
        </w:rPr>
        <w:t>Każdy kandydat:</w:t>
      </w:r>
    </w:p>
    <w:p>
      <w:pPr>
        <w:pStyle w:val="Tiret1"/>
        <w:rPr>
          <w:noProof/>
        </w:rPr>
      </w:pPr>
      <w:r>
        <w:rPr>
          <w:noProof/>
        </w:rPr>
        <w:t>musi spełniać minimalne wymogi dotyczące unijnych świadectw kwalifikacji kapitana określone w niniejszym załączniku;</w:t>
      </w:r>
    </w:p>
    <w:p>
      <w:pPr>
        <w:pStyle w:val="Tiret1"/>
        <w:rPr>
          <w:noProof/>
        </w:rPr>
      </w:pPr>
      <w:r>
        <w:rPr>
          <w:noProof/>
        </w:rPr>
        <w:t>musi spełniać określone w załączniku II standardy kompetencji dotyczące żeglowania z pomocą radaru.</w:t>
      </w:r>
    </w:p>
    <w:p>
      <w:pPr>
        <w:pStyle w:val="Heading3"/>
        <w:rPr>
          <w:rFonts w:eastAsia="Times New Roman"/>
          <w:noProof/>
          <w:szCs w:val="20"/>
          <w:u w:val="single"/>
        </w:rPr>
      </w:pPr>
      <w:r>
        <w:rPr>
          <w:noProof/>
          <w:u w:val="single"/>
        </w:rPr>
        <w:t>Skroplony gaz ziemny jako paliwo</w:t>
      </w:r>
    </w:p>
    <w:p>
      <w:pPr>
        <w:pStyle w:val="Text1"/>
        <w:ind w:left="851"/>
        <w:rPr>
          <w:noProof/>
        </w:rPr>
      </w:pPr>
      <w:r>
        <w:rPr>
          <w:noProof/>
        </w:rPr>
        <w:t>Każdy kandydat:</w:t>
      </w:r>
    </w:p>
    <w:p>
      <w:pPr>
        <w:pStyle w:val="Tiret1"/>
        <w:rPr>
          <w:noProof/>
        </w:rPr>
      </w:pPr>
      <w:r>
        <w:rPr>
          <w:noProof/>
        </w:rPr>
        <w:t>musi spełniać minimalne wymogi dotyczące unijnych świadectw kwalifikacji kapitana określone w niniejszym załączniku;</w:t>
      </w:r>
    </w:p>
    <w:p>
      <w:pPr>
        <w:pStyle w:val="Tiret1"/>
        <w:rPr>
          <w:noProof/>
        </w:rPr>
      </w:pPr>
      <w:r>
        <w:rPr>
          <w:noProof/>
        </w:rPr>
        <w:t>musi spełniać określone w załączniku II standardy kompetencji dotyczące specjalistów w zakresie stosowania skroplonego gazu ziemnego jako paliwa.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Duże konwoje</w:t>
      </w:r>
    </w:p>
    <w:p>
      <w:pPr>
        <w:pStyle w:val="Text1"/>
        <w:ind w:left="851"/>
        <w:rPr>
          <w:noProof/>
        </w:rPr>
      </w:pPr>
      <w:r>
        <w:rPr>
          <w:noProof/>
        </w:rPr>
        <w:t xml:space="preserve">Każdy kandydat musi mieć staż w żegludze nie krótszy niż 720 dni, w tym przez co najmniej 540 dni mieć kwalifikacje do pełnienia funkcji kapitana i przez co najmniej 180 dni do prowadzenia dużego konwoju.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Kwalifikacje do wykonywania szczególnych operacji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Specjalista w dziedzinie żeglugi pasażerskiej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Każda osoba ubiegająca się o pierwsze unijne świadectwo specjalisty w dziedzinie żeglugi pasażerskiej:</w:t>
      </w:r>
    </w:p>
    <w:p>
      <w:pPr>
        <w:pStyle w:val="Tiret1"/>
        <w:rPr>
          <w:noProof/>
        </w:rPr>
      </w:pPr>
      <w:r>
        <w:rPr>
          <w:noProof/>
        </w:rPr>
        <w:t xml:space="preserve">musi mieć ukończone 18 lat; </w:t>
      </w:r>
    </w:p>
    <w:p>
      <w:pPr>
        <w:pStyle w:val="Tiret1"/>
        <w:rPr>
          <w:noProof/>
        </w:rPr>
      </w:pPr>
      <w:r>
        <w:rPr>
          <w:noProof/>
        </w:rPr>
        <w:t xml:space="preserve">musi spełniać określone w załączniku II standardy kompetencji dotyczące specjalistów w dziedzinie żeglugi pasażerskiej. </w:t>
      </w:r>
    </w:p>
    <w:p>
      <w:pPr>
        <w:pStyle w:val="Text1"/>
        <w:ind w:left="851"/>
        <w:rPr>
          <w:noProof/>
        </w:rPr>
      </w:pPr>
      <w:r>
        <w:rPr>
          <w:noProof/>
        </w:rPr>
        <w:t>Każda osoba ubiegająca się o przedłużenie ważności unijnego świadectwa na potrzeby żeglugi pasażerskiej:</w:t>
      </w:r>
    </w:p>
    <w:p>
      <w:pPr>
        <w:pStyle w:val="Tiret1"/>
        <w:rPr>
          <w:noProof/>
        </w:rPr>
      </w:pPr>
      <w:r>
        <w:rPr>
          <w:noProof/>
        </w:rPr>
        <w:t xml:space="preserve">musi zdać nowy egzamin administracyjny lub ukończyć nowy program szkolenia zgodnie z art. 15 ust. 2.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Specjalista w dziedzinie stosowania skroplonego gazu ziemnego (LNG) jako paliwa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Każda osoba ubiegająca się o pierwsze unijne świadectwo specjalisty w dziedzinie stosowania LNG jako paliwa:</w:t>
      </w:r>
    </w:p>
    <w:p>
      <w:pPr>
        <w:pStyle w:val="Tiret1"/>
        <w:rPr>
          <w:noProof/>
        </w:rPr>
      </w:pPr>
      <w:r>
        <w:rPr>
          <w:noProof/>
        </w:rPr>
        <w:t xml:space="preserve">musi mieć ukończone 18 lat; </w:t>
      </w:r>
    </w:p>
    <w:p>
      <w:pPr>
        <w:pStyle w:val="Tiret1"/>
        <w:rPr>
          <w:noProof/>
        </w:rPr>
      </w:pPr>
      <w:r>
        <w:rPr>
          <w:noProof/>
        </w:rPr>
        <w:lastRenderedPageBreak/>
        <w:t>musi spełniać określone w załączniku II standardy kompetencji dotyczące specjalistów w zakresie stosowania LNG jako paliwa.</w:t>
      </w:r>
    </w:p>
    <w:p>
      <w:pPr>
        <w:pStyle w:val="Text1"/>
        <w:ind w:left="851"/>
        <w:rPr>
          <w:noProof/>
        </w:rPr>
      </w:pPr>
      <w:r>
        <w:rPr>
          <w:noProof/>
        </w:rPr>
        <w:t>Każda osoba ubiegająca się o przedłużenie ważności unijnego świadectwa na potrzeby żeglugi pasażerskiej:</w:t>
      </w:r>
    </w:p>
    <w:p>
      <w:pPr>
        <w:tabs>
          <w:tab w:val="left" w:pos="567"/>
          <w:tab w:val="left" w:pos="1134"/>
        </w:tabs>
        <w:spacing w:before="0" w:line="240" w:lineRule="atLeast"/>
        <w:ind w:left="1134" w:hanging="567"/>
        <w:rPr>
          <w:noProof/>
          <w:snapToGrid w:val="0"/>
          <w:szCs w:val="24"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ab/>
        <w:t>musi uzyskać określony poniżej staż w żegludze na pokładzie statku wykorzystującego skroplony gaz ziemny (LNG) jako paliwo: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nie mniej niż 180 dni w ciągu poprzednich pięciu lat; lub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nie mniej niż 90 dni w ciągu poprzedniego roku</w:t>
      </w:r>
    </w:p>
    <w:p>
      <w:pPr>
        <w:tabs>
          <w:tab w:val="left" w:pos="1510"/>
        </w:tabs>
        <w:spacing w:before="60" w:line="240" w:lineRule="atLeast"/>
        <w:ind w:left="567"/>
        <w:rPr>
          <w:noProof/>
          <w:snapToGrid w:val="0"/>
          <w:szCs w:val="24"/>
        </w:rPr>
      </w:pPr>
      <w:r>
        <w:rPr>
          <w:noProof/>
        </w:rPr>
        <w:t xml:space="preserve">lub </w:t>
      </w:r>
    </w:p>
    <w:p>
      <w:pPr>
        <w:tabs>
          <w:tab w:val="left" w:pos="567"/>
          <w:tab w:val="left" w:pos="1134"/>
        </w:tabs>
        <w:spacing w:before="60" w:line="240" w:lineRule="atLeast"/>
        <w:ind w:left="1134" w:hanging="567"/>
        <w:rPr>
          <w:noProof/>
        </w:rPr>
      </w:pPr>
      <w:r>
        <w:rPr>
          <w:rFonts w:ascii="Arial" w:hAnsi="Arial"/>
          <w:noProof/>
          <w:sz w:val="20"/>
        </w:rPr>
        <w:t>b)</w:t>
      </w:r>
      <w:r>
        <w:rPr>
          <w:noProof/>
        </w:rPr>
        <w:tab/>
      </w:r>
      <w:r>
        <w:rPr>
          <w:noProof/>
        </w:rPr>
        <w:tab/>
        <w:t>musi spełniać określone w załączniku II standardy kompetencji dotyczące specjalistów w zakresie stosowania LNG jako paliwa.</w:t>
      </w:r>
    </w:p>
    <w:p>
      <w:pPr>
        <w:pStyle w:val="Annextitre"/>
        <w:keepNext/>
        <w:rPr>
          <w:noProof/>
        </w:rPr>
      </w:pPr>
      <w:r>
        <w:rPr>
          <w:noProof/>
        </w:rPr>
        <w:t>Załącznik II</w:t>
      </w:r>
    </w:p>
    <w:p>
      <w:pPr>
        <w:pStyle w:val="Annextitre"/>
        <w:keepNext/>
        <w:rPr>
          <w:noProof/>
        </w:rPr>
      </w:pPr>
      <w:r>
        <w:rPr>
          <w:noProof/>
        </w:rPr>
        <w:t>Zasadnicze wymogi dotyczące kompetencji</w:t>
      </w:r>
    </w:p>
    <w:p>
      <w:pPr>
        <w:pStyle w:val="Heading1"/>
        <w:numPr>
          <w:ilvl w:val="0"/>
          <w:numId w:val="14"/>
        </w:numPr>
        <w:rPr>
          <w:rFonts w:eastAsia="Times New Roman"/>
          <w:noProof/>
        </w:rPr>
      </w:pPr>
      <w:r>
        <w:rPr>
          <w:noProof/>
        </w:rPr>
        <w:t xml:space="preserve">Zasadnicze wymogi dotyczące kompetencji na poziomie operacyjnym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Żegluga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 pomaga dowództwu statku w wykonywaniu manewrów i kierowaniu statkiem na śródlądowych drogach wodnych.  Marynarz jest w stanie wykonywać te zadania na wszystkich rodzajach dróg wodnych i we wszystkich portach.  W szczególności marynarz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w przygotowaniu statku do żeglugi, tak aby zapewnić bezpieczny rejs w każdych warunkach;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w manewrach cumowania i kotwiczenia przy rozpoczynaniu lub kończeniu rejsu statku;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w prowadzeniu statku i manewrowaniu nim w sposób bezpieczny z punktu widzenia żeglugi i ekonomiczny.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Eksploatacja statków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dowództwu statku w kontrolowaniu funkcjonowania statku i opiece nad osobami znajdującymi się na pokładzie;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korzystać z wyposażenia statku.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Obsługa ładunków, sztauowanie i transport pasażerski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dowództwu statku w przygotowaniu, sztauowaniu i monitorowaniu ładunków w trakcie operacji załadunku i wyładunku;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dowództwu statku w świadczeniu usług na rzecz pasażerów.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Technika okrętowa oraz elektryka, elektronika i automatyka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pomagać dowództwu statku w zakresie techniki okrętowej oraz elektryki, elektroniki i automatyki, aby zapewnić ogólne bezpieczeństwo techniczne;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przeprowadzać konserwację sprzętu na potrzeby techniki okrętowej oraz elektryki, elektroniki i automatyki, aby zapewnić ogólne bezpieczeństwo techniczne.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Konserwacja i naprawa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pomagać dowództwu statku w konserwacji i naprawie statku i jego urządzeń oraz sprzętu.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Komunikacja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jest w stanie komunikować się w kwestiach ogólnych i zawodowych, co obejmuje umiejętność stosowania znormalizowanych zwrotów komunikacyjnych w sytuacjach, w których występują problemy z komunikacją;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jest otwarty na kontakty z ludźmi.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Bezpieczeństwo i higiena pracy oraz ochrona środowiska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Marynarz: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przestrzega zasad bezpieczeństwa w pracy i rozumie znaczenie przepisów w zakresie bezpieczeństwa i higieny pracy oraz ochrony środowiska;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uznaje znaczenie szkolenia w zakresie bezpieczeństwa na pokładzie i działa niezwłocznie w przypadku sytuacji wyjątkowej;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podejmuje środki ostrożności, aby zapobiegać pożarom, oraz prawidłowo korzysta ze sprzętu gaśniczego;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wykonuje obowiązki, biorąc pod uwagę znaczenie ochrony środowiska.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 xml:space="preserve">Zasadnicze wymogi dotyczące kompetencji na poziomie zarządzania </w:t>
      </w:r>
    </w:p>
    <w:p>
      <w:pPr>
        <w:pStyle w:val="Heading2"/>
        <w:numPr>
          <w:ilvl w:val="1"/>
          <w:numId w:val="12"/>
        </w:numPr>
        <w:rPr>
          <w:noProof/>
        </w:rPr>
      </w:pPr>
      <w:r>
        <w:rPr>
          <w:noProof/>
        </w:rPr>
        <w:t>Żegluga</w:t>
      </w:r>
    </w:p>
    <w:p>
      <w:pPr>
        <w:spacing w:after="0" w:line="247" w:lineRule="auto"/>
        <w:ind w:right="390"/>
        <w:rPr>
          <w:rFonts w:eastAsia="Arial"/>
          <w:noProof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zaplanować rejs i nawigować po śródlądowych drogach wodnych, co obejmuje zdolność do wyboru najbardziej logicznej, ekonomicznej i ekologicznej trasy żeglugowej, aby dotrzeć do miejsca załadunku i wyładunku, przy uwzględnieniu najefektywniejszego czasu żeglugi stosownie do okoliczności faktycznych;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żeglować i manewrować, zapewniając bezpieczną eksploatację statku we wszystkich warunkach na śródlądowych drogach wodnych;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reagować na sytuacje wyjątkowe na śródlądowych drogach wodnych;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korzystać ze sprzętu pracującego w zakresie bardzo wysokiej częstotliwości w trakcie żeglugi po śródlądowych drogach wodnych.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lastRenderedPageBreak/>
        <w:t>Eksploatacja statków</w:t>
      </w:r>
    </w:p>
    <w:p>
      <w:pPr>
        <w:keepNext/>
        <w:numPr>
          <w:ilvl w:val="1"/>
          <w:numId w:val="0"/>
        </w:numPr>
        <w:tabs>
          <w:tab w:val="num" w:pos="850"/>
        </w:tabs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korzystać ze znajomości budownictwa statków żeglugi śródlądowej oraz metod konstrukcyjnych na potrzeby eksploatacji różnych rodzajów statków;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kontrolować i monitorować obowiązkowe wyposażenie, o którym mowa w mającym zastosowanie świadectwie statku.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Obsługa ładunków, sztauowanie i transport pasażerski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planować i zapewniać bezpieczny załadunek, sztauowanie, zabezpieczenie, wyładunek i opiekę nad ładunkiem w trakcie rejsu;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planować i zapewniać prawidłową stabilność statku;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planować i zapewniać bezpieczny transport pasażerów i opiekę nad nimi w trakcie rejsu.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 xml:space="preserve">Technika okrętowa oraz elektryka, elektronika i automatyka 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planować przepływ pracy w zakresie techniki okrętowej oraz elektryki, elektroniki i automatyki;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monitorować główne silniki oraz maszyny i urządzenia pomocnicze;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planować i wydawać polecenia dotyczące pompy statku i systemu kontroli pracy pomp;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organizować bezpieczne użytkowanie, stosowanie, konserwację i naprawę urządzeń elektrotechnicznych statku;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kontrolować bezpieczną konserwację i naprawę urządzeń technicznych.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Konserwacja i naprawa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organizować bezpieczną konserwację i naprawę statku i jego wyposażenia.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Komunikacja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zarządzać zasobami ludzkimi, zachowywać się w sposób odpowiedzialny społecznie, zajmować się organizacją przepływu pracy i szkoleniami na pokładzie statku;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zapewniać dobrą komunikację przez cały czas, co obejmuje stosowanie znormalizowanych zwrotów komunikacyjnych w sytuacjach, w których występują problemy z komunikacją;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zapewniać zrównoważone i sprzyjające kontaktom społecznym środowisko pracy na statku.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Bezpieczeństwo i higiena pracy oraz ochrona środowiska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monitorować mające zastosowanie wymogi prawne i podejmować środki zapewniające bezpieczeństwo życia;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utrzymywać ochronę i bezpieczeństwo osób znajdujących się na pokładzie;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opracowywać plany postępowania w sytuacjach nadzwyczajnych i plany zapewnienia niezatapialności oraz opanowywać sytuacje nadzwyczajne;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zapewniać zgodność z wymogami ochrony środowiska.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Zasadnicze wymogi dotyczące kompetencji w odniesieniu do szczególnych zezwoleń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Żeglowanie na drogach wodnych o charakterze morskim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posługiwać się aktualnymi wykresami i mapami, komunikatami dla kapitanów i marynarzy oraz innymi publikacjami właściwymi dla dróg wodnych o charakterze morskim;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korzystać z pływowych układów odniesienia, prądów, okresów i cykli pływu oraz czasu występowania prądów pływu oraz pływów i wahań w obrębie ujścia;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posługiwać się sygnałami SIGNI (Signalisation de voies de Navigation Intérieure) i IALA (Międzynarodowe Stowarzyszenie Służb Oznakowania Nawigacyjnego) na morskich drogach wodnych na potrzeby bezpiecznej żeglugi.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Nawigacja radarowa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Kapitan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podejmować odpowiednie działania w odniesieniu do żeglugi z pomocą radaru przed wypłynięciem;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interpretować wyświetlany obraz radarowy i analizować informacje dostarczane przez radar;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ograniczać zakłócenia pochodzące z różnych źródeł;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nawigować za pomocą radaru zgodnie z przepisami CEVNI (Code Européen des Voies de Navigation Intérieure) dotyczącymi nawigacji radarowej, jak również z regulacjami określającymi wymogi dotyczące nawigacji radarowej (takie jak wymogi dotyczące obsady załogi, wymogi techniczne dotyczące statków);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prawidłowo postępować w szczególnych okolicznościach, takich jak: natężenie ruchu, awarie urządzeń, niebezpieczne sytuacje.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Zasadnicze wymogi dotyczące kompetencji w odniesieniu do szczególnych operacji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Eksperci w dziedzinie żeglugi pasażerskiej</w:t>
      </w:r>
    </w:p>
    <w:p>
      <w:pPr>
        <w:pStyle w:val="Text1"/>
        <w:ind w:left="0"/>
        <w:rPr>
          <w:noProof/>
        </w:rPr>
      </w:pPr>
      <w:r>
        <w:rPr>
          <w:noProof/>
        </w:rPr>
        <w:t>Każdy kandydat jest w stanie: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organizować korzystanie z wyposażenia ratunkowego na pokładzie statków pasażerskich;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przestrzegać instrukcji bezpieczeństwa i podejmować niezbędne działania służące ogólnej ochronie pasażerów, zwłaszcza w przypadku sytuacji wyjątkowej (np. ewakuacji, uszkodzenia, kolizji, wpłynięcia na mieliznę, pożaru, wybuchu lub innych sytuacji, które mogą spowodować panikę).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Eksperci w dziedzinie stosowania skroplonego gazu ziemnego (LNG) jako paliwa</w:t>
      </w:r>
    </w:p>
    <w:p>
      <w:pPr>
        <w:pStyle w:val="Text1"/>
        <w:ind w:left="0"/>
        <w:rPr>
          <w:noProof/>
        </w:rPr>
      </w:pPr>
      <w:r>
        <w:rPr>
          <w:noProof/>
        </w:rPr>
        <w:t>Każdy kandydat: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jest w stanie zapewniać zgodność z przepisami prawa i normami mającymi zastosowanie do statków wykorzystujących LNG jako paliwo, a także z innymi istotnymi regulacjami dotyczącymi zdrowia i bezpieczeństwa;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ma świadomość określonych kwestii wymagających uwagi w związku z LNG, jest w stanie rozpoznawać ryzyko i zarządzać nim;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jest w stanie w bezpieczny sposób obsługiwać systemy specyficzne dla LNG;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jest w stanie zapewniać regularne kontrole systemu LNG;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wie, jak przeprowadzać bunkrowanie LNG w bezpieczny i kontrolowany sposób; 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jest w stanie przygotować system LNG na potrzeby konserwacji statku;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jest w stanie opanować sytuacje nadzwyczajne związane z LNG.</w:t>
      </w:r>
    </w:p>
    <w:p>
      <w:pPr>
        <w:spacing w:line="240" w:lineRule="atLeast"/>
        <w:rPr>
          <w:rFonts w:ascii="Arial" w:hAnsi="Arial" w:cs="Arial"/>
          <w:i/>
          <w:noProof/>
          <w:snapToGrid w:val="0"/>
          <w:sz w:val="20"/>
          <w:szCs w:val="20"/>
        </w:rPr>
      </w:pPr>
    </w:p>
    <w:p>
      <w:pPr>
        <w:pStyle w:val="Annextitre"/>
        <w:keepNext/>
        <w:rPr>
          <w:noProof/>
        </w:rPr>
      </w:pPr>
      <w:r>
        <w:rPr>
          <w:noProof/>
        </w:rPr>
        <w:t>Załącznik III</w:t>
      </w:r>
    </w:p>
    <w:p>
      <w:pPr>
        <w:pStyle w:val="Annextitre"/>
        <w:keepNext/>
        <w:rPr>
          <w:noProof/>
        </w:rPr>
      </w:pPr>
      <w:r>
        <w:rPr>
          <w:noProof/>
          <w:u w:val="none"/>
        </w:rPr>
        <w:t>Zasadnicze wymogi dotyczące stanu zdrowia</w:t>
      </w:r>
    </w:p>
    <w:p>
      <w:pPr>
        <w:rPr>
          <w:noProof/>
          <w:szCs w:val="24"/>
        </w:rPr>
      </w:pPr>
      <w:r>
        <w:rPr>
          <w:noProof/>
        </w:rPr>
        <w:t>Stan zdrowia, obejmujący sprawność fizyczną i psychiczną, oznacza niewystępowanie żadnej choroby ani niepełnosprawności, która sprawiałaby, że osoba pełniąca służbę na pokładzie statku jest niezdolna do:</w:t>
      </w:r>
    </w:p>
    <w:p>
      <w:pPr>
        <w:pStyle w:val="Tiret0"/>
        <w:rPr>
          <w:noProof/>
        </w:rPr>
      </w:pPr>
      <w:r>
        <w:rPr>
          <w:noProof/>
        </w:rPr>
        <w:t>wykonywania czynności niezbędnych do eksploatacji statku;</w:t>
      </w:r>
    </w:p>
    <w:p>
      <w:pPr>
        <w:pStyle w:val="Tiret0"/>
        <w:rPr>
          <w:noProof/>
        </w:rPr>
      </w:pPr>
      <w:r>
        <w:rPr>
          <w:noProof/>
        </w:rPr>
        <w:t>wykonywania w każdym czasie przydzielonych jej zadań  lub</w:t>
      </w:r>
    </w:p>
    <w:p>
      <w:pPr>
        <w:pStyle w:val="Tiret0"/>
        <w:rPr>
          <w:noProof/>
        </w:rPr>
      </w:pPr>
      <w:r>
        <w:rPr>
          <w:noProof/>
        </w:rPr>
        <w:t>właściwego postrzegania otoczenia.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Badanie obejmuje w szczególności ostrość wzroku i słuchu, funkcje motoryczne, stan neuropsychiczny oraz choroby układu krążenia.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C842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71E38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A4B2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EA9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10EC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3A2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7E9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78E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1"/>
  </w:num>
  <w:num w:numId="18">
    <w:abstractNumId w:val="11"/>
  </w:num>
  <w:num w:numId="19">
    <w:abstractNumId w:val="14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22"/>
  </w:num>
  <w:num w:numId="29">
    <w:abstractNumId w:val="19"/>
  </w:num>
  <w:num w:numId="30">
    <w:abstractNumId w:val="13"/>
  </w:num>
  <w:num w:numId="31">
    <w:abstractNumId w:val="21"/>
  </w:num>
  <w:num w:numId="32">
    <w:abstractNumId w:val="11"/>
  </w:num>
  <w:num w:numId="33">
    <w:abstractNumId w:val="14"/>
  </w:num>
  <w:num w:numId="34">
    <w:abstractNumId w:val="9"/>
  </w:num>
  <w:num w:numId="35">
    <w:abstractNumId w:val="20"/>
  </w:num>
  <w:num w:numId="36">
    <w:abstractNumId w:val="8"/>
  </w:num>
  <w:num w:numId="37">
    <w:abstractNumId w:val="15"/>
  </w:num>
  <w:num w:numId="38">
    <w:abstractNumId w:val="17"/>
  </w:num>
  <w:num w:numId="39">
    <w:abstractNumId w:val="18"/>
  </w:num>
  <w:num w:numId="40">
    <w:abstractNumId w:val="10"/>
  </w:num>
  <w:num w:numId="41">
    <w:abstractNumId w:val="16"/>
  </w:num>
  <w:num w:numId="42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3-15 12:1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4"/>
    <w:docVar w:name="DQCResult_UnknownFonts" w:val="0;0"/>
    <w:docVar w:name="DQCResult_UnknownStyles" w:val="0;6"/>
    <w:docVar w:name="DQCStatus" w:val="Green"/>
    <w:docVar w:name="DQCVersion" w:val="3"/>
    <w:docVar w:name="DQCWithWarnings" w:val="0"/>
    <w:docVar w:name="LW_ACCOMPAGNANT.CP" w:val="do"/>
    <w:docVar w:name="LW_ANNEX_NBR_FIRST" w:val="1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45C2DF8AB3C64104B962524CCCC29CD6"/>
    <w:docVar w:name="LW_CROSSREFERENCE" w:val="{SWD(2016) 35 final}_x000b_{SWD(2016) 36 final}"/>
    <w:docVar w:name="LW_DocType" w:val="ANNEX"/>
    <w:docVar w:name="LW_EMISSION" w:val="18.2.2016"/>
    <w:docVar w:name="LW_EMISSION_ISODATE" w:val="2016-02-18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w sprawie uznawania kwalifikacji zawodowych w \u380?egludze \u347?ródl\u261?dowej_x000b_oraz uchylaj\u261?cej dyrektyw\u281? Rady 96/50/WE i dyrektyw\u281? Rady 91/672/EWG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"/>
    <w:docVar w:name="LW_REF.INTERNE" w:val="&lt;UNUSED&gt;"/>
    <w:docVar w:name="LW_SUPERTITRE" w:val="&lt;UNUSED&gt;"/>
    <w:docVar w:name="LW_TITRE.OBJ.CP" w:val="&lt;UNUSED&gt;"/>
    <w:docVar w:name="LW_TYPE.DOC.CP" w:val="ZA\u321?\u260?CZNIKI"/>
    <w:docVar w:name="LW_TYPEACTEPRINCIPAL.CP" w:val="Dyrektywy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FFA1-38FB-481F-95E5-2C830BB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2073</Words>
  <Characters>13667</Characters>
  <Application>Microsoft Office Word</Application>
  <DocSecurity>0</DocSecurity>
  <Lines>317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VOINESCU Raluca (MOVE)</dc:creator>
  <cp:lastModifiedBy>DIGIT/A3</cp:lastModifiedBy>
  <cp:revision>8</cp:revision>
  <cp:lastPrinted>2015-12-10T16:48:00Z</cp:lastPrinted>
  <dcterms:created xsi:type="dcterms:W3CDTF">2016-03-11T08:51:00Z</dcterms:created>
  <dcterms:modified xsi:type="dcterms:W3CDTF">2016-03-15T11:13:00Z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