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EED5AE053C64F86B8121F410D36E583" style="width:450.8pt;height:376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PRILOZI</w:t>
      </w:r>
    </w:p>
    <w:p>
      <w:pPr>
        <w:pStyle w:val="Typeacteprincipal"/>
        <w:rPr>
          <w:noProof/>
        </w:rPr>
      </w:pPr>
      <w:r>
        <w:rPr>
          <w:noProof/>
        </w:rPr>
        <w:t>Direktivi Europskog parlamenta i Vijeća</w:t>
      </w:r>
    </w:p>
    <w:p>
      <w:pPr>
        <w:pStyle w:val="Objetacteprincipal"/>
        <w:rPr>
          <w:noProof/>
        </w:rPr>
      </w:pPr>
      <w:r>
        <w:rPr>
          <w:noProof/>
        </w:rPr>
        <w:t>o priznavanju stručnih kvalifikacija u unutarnjoj plovidbi i stavljanju izvan snage Direktive Vijeća 91/672/EEZ i Direktive Vijeća 96/50/EZ</w:t>
      </w:r>
    </w:p>
    <w:p>
      <w:pPr>
        <w:pStyle w:val="Annextitre"/>
        <w:keepNext/>
        <w:rPr>
          <w:noProof/>
        </w:rPr>
      </w:pPr>
      <w:r>
        <w:rPr>
          <w:noProof/>
        </w:rPr>
        <w:t>Prilog I.</w:t>
      </w:r>
      <w:r>
        <w:rPr>
          <w:noProof/>
        </w:rPr>
        <w:br/>
      </w:r>
    </w:p>
    <w:p>
      <w:pPr>
        <w:jc w:val="center"/>
        <w:rPr>
          <w:b/>
          <w:noProof/>
        </w:rPr>
      </w:pPr>
      <w:r>
        <w:rPr>
          <w:b/>
          <w:noProof/>
        </w:rPr>
        <w:t>Minimalni zahtjevi za dob, administrativnu usklađenost, osposobljenost i plovidbeni staž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Minimalni zahtjevi u pogledu kvalifikacija posade palube utvrđeni u ovom Prilogu smatraju se uzlaznom razinom kvalifikacije, uz iznimku kvalifikacija mornara i vježbenika koji se smatraju na istoj razini. </w:t>
      </w:r>
    </w:p>
    <w:p>
      <w:pPr>
        <w:pStyle w:val="Heading1"/>
        <w:numPr>
          <w:ilvl w:val="0"/>
          <w:numId w:val="12"/>
        </w:numPr>
        <w:rPr>
          <w:noProof/>
        </w:rPr>
      </w:pPr>
      <w:r>
        <w:rPr>
          <w:noProof/>
        </w:rPr>
        <w:t xml:space="preserve">Kvalifikacije posade palube početne razine </w:t>
      </w:r>
      <w:r>
        <w:rPr>
          <w:noProof/>
        </w:rPr>
        <w:tab/>
      </w:r>
    </w:p>
    <w:p>
      <w:pPr>
        <w:spacing w:before="0" w:after="0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Minimalni zahtjevi za izdavanje svjedodžbe mornaru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Svi podnositelji zahtjeva za svjedodžbu Unije o stručnoj osposobljenosti moraju: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16 godina.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Minimalni zahtjevi za izdavanje svjedodžbe vježbeniku</w:t>
      </w:r>
    </w:p>
    <w:p>
      <w:pPr>
        <w:autoSpaceDE w:val="0"/>
        <w:autoSpaceDN w:val="0"/>
        <w:adjustRightInd w:val="0"/>
        <w:spacing w:before="60" w:after="60"/>
        <w:ind w:left="851"/>
        <w:rPr>
          <w:noProof/>
          <w:szCs w:val="24"/>
        </w:rPr>
      </w:pPr>
      <w:r>
        <w:rPr>
          <w:noProof/>
        </w:rPr>
        <w:t>Svi podnositelji zahtjeva za svjedodžbu Unije o stručnoj osposobljenosti moraju: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15 godina,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imati potpisan ugovor o naukovanju kojim se jamči odobreni program osposobljavanja iz članka 17.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Kvalifikacije posade palube operativne razine </w:t>
      </w:r>
      <w:r>
        <w:rPr>
          <w:noProof/>
        </w:rPr>
        <w:tab/>
      </w:r>
    </w:p>
    <w:p>
      <w:pPr>
        <w:pStyle w:val="Heading2"/>
        <w:rPr>
          <w:noProof/>
        </w:rPr>
      </w:pPr>
      <w:r>
        <w:rPr>
          <w:noProof/>
        </w:rPr>
        <w:t>Minimalni zahtjevi za izdavanje svjedodžbe voditelju brodice</w:t>
      </w:r>
    </w:p>
    <w:p>
      <w:pPr>
        <w:ind w:left="851"/>
        <w:rPr>
          <w:noProof/>
          <w:szCs w:val="24"/>
        </w:rPr>
      </w:pPr>
      <w:r>
        <w:rPr>
          <w:noProof/>
        </w:rPr>
        <w:t>Svi podnositelji zahtjeva za svjedodžbu Unije o stručnoj osposobljenosti moraju: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17 godina,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završiti odobreni program osposobljavanja iz članka 17. u trajanju od najmanje dvije godine, temeljen na standardima osposobljenosti za operativnu razinu kako je određeno u Prilogu II.,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90 dana kao dio tog odobrenog programa osposobljavanja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ili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>imati najmanje 19 godina,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položiti ocjenu osposobljenosti koju provodi upravno tijelo, a kojom se provjerava jesu li ispunjeni standardi osposobljenosti za operativnu razinu kako je određeno u Prilogu II.,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360 dana ili 180 dana ako podnositelj zahtjeva može uz to priložiti dokaz o radnom iskustvu od najmanje 250 dana stečenom na pomorskom brodu kao član posade palube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>ili</w:t>
      </w:r>
    </w:p>
    <w:p>
      <w:pPr>
        <w:spacing w:before="0" w:after="0"/>
        <w:ind w:left="850" w:hanging="850"/>
        <w:rPr>
          <w:noProof/>
          <w:szCs w:val="24"/>
        </w:rPr>
      </w:pPr>
      <w:r>
        <w:rPr>
          <w:noProof/>
        </w:rPr>
        <w:t>c)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19 godina,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pet godina radnog iskustva prije upisa u program osposobljavanja,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završiti odobreni program osposobljavanja iz članka 17. temeljen na standardima osposobljenosti za operativnu razinu kako je određeno u Prilogu II.,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90 dana kao dio tog odobrenog programa osposobljavanja.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Minimalni zahtjevi za izdavanje svjedodžbe starijem voditelju brodice</w:t>
      </w:r>
    </w:p>
    <w:p>
      <w:pPr>
        <w:ind w:left="840" w:firstLine="11"/>
        <w:rPr>
          <w:noProof/>
          <w:szCs w:val="24"/>
        </w:rPr>
      </w:pPr>
      <w:r>
        <w:rPr>
          <w:noProof/>
        </w:rPr>
        <w:t>Svi podnositelji zahtjeva za svjedodžbu Unije o stručnoj osposobljenosti moraju: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180 dana s kvalifikacijom voditelja brodice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ili</w:t>
      </w:r>
    </w:p>
    <w:p>
      <w:pPr>
        <w:autoSpaceDE w:val="0"/>
        <w:autoSpaceDN w:val="0"/>
        <w:adjustRightInd w:val="0"/>
        <w:spacing w:before="60" w:after="60"/>
        <w:jc w:val="left"/>
        <w:rPr>
          <w:bCs/>
          <w:noProof/>
          <w:color w:val="000000"/>
          <w:szCs w:val="24"/>
        </w:rPr>
      </w:pPr>
      <w:r>
        <w:rPr>
          <w:noProof/>
          <w:color w:val="000000"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uspješno završiti odobreni program osposobljavanja iz članka 17. temeljen na standardima osposobljenosti za operativnu razinu kako je određeno u Prilogu II.,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270 dana kao dio tog odobrenog programa osposobljavanja.</w:t>
      </w:r>
    </w:p>
    <w:p>
      <w:pPr>
        <w:spacing w:before="0" w:after="0"/>
        <w:ind w:left="993"/>
        <w:rPr>
          <w:noProof/>
          <w:szCs w:val="24"/>
        </w:rPr>
      </w:pPr>
    </w:p>
    <w:p>
      <w:pPr>
        <w:pStyle w:val="Heading2"/>
        <w:rPr>
          <w:noProof/>
        </w:rPr>
      </w:pPr>
      <w:r>
        <w:rPr>
          <w:noProof/>
        </w:rPr>
        <w:t>Minimalni zahtjevi za izdavanje svjedodžbe kormilaru</w:t>
      </w:r>
    </w:p>
    <w:p>
      <w:pPr>
        <w:ind w:left="851"/>
        <w:rPr>
          <w:noProof/>
          <w:szCs w:val="24"/>
        </w:rPr>
      </w:pPr>
      <w:r>
        <w:rPr>
          <w:noProof/>
        </w:rPr>
        <w:t>Svi podnositelji zahtjeva za svjedodžbu Unije o stručnoj osposobljenosti moraju: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180 dana s kvalifikacijom starijeg voditelja brodice.</w:t>
      </w:r>
    </w:p>
    <w:p>
      <w:pPr>
        <w:tabs>
          <w:tab w:val="num" w:pos="1417"/>
        </w:tabs>
        <w:spacing w:before="0" w:after="0"/>
        <w:ind w:left="993"/>
        <w:rPr>
          <w:noProof/>
          <w:szCs w:val="24"/>
        </w:rPr>
      </w:pP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lastRenderedPageBreak/>
        <w:t xml:space="preserve">Kvalifikacije posade palube rukovodeće razine </w:t>
      </w:r>
    </w:p>
    <w:p>
      <w:pPr>
        <w:pStyle w:val="Heading2"/>
        <w:rPr>
          <w:noProof/>
        </w:rPr>
      </w:pPr>
      <w:r>
        <w:rPr>
          <w:noProof/>
        </w:rPr>
        <w:t>Minimalni zahtjevi za izdavanje svjedodžbe Unije o stručnoj osposobljenosti zapovjednika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Svi podnositelji zahtjeva za svjedodžbu Unije o stručnoj osposobljenosti moraju:</w:t>
      </w:r>
    </w:p>
    <w:p>
      <w:pPr>
        <w:rPr>
          <w:noProof/>
          <w:szCs w:val="24"/>
        </w:rPr>
      </w:pPr>
      <w:r>
        <w:rPr>
          <w:noProof/>
        </w:rPr>
        <w:t>a)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imati najmanje 21 godinu,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uspješno završiti odobreni program osposobljavanja iz članka 17. u trajanju od najmanje dvije godine, temeljen na standardima osposobljenosti za rukovodeću razinu kako je određeno u Prilogu II.,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360 dana kao dio tog odobrenog programa osposobljavanja ili nakon njegova završetka</w:t>
      </w:r>
    </w:p>
    <w:p>
      <w:pPr>
        <w:ind w:left="850" w:hanging="850"/>
        <w:rPr>
          <w:noProof/>
          <w:szCs w:val="24"/>
        </w:rPr>
      </w:pPr>
      <w:r>
        <w:rPr>
          <w:noProof/>
        </w:rPr>
        <w:t>ili</w:t>
      </w:r>
    </w:p>
    <w:p>
      <w:pPr>
        <w:rPr>
          <w:noProof/>
          <w:szCs w:val="24"/>
        </w:rPr>
      </w:pPr>
      <w:r>
        <w:rPr>
          <w:noProof/>
        </w:rPr>
        <w:t>b)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21 godinu,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imati kvalifikaciju kormilara ili plovidbeni staž od najmanje 540 dana ili 180 dana ako podnositelj zahtjeva može uz to priložiti dokaz o radnom iskustvu od najmanje 500 dana stečenom na pomorskom brodu kao član posade palube,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 xml:space="preserve">položiti ocjenu osposobljenosti koju provodi upravno tijelo, a kojom se provjerava jesu li ispunjeni standardi osposobljenosti za rukovodeću razinu kako je određeno u Prilogu II. </w:t>
      </w:r>
    </w:p>
    <w:p>
      <w:pPr>
        <w:spacing w:before="0" w:after="0"/>
        <w:ind w:left="993" w:hanging="993"/>
        <w:rPr>
          <w:noProof/>
          <w:szCs w:val="24"/>
        </w:rPr>
      </w:pPr>
      <w:r>
        <w:rPr>
          <w:noProof/>
        </w:rPr>
        <w:t>ili</w:t>
      </w:r>
    </w:p>
    <w:p>
      <w:pPr>
        <w:spacing w:before="0" w:after="0"/>
        <w:rPr>
          <w:noProof/>
          <w:szCs w:val="24"/>
        </w:rPr>
      </w:pPr>
      <w:r>
        <w:rPr>
          <w:noProof/>
        </w:rPr>
        <w:t xml:space="preserve">c) 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21 godinu,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najmanje pet godina radnog iskustva prije upisa u odobreni program osposobljavanja,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završiti odobreni program osposobljavanja iz članka 17. temeljen na standardima osposobljenosti za rukovodeću razinu kako je određeno u Prilogu II.,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imati plovidbeni staž od najmanje 180 dana kao dio tog odobrenog programa osposobljavanja ili najmanje 180 dana nakon njegova završetka.</w:t>
      </w:r>
    </w:p>
    <w:p>
      <w:pPr>
        <w:pStyle w:val="Heading2"/>
        <w:spacing w:before="240"/>
        <w:ind w:left="851" w:hanging="851"/>
        <w:rPr>
          <w:noProof/>
        </w:rPr>
      </w:pPr>
      <w:r>
        <w:rPr>
          <w:noProof/>
        </w:rPr>
        <w:t>Zahtjevi za posebna odobrenja za svjedodžbu o stručnoj osposobljenosti zapovjednika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 xml:space="preserve">Vodni putovi pomorskog karaktera </w:t>
      </w:r>
    </w:p>
    <w:p>
      <w:pPr>
        <w:ind w:left="851"/>
        <w:rPr>
          <w:noProof/>
        </w:rPr>
      </w:pPr>
      <w:r>
        <w:rPr>
          <w:noProof/>
        </w:rPr>
        <w:t>Svi podnositelji zahtjeva moraju:</w:t>
      </w:r>
    </w:p>
    <w:p>
      <w:pPr>
        <w:pStyle w:val="Tiret1"/>
        <w:rPr>
          <w:noProof/>
        </w:rPr>
      </w:pPr>
      <w:r>
        <w:rPr>
          <w:noProof/>
        </w:rPr>
        <w:t>ispunjavati minimalne zahtjeve za izdavanje svjedodžbe Unije o stručnoj osposobljenosti zapovjednika utvrđene u ovom Prilogu,</w:t>
      </w:r>
    </w:p>
    <w:p>
      <w:pPr>
        <w:pStyle w:val="Tiret1"/>
        <w:rPr>
          <w:noProof/>
        </w:rPr>
      </w:pPr>
      <w:r>
        <w:rPr>
          <w:noProof/>
        </w:rPr>
        <w:t xml:space="preserve">ispunjavati standarde osposobljenosti za plovidbu vodnim putovima pomorskog karaktera utvrđene u Prilogu II. 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lastRenderedPageBreak/>
        <w:t>Radar</w:t>
      </w:r>
    </w:p>
    <w:p>
      <w:pPr>
        <w:pStyle w:val="Text1"/>
        <w:ind w:left="851"/>
        <w:rPr>
          <w:noProof/>
        </w:rPr>
      </w:pPr>
      <w:r>
        <w:rPr>
          <w:noProof/>
        </w:rPr>
        <w:t>Svi podnositelji zahtjeva moraju:</w:t>
      </w:r>
    </w:p>
    <w:p>
      <w:pPr>
        <w:pStyle w:val="Tiret1"/>
        <w:rPr>
          <w:noProof/>
        </w:rPr>
      </w:pPr>
      <w:r>
        <w:rPr>
          <w:noProof/>
        </w:rPr>
        <w:t>ispunjavati minimalne zahtjeve za izdavanje svjedodžbe Unije o stručnoj osposobljenosti zapovjednika utvrđene u ovom Prilogu,</w:t>
      </w:r>
    </w:p>
    <w:p>
      <w:pPr>
        <w:pStyle w:val="Tiret1"/>
        <w:rPr>
          <w:noProof/>
        </w:rPr>
      </w:pPr>
      <w:r>
        <w:rPr>
          <w:noProof/>
        </w:rPr>
        <w:t>ispunjavati standarde osposobljenosti za plovidbu uz pomoć radara utvrđene u Prilogu II.</w:t>
      </w:r>
    </w:p>
    <w:p>
      <w:pPr>
        <w:pStyle w:val="Heading3"/>
        <w:rPr>
          <w:rFonts w:eastAsia="Times New Roman"/>
          <w:noProof/>
          <w:szCs w:val="20"/>
          <w:u w:val="single"/>
        </w:rPr>
      </w:pPr>
      <w:r>
        <w:rPr>
          <w:noProof/>
          <w:u w:val="single"/>
        </w:rPr>
        <w:t>Ukapljeni prirodni plin kao gorivo</w:t>
      </w:r>
    </w:p>
    <w:p>
      <w:pPr>
        <w:pStyle w:val="Text1"/>
        <w:ind w:left="851"/>
        <w:rPr>
          <w:noProof/>
        </w:rPr>
      </w:pPr>
      <w:r>
        <w:rPr>
          <w:noProof/>
        </w:rPr>
        <w:t>Svi podnositelji zahtjeva moraju:</w:t>
      </w:r>
    </w:p>
    <w:p>
      <w:pPr>
        <w:pStyle w:val="Tiret1"/>
        <w:rPr>
          <w:noProof/>
        </w:rPr>
      </w:pPr>
      <w:r>
        <w:rPr>
          <w:noProof/>
        </w:rPr>
        <w:t>ispunjavati minimalne zahtjeve za izdavanje svjedodžbe Unije o stručnoj osposobljenosti zapovjednika utvrđene u ovom Prilogu,</w:t>
      </w:r>
    </w:p>
    <w:p>
      <w:pPr>
        <w:pStyle w:val="Tiret1"/>
        <w:rPr>
          <w:noProof/>
        </w:rPr>
      </w:pPr>
      <w:r>
        <w:rPr>
          <w:noProof/>
        </w:rPr>
        <w:t>ispunjavati standarde osposobljenosti za stručnjake za upotrebu ukapljenog prirodnog plina kao goriva utvrđene u Prilogu II.</w:t>
      </w:r>
    </w:p>
    <w:p>
      <w:pPr>
        <w:pStyle w:val="Heading3"/>
        <w:rPr>
          <w:noProof/>
          <w:u w:val="single"/>
        </w:rPr>
      </w:pPr>
      <w:r>
        <w:rPr>
          <w:noProof/>
          <w:u w:val="single"/>
        </w:rPr>
        <w:t>Veliki plovni sastavi</w:t>
      </w:r>
    </w:p>
    <w:p>
      <w:pPr>
        <w:pStyle w:val="Text1"/>
        <w:ind w:left="851"/>
        <w:rPr>
          <w:noProof/>
        </w:rPr>
      </w:pPr>
      <w:r>
        <w:rPr>
          <w:noProof/>
        </w:rPr>
        <w:t xml:space="preserve">Svi podnositelji zahtjeva moraju imati plovidbeni staž od najmanje 720 dana, uključujući najmanje 540 dana s kvalifikacijom zapovjednika i najmanje 180 dana upravljanja velikim plovnim sastavom. </w:t>
      </w:r>
    </w:p>
    <w:p>
      <w:pPr>
        <w:pStyle w:val="Heading1"/>
        <w:numPr>
          <w:ilvl w:val="0"/>
          <w:numId w:val="11"/>
        </w:numPr>
        <w:rPr>
          <w:noProof/>
        </w:rPr>
      </w:pPr>
      <w:r>
        <w:rPr>
          <w:noProof/>
        </w:rPr>
        <w:t xml:space="preserve">Kvalifikacije za posebne operacije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Stručnjak za putničku plovidbu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Svi podnositelji zahtjeva za prvu svjedodžbu Unije za stručnjaka za putničku plovidbu moraju:</w:t>
      </w:r>
    </w:p>
    <w:p>
      <w:pPr>
        <w:pStyle w:val="Tiret1"/>
        <w:rPr>
          <w:noProof/>
        </w:rPr>
      </w:pPr>
      <w:r>
        <w:rPr>
          <w:noProof/>
        </w:rPr>
        <w:t xml:space="preserve">imati najmanje 18 godina, </w:t>
      </w:r>
    </w:p>
    <w:p>
      <w:pPr>
        <w:pStyle w:val="Tiret1"/>
        <w:rPr>
          <w:noProof/>
        </w:rPr>
      </w:pPr>
      <w:r>
        <w:rPr>
          <w:noProof/>
        </w:rPr>
        <w:t xml:space="preserve">ispunjavati standarde osposobljenosti za stručnjake za putničku plovidbu utvrđene u Prilogu II. </w:t>
      </w:r>
    </w:p>
    <w:p>
      <w:pPr>
        <w:pStyle w:val="Text1"/>
        <w:ind w:left="851"/>
        <w:rPr>
          <w:noProof/>
        </w:rPr>
      </w:pPr>
      <w:r>
        <w:rPr>
          <w:noProof/>
        </w:rPr>
        <w:t>Svi podnositelji zahtjeva za produljenje valjanosti svjedodžbe Unije za putničku plovidbu moraju:</w:t>
      </w:r>
    </w:p>
    <w:p>
      <w:pPr>
        <w:pStyle w:val="Tiret1"/>
        <w:rPr>
          <w:noProof/>
        </w:rPr>
      </w:pPr>
      <w:r>
        <w:rPr>
          <w:noProof/>
        </w:rPr>
        <w:t xml:space="preserve">položiti novi administrativni ispit ili završiti novi program osposobljavanja u skladu s člankom 15. stavkom 2. </w:t>
      </w:r>
    </w:p>
    <w:p>
      <w:pPr>
        <w:pStyle w:val="Heading2"/>
        <w:numPr>
          <w:ilvl w:val="1"/>
          <w:numId w:val="11"/>
        </w:numPr>
        <w:spacing w:before="240"/>
        <w:rPr>
          <w:noProof/>
        </w:rPr>
      </w:pPr>
      <w:r>
        <w:rPr>
          <w:noProof/>
        </w:rPr>
        <w:t>Stručnjak za upotrebu ukapljenog prirodnog plina kao goriva</w:t>
      </w:r>
    </w:p>
    <w:p>
      <w:pPr>
        <w:spacing w:before="0" w:after="0"/>
        <w:ind w:left="851"/>
        <w:rPr>
          <w:noProof/>
          <w:szCs w:val="24"/>
        </w:rPr>
      </w:pPr>
      <w:r>
        <w:rPr>
          <w:noProof/>
        </w:rPr>
        <w:t>Svi podnositelji zahtjeva za prvu svjedodžbu Unije za stručnjaka za upotrebu ukapljenog prirodnog plina kao goriva moraju:</w:t>
      </w:r>
    </w:p>
    <w:p>
      <w:pPr>
        <w:pStyle w:val="Tiret1"/>
        <w:rPr>
          <w:noProof/>
        </w:rPr>
      </w:pPr>
      <w:r>
        <w:rPr>
          <w:noProof/>
        </w:rPr>
        <w:t xml:space="preserve">imati najmanje 18 godina, </w:t>
      </w:r>
    </w:p>
    <w:p>
      <w:pPr>
        <w:pStyle w:val="Tiret1"/>
        <w:rPr>
          <w:noProof/>
        </w:rPr>
      </w:pPr>
      <w:r>
        <w:rPr>
          <w:noProof/>
        </w:rPr>
        <w:t>ispunjavati standarde osposobljenosti za stručnjake za upotrebu ukapljenog prirodnog plina kao goriva utvrđene u Prilogu II.</w:t>
      </w:r>
    </w:p>
    <w:p>
      <w:pPr>
        <w:pStyle w:val="Text1"/>
        <w:ind w:left="851"/>
        <w:rPr>
          <w:noProof/>
        </w:rPr>
      </w:pPr>
      <w:r>
        <w:rPr>
          <w:noProof/>
        </w:rPr>
        <w:t>Svi podnositelji zahtjeva za produljenje valjanosti svjedodžbe Unije za putničku plovidbu moraju:</w:t>
      </w:r>
    </w:p>
    <w:p>
      <w:pPr>
        <w:tabs>
          <w:tab w:val="left" w:pos="567"/>
          <w:tab w:val="left" w:pos="1134"/>
        </w:tabs>
        <w:spacing w:before="0" w:line="240" w:lineRule="atLeast"/>
        <w:ind w:left="1134" w:hanging="567"/>
        <w:rPr>
          <w:noProof/>
          <w:snapToGrid w:val="0"/>
          <w:szCs w:val="24"/>
        </w:rPr>
      </w:pPr>
      <w:r>
        <w:rPr>
          <w:noProof/>
        </w:rPr>
        <w:t>a)</w:t>
      </w:r>
      <w:r>
        <w:rPr>
          <w:noProof/>
        </w:rPr>
        <w:tab/>
        <w:t>imati sljedeći plovidbeni staž na plovilu na ukapljeni prirodni plin kao gorivo: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t>najmanje 180 dana u prethodnih pet godina ili</w:t>
      </w:r>
    </w:p>
    <w:p>
      <w:pPr>
        <w:pStyle w:val="Tiret1"/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>najmanje 90 dana u prethodnoj godini</w:t>
      </w:r>
    </w:p>
    <w:p>
      <w:pPr>
        <w:tabs>
          <w:tab w:val="left" w:pos="1510"/>
        </w:tabs>
        <w:spacing w:before="60" w:line="240" w:lineRule="atLeast"/>
        <w:ind w:left="567"/>
        <w:rPr>
          <w:noProof/>
          <w:snapToGrid w:val="0"/>
          <w:szCs w:val="24"/>
        </w:rPr>
      </w:pPr>
      <w:r>
        <w:rPr>
          <w:noProof/>
        </w:rPr>
        <w:t xml:space="preserve">ili </w:t>
      </w:r>
    </w:p>
    <w:p>
      <w:pPr>
        <w:tabs>
          <w:tab w:val="left" w:pos="567"/>
          <w:tab w:val="left" w:pos="1134"/>
        </w:tabs>
        <w:spacing w:before="60" w:line="240" w:lineRule="atLeast"/>
        <w:ind w:left="1134" w:hanging="567"/>
        <w:rPr>
          <w:noProof/>
        </w:rPr>
      </w:pPr>
      <w:r>
        <w:rPr>
          <w:rFonts w:ascii="Arial" w:hAnsi="Arial"/>
          <w:noProof/>
          <w:sz w:val="20"/>
        </w:rPr>
        <w:t>b)</w:t>
      </w:r>
      <w:r>
        <w:rPr>
          <w:noProof/>
        </w:rPr>
        <w:tab/>
        <w:t>ispunjavati standarde osposobljenosti za stručnjake za upotrebu ukapljenog prirodnog plina kao goriva utvrđene u Prilogu II.</w:t>
      </w:r>
    </w:p>
    <w:p>
      <w:pPr>
        <w:pStyle w:val="Annextitre"/>
        <w:keepNext/>
        <w:rPr>
          <w:noProof/>
        </w:rPr>
      </w:pPr>
      <w:r>
        <w:rPr>
          <w:noProof/>
        </w:rPr>
        <w:t>Prilog II.</w:t>
      </w:r>
    </w:p>
    <w:p>
      <w:pPr>
        <w:pStyle w:val="Annextitre"/>
        <w:keepNext/>
        <w:rPr>
          <w:noProof/>
        </w:rPr>
      </w:pPr>
      <w:r>
        <w:rPr>
          <w:noProof/>
        </w:rPr>
        <w:t>Temeljni zahtjevi u pogledu kompetencija</w:t>
      </w:r>
    </w:p>
    <w:p>
      <w:pPr>
        <w:pStyle w:val="Heading1"/>
        <w:numPr>
          <w:ilvl w:val="0"/>
          <w:numId w:val="14"/>
        </w:numPr>
        <w:rPr>
          <w:rFonts w:eastAsia="Times New Roman"/>
          <w:noProof/>
        </w:rPr>
      </w:pPr>
      <w:r>
        <w:rPr>
          <w:noProof/>
        </w:rPr>
        <w:t xml:space="preserve">Temeljni zahtjevi u pogledu kompetencija na operativnoj razini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Plovidba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Voditelj brodice pomaže u upravljanju plovilom u situacijama manevriranja i rukovanja plovilom na unutarnjim vodnim putovima. Voditelj brodice mora to moći činiti na svim vrstama unutarnjih vodnih putova i luka. Posebno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pripremi plovila za plovidbu kako bi se osiguralo sigurno putovanje u svim uvjetima,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aktivnostima privezivanja i sidrenja na početku i na kraju putovanja plovila,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pri plovidbi i manevriranju plovila na nautički siguran i ekonomičan način.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Upravljanje plovilima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Voditelj brodice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upravljanju plovilom nadzorom rada plovila i brigom o osobama na plovilu,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rabiti opremu plovila.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Rukovanje teretom, skladištenje i prijevoz putnika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Upravitelj brodice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upravljanju plovilom pri pripremi, skladištenju i nadzoru teretu pri ukrcaju i iskrcaju,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upravljanju plovilom pri pružanju usluga putnicima.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Brodostrojarstvo, elektrotehnika, elektronika i automatika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Voditelj brodice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upravljanju plovilom u aspektima brodostrojarstva, elektrotehnike, elektronike i automatike kako bi se osigurala opća tehnička sigurnost,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obavljati radove održavanja na opremi za brodostrojarstvo, elektrotehniku, elektroniku i automatiku kako bi se osigurala opća tehnička sigurnost.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Održavanje i popravci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Voditelj brodice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pomoći u upravljanju plovilom održavanjem i popravljanjem plovila te ugrađenih uređaja i opreme.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lastRenderedPageBreak/>
        <w:t>Komunikacija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Voditelj brodice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općenito i profesionalno komunicirati, što uključuje sposobnost korištenja standardiziranim komunikacijskim izrazima u situacijama s problemima u komunikaciji,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biti druželjubiv.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Zdravlje, sigurnost i zaštita okoliša</w:t>
      </w:r>
    </w:p>
    <w:p>
      <w:pPr>
        <w:spacing w:after="0" w:line="244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Voditelj brodice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poštovati pravila o sigurnosti na radu i razumjeti važnost zdravstvenih i sigurnosnih pravila i okoliša,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uzeti u obzir važnost obuke o sigurnosti na brodu i hitno reagirati u izvanrednim situacijama,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poduzeti preventivne mjere za sprečavanje požara i pravilno upotrebljavati vatrogasnu opremu,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obavljati dužnosti uzimajući u obzir važnost zaštite okoliša.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 xml:space="preserve">Temeljni zahtjevi u pogledu kompetencija na rukovodećoj razini </w:t>
      </w:r>
    </w:p>
    <w:p>
      <w:pPr>
        <w:pStyle w:val="Heading2"/>
        <w:numPr>
          <w:ilvl w:val="1"/>
          <w:numId w:val="12"/>
        </w:numPr>
        <w:rPr>
          <w:noProof/>
        </w:rPr>
      </w:pPr>
      <w:r>
        <w:rPr>
          <w:noProof/>
        </w:rPr>
        <w:t>Plovidba</w:t>
      </w:r>
    </w:p>
    <w:p>
      <w:pPr>
        <w:spacing w:after="0" w:line="247" w:lineRule="auto"/>
        <w:ind w:right="390"/>
        <w:rPr>
          <w:rFonts w:eastAsia="Arial"/>
          <w:noProof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planirati putovanje i voditi plovidbu na unutarnjim vodnim putovima, što uključuje sposobnost odabira najlogičnijeg, najekonomičnijeg i najekološkijeg puta plovidbe do destinacija za utovar i istovar, uzimajući u obzir najučinkovitiji raspored vremena plovidbe u skladu s aktualnim okolnostima,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ploviti i manevrirati uz osiguranje sigurnog upravljanja plovilom u svim uvjetima na unutarnjim vodnim putovima,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odgovoriti na izvanredne situacije tijekom plovidbe na unutarnjim vodnim putovima,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koristiti se opremom vrlo visoke frekvencije pri plovidbi unutarnjim vodnim putovima.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Upravljanje plovilima</w:t>
      </w:r>
    </w:p>
    <w:p>
      <w:pPr>
        <w:keepNext/>
        <w:numPr>
          <w:ilvl w:val="1"/>
          <w:numId w:val="0"/>
        </w:numPr>
        <w:tabs>
          <w:tab w:val="num" w:pos="850"/>
        </w:tabs>
        <w:ind w:left="850" w:hanging="850"/>
        <w:outlineLvl w:val="1"/>
        <w:rPr>
          <w:rFonts w:eastAsiaTheme="majorEastAsia"/>
          <w:b/>
          <w:bCs/>
          <w:noProof/>
          <w:szCs w:val="26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primjenjivati znanje o brodogradnji i metodama konstrukcije u plovidbi unutarnjim vodnim putovima na upravljanje različitim vrstama plovila,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nadzirati i pratiti obveznu opremu kako je navedeno u primjenjivoj potvrdi o plovilu. 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Rukovanje teretom, skladištenje i prijevoz putnika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planirati i osigurati siguran utovar, skladištenje, osiguranje, istovar i brigu o teretu tijekom putovanja,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planirati i osigurati ispravnu stabilnost plovila,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planirati i osigurati siguran prijevoz putnika i brigu o njima tijekom putovanja.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 xml:space="preserve">Brodostrojarstvo, elektrotehnika, elektronika i automatika 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planirati radni tijek brodostrojarstva, elektrotehnike, elektronike i automatike,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pratiti glavne motore te pomoćne strojeve i opremu,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planirati i dati upute u vezi s pumpom plovila i sustavom kontrole pumpe,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organizirati sigurnu upotrebu i primjenu, održavanje i popravak elektrotehničkih uređaja plovila,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kontrolirati sigurno održavanje i popravak tehničkih uređaja.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Održavanje i popravci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organizirati sigurno održavanje i popravak plovila te ugrađene opreme.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Komunikacija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upravljati ljudskim resursima i biti društveno odgovoran, brinuti se o organizaciji radnog tijeka i obuci na plovilu,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osigurati dobru komunikaciju u svakom trenutku, što uključuje korištenje standardiziranim komunikacijskim izrazima u situacijama s problemima u komunikaciji,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poticati uravnoteženo i društveno radno okruženje na brodu.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Zdravlje, sigurnost i zaštita okoliša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pratiti primjenjive pravne zahtjeve i poduzeti mjere za osiguranje sigurnosti života,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održavati sigurnost i zaštitu osoba na brodu,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uspostaviti planove za izvanredne situacije i kontrolu štete te rješavati izvanredne situacije,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osigurati usklađenost sa zahtjevima za zaštitu okoliša.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Temeljni zahtjevi u pogledu kompetencija za posebna odobrenja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Plovidba na vodnim putovima pomorskog karaktera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raditi s aktualnim kartama i mapama, obavijestima za zapovjednike brodica i pomorce te drugim publikacijama koje se odnose na vodne putove pomorskog karaktera,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služiti se podacima o razini morskih mijena, plimnim strujama, razdobljima i ciklusima morskih mijena, vremenima plimnih struja i morskih mijena te varijacijama u estuariju,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lastRenderedPageBreak/>
        <w:t>služiti se sustavom SIGNI (</w:t>
      </w:r>
      <w:r>
        <w:rPr>
          <w:i/>
          <w:noProof/>
        </w:rPr>
        <w:t>Signalisation de voies de Navigation Intérieure</w:t>
      </w:r>
      <w:r>
        <w:rPr>
          <w:noProof/>
        </w:rPr>
        <w:t>) i uslugama IALA-e (</w:t>
      </w:r>
      <w:r>
        <w:rPr>
          <w:i/>
          <w:noProof/>
        </w:rPr>
        <w:t>International Association of Lighthouse Authorities</w:t>
      </w:r>
      <w:r>
        <w:rPr>
          <w:noProof/>
        </w:rPr>
        <w:t>) na morskim vodnim putovima za sigurnu plovidbu.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Plovidba uz pomoć radara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Zapovjednik mora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poduzeti odgovarajuće radnje u vezi s plovidbom uz pomoć radara prije polaska,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tumačiti informacije sa zaslona radara i analizirati ih,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umanjiti smetnje različitog porijekla,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ploviti uz pomoć radara u skladu s pravilima kodeksa CEVNI (</w:t>
      </w:r>
      <w:r>
        <w:rPr>
          <w:i/>
          <w:noProof/>
        </w:rPr>
        <w:t>Code Européen des Voies de Navigation Intérieure</w:t>
      </w:r>
      <w:r>
        <w:rPr>
          <w:noProof/>
        </w:rPr>
        <w:t xml:space="preserve">) o plovidbi uz pomoć radara te propisima kojima se utvrđuju zahtjevi za plovidbu uz pomoć radara (kao što su zahtjevi o broju osoblja, tehnički zahtjevi za plovila),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snaći se u posebnim okolnostima kao što su gust promet, otkazivanje uređaja, opasne situacije.</w:t>
      </w:r>
    </w:p>
    <w:p>
      <w:pPr>
        <w:pStyle w:val="Heading1"/>
        <w:numPr>
          <w:ilvl w:val="0"/>
          <w:numId w:val="11"/>
        </w:numPr>
        <w:rPr>
          <w:rFonts w:eastAsia="Times New Roman"/>
          <w:noProof/>
        </w:rPr>
      </w:pPr>
      <w:r>
        <w:rPr>
          <w:noProof/>
        </w:rPr>
        <w:t>Temeljni zahtjevi u pogledu kompetencija za posebne radnje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Stručnjaci za putničku plovidbu</w:t>
      </w:r>
    </w:p>
    <w:p>
      <w:pPr>
        <w:pStyle w:val="Text1"/>
        <w:ind w:left="0"/>
        <w:rPr>
          <w:noProof/>
        </w:rPr>
      </w:pPr>
      <w:r>
        <w:rPr>
          <w:noProof/>
        </w:rPr>
        <w:t>Svi podnositelji zahtjeva moraju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organizirati upotrebu opreme za spašavanje na putničkim plovilima,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primijeniti sigurnosne upute i poduzeti odgovarajuće mjere za zaštitu putnika općenito, posebno u izvanrednim situacijama (npr. evakuacija, šteta, sudar, nasukanje, požar, eksplozija ili druge situacije u kojima bi moglo doći do panike).</w:t>
      </w:r>
    </w:p>
    <w:p>
      <w:pPr>
        <w:pStyle w:val="Heading2"/>
        <w:numPr>
          <w:ilvl w:val="1"/>
          <w:numId w:val="11"/>
        </w:numPr>
        <w:rPr>
          <w:noProof/>
        </w:rPr>
      </w:pPr>
      <w:r>
        <w:rPr>
          <w:noProof/>
        </w:rPr>
        <w:t>Stručnjaci za upotrebu ukapljenog prirodnog plina kao goriva</w:t>
      </w:r>
    </w:p>
    <w:p>
      <w:pPr>
        <w:pStyle w:val="Text1"/>
        <w:ind w:left="0"/>
        <w:rPr>
          <w:noProof/>
        </w:rPr>
      </w:pPr>
      <w:r>
        <w:rPr>
          <w:noProof/>
        </w:rPr>
        <w:t>Svi podnositelji zahtjeva moraju moći: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osigurati usklađenost sa zakonodavstvom i standardima primjenjivima na plovila na ukapljeni prirodni plin kao gorivo te ostalim relevantnim sigurnosnim i zdravstvenim propisima,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biti svjesni određenih aspekata koje treba uzeti u obzir pri upotrebi ukapljenog prirodnog plina, prepoznati rizike i upravljati njima,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upravljati sustavima koji se odnose na ukapljeni prirodni plin na siguran način,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osigurati redovitu provjeru sustava za ukapljeni prirodni plin,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poduzimati radnje za opskrbu ukapljenim prirodnim plinom na siguran i kontroliran način, 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 xml:space="preserve">pripremiti sustav za ukapljeni prirodni plin za održavanje plovila, 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snaći se u izvanrednim situacijama povezanima s ukapljenim prirodnim plinom.</w:t>
      </w:r>
    </w:p>
    <w:p>
      <w:pPr>
        <w:spacing w:line="240" w:lineRule="atLeast"/>
        <w:rPr>
          <w:rFonts w:ascii="Arial" w:hAnsi="Arial" w:cs="Arial"/>
          <w:i/>
          <w:noProof/>
          <w:snapToGrid w:val="0"/>
          <w:sz w:val="20"/>
          <w:szCs w:val="20"/>
        </w:rPr>
      </w:pPr>
    </w:p>
    <w:p>
      <w:pPr>
        <w:pStyle w:val="Annextitre"/>
        <w:keepNext/>
        <w:rPr>
          <w:noProof/>
        </w:rPr>
      </w:pPr>
      <w:r>
        <w:rPr>
          <w:noProof/>
        </w:rPr>
        <w:t>Prilog III.</w:t>
      </w:r>
    </w:p>
    <w:p>
      <w:pPr>
        <w:pStyle w:val="Annextitre"/>
        <w:keepNext/>
        <w:rPr>
          <w:noProof/>
        </w:rPr>
      </w:pPr>
      <w:r>
        <w:rPr>
          <w:noProof/>
          <w:u w:val="none"/>
        </w:rPr>
        <w:t>Temeljni zahtjevi u pogledu zdravstvene sposobnosti</w:t>
      </w:r>
    </w:p>
    <w:p>
      <w:pPr>
        <w:rPr>
          <w:noProof/>
          <w:szCs w:val="24"/>
        </w:rPr>
      </w:pPr>
      <w:r>
        <w:rPr>
          <w:noProof/>
        </w:rPr>
        <w:t>Zdravstvena sposobnost, koja se sastoji od fizičke i psihičke sposobnosti, podrazumijeva stanje bez bolesti ili invaliditeta zbog kojih osoba koja radi na plovilu ne bi mogla:</w:t>
      </w:r>
    </w:p>
    <w:p>
      <w:pPr>
        <w:pStyle w:val="Tiret0"/>
        <w:rPr>
          <w:noProof/>
        </w:rPr>
      </w:pPr>
      <w:r>
        <w:rPr>
          <w:noProof/>
        </w:rPr>
        <w:t>izvršavati zadaće potrebne za upravljanje plovilom,</w:t>
      </w:r>
    </w:p>
    <w:p>
      <w:pPr>
        <w:pStyle w:val="Tiret0"/>
        <w:rPr>
          <w:noProof/>
        </w:rPr>
      </w:pPr>
      <w:r>
        <w:rPr>
          <w:noProof/>
        </w:rPr>
        <w:t>u svakom trenutku izvršavati dodijeljene zadaće ili</w:t>
      </w:r>
    </w:p>
    <w:p>
      <w:pPr>
        <w:pStyle w:val="Tiret0"/>
        <w:rPr>
          <w:noProof/>
        </w:rPr>
      </w:pPr>
      <w:r>
        <w:rPr>
          <w:noProof/>
        </w:rPr>
        <w:t>pravilno zapažati svoj okoliš.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  <w:r>
        <w:rPr>
          <w:noProof/>
        </w:rPr>
        <w:t>Pregled posebno obuhvaća provjeru vida i sluha, motoričkih funkcija, neuropsihičkog stanja i kardiovaskularnog sustava.</w:t>
      </w:r>
    </w:p>
    <w:p>
      <w:pPr>
        <w:spacing w:after="0" w:line="247" w:lineRule="auto"/>
        <w:ind w:right="390"/>
        <w:rPr>
          <w:rFonts w:eastAsia="Arial"/>
          <w:noProof/>
          <w:spacing w:val="1"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C842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71E38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A4B2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BEA9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210EC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F3A2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57E9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78E0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21"/>
  </w:num>
  <w:num w:numId="18">
    <w:abstractNumId w:val="11"/>
  </w:num>
  <w:num w:numId="19">
    <w:abstractNumId w:val="14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22"/>
  </w:num>
  <w:num w:numId="29">
    <w:abstractNumId w:val="19"/>
  </w:num>
  <w:num w:numId="30">
    <w:abstractNumId w:val="13"/>
  </w:num>
  <w:num w:numId="31">
    <w:abstractNumId w:val="21"/>
  </w:num>
  <w:num w:numId="32">
    <w:abstractNumId w:val="11"/>
  </w:num>
  <w:num w:numId="33">
    <w:abstractNumId w:val="14"/>
  </w:num>
  <w:num w:numId="34">
    <w:abstractNumId w:val="9"/>
  </w:num>
  <w:num w:numId="35">
    <w:abstractNumId w:val="20"/>
  </w:num>
  <w:num w:numId="36">
    <w:abstractNumId w:val="8"/>
  </w:num>
  <w:num w:numId="37">
    <w:abstractNumId w:val="15"/>
  </w:num>
  <w:num w:numId="38">
    <w:abstractNumId w:val="17"/>
  </w:num>
  <w:num w:numId="39">
    <w:abstractNumId w:val="18"/>
  </w:num>
  <w:num w:numId="40">
    <w:abstractNumId w:val="10"/>
  </w:num>
  <w:num w:numId="41">
    <w:abstractNumId w:val="16"/>
  </w:num>
  <w:num w:numId="42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3-15 12:14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3"/>
    <w:docVar w:name="LW_CONFIDENCE" w:val=" "/>
    <w:docVar w:name="LW_CONST_RESTREINT_UE" w:val="RESTREINT UE"/>
    <w:docVar w:name="LW_CORRIGENDUM" w:val="&lt;UNUSED&gt;"/>
    <w:docVar w:name="LW_COVERPAGE_GUID" w:val="5EED5AE053C64F86B8121F410D36E583"/>
    <w:docVar w:name="LW_CROSSREFERENCE" w:val="{SWD(2016) 35 final}_x000b_{SWD(2016) 36 final}"/>
    <w:docVar w:name="LW_DocType" w:val="ANNEX"/>
    <w:docVar w:name="LW_EMISSION" w:val="18.2.2016."/>
    <w:docVar w:name="LW_EMISSION_ISODATE" w:val="2016-02-1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priznavanju stru\u269?nih kvalifikacija u unutarnjoj plovidbi i stavljanju izvan snage Direktive Vije\u263?a 91/672/EEZ i Direktive Vije\u263?a 96/50/EZ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82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Direktivi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customStyle="1" w:styleId="ListBullet1">
    <w:name w:val="List Bullet 1"/>
    <w:basedOn w:val="Text1"/>
    <w:pPr>
      <w:numPr>
        <w:numId w:val="6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customStyle="1" w:styleId="Annextitre">
    <w:name w:val="Annex titre"/>
    <w:basedOn w:val="Normal"/>
    <w:pPr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9"/>
      </w:numPr>
    </w:pPr>
  </w:style>
  <w:style w:type="paragraph" w:customStyle="1" w:styleId="Tiret1">
    <w:name w:val="Tiret 1"/>
    <w:basedOn w:val="Point1"/>
    <w:pPr>
      <w:numPr>
        <w:numId w:val="30"/>
      </w:numPr>
    </w:pPr>
  </w:style>
  <w:style w:type="paragraph" w:customStyle="1" w:styleId="Tiret2">
    <w:name w:val="Tiret 2"/>
    <w:basedOn w:val="Point2"/>
    <w:pPr>
      <w:numPr>
        <w:numId w:val="31"/>
      </w:numPr>
    </w:pPr>
  </w:style>
  <w:style w:type="paragraph" w:customStyle="1" w:styleId="Tiret3">
    <w:name w:val="Tiret 3"/>
    <w:basedOn w:val="Point3"/>
    <w:pPr>
      <w:numPr>
        <w:numId w:val="32"/>
      </w:numPr>
    </w:pPr>
  </w:style>
  <w:style w:type="paragraph" w:customStyle="1" w:styleId="Tiret4">
    <w:name w:val="Tiret 4"/>
    <w:basedOn w:val="Point4"/>
    <w:pPr>
      <w:numPr>
        <w:numId w:val="3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6"/>
      </w:numPr>
    </w:pPr>
  </w:style>
  <w:style w:type="paragraph" w:customStyle="1" w:styleId="Point1number">
    <w:name w:val="Point 1 (number)"/>
    <w:basedOn w:val="Normal"/>
    <w:pPr>
      <w:numPr>
        <w:ilvl w:val="2"/>
        <w:numId w:val="36"/>
      </w:numPr>
    </w:pPr>
  </w:style>
  <w:style w:type="paragraph" w:customStyle="1" w:styleId="Point2number">
    <w:name w:val="Point 2 (number)"/>
    <w:basedOn w:val="Normal"/>
    <w:pPr>
      <w:numPr>
        <w:ilvl w:val="4"/>
        <w:numId w:val="36"/>
      </w:numPr>
    </w:pPr>
  </w:style>
  <w:style w:type="paragraph" w:customStyle="1" w:styleId="Point3number">
    <w:name w:val="Point 3 (number)"/>
    <w:basedOn w:val="Normal"/>
    <w:pPr>
      <w:numPr>
        <w:ilvl w:val="6"/>
        <w:numId w:val="36"/>
      </w:numPr>
    </w:pPr>
  </w:style>
  <w:style w:type="paragraph" w:customStyle="1" w:styleId="Point0letter">
    <w:name w:val="Point 0 (letter)"/>
    <w:basedOn w:val="Normal"/>
    <w:pPr>
      <w:numPr>
        <w:ilvl w:val="1"/>
        <w:numId w:val="36"/>
      </w:numPr>
    </w:pPr>
  </w:style>
  <w:style w:type="paragraph" w:customStyle="1" w:styleId="Point1letter">
    <w:name w:val="Point 1 (letter)"/>
    <w:basedOn w:val="Normal"/>
    <w:pPr>
      <w:numPr>
        <w:ilvl w:val="3"/>
        <w:numId w:val="36"/>
      </w:numPr>
    </w:pPr>
  </w:style>
  <w:style w:type="paragraph" w:customStyle="1" w:styleId="Point2letter">
    <w:name w:val="Point 2 (letter)"/>
    <w:basedOn w:val="Normal"/>
    <w:pPr>
      <w:numPr>
        <w:ilvl w:val="5"/>
        <w:numId w:val="36"/>
      </w:numPr>
    </w:pPr>
  </w:style>
  <w:style w:type="paragraph" w:customStyle="1" w:styleId="Point3letter">
    <w:name w:val="Point 3 (letter)"/>
    <w:basedOn w:val="Normal"/>
    <w:pPr>
      <w:numPr>
        <w:ilvl w:val="7"/>
        <w:numId w:val="36"/>
      </w:numPr>
    </w:pPr>
  </w:style>
  <w:style w:type="paragraph" w:customStyle="1" w:styleId="Point4letter">
    <w:name w:val="Point 4 (letter)"/>
    <w:basedOn w:val="Normal"/>
    <w:pPr>
      <w:numPr>
        <w:ilvl w:val="8"/>
        <w:numId w:val="36"/>
      </w:numPr>
    </w:pPr>
  </w:style>
  <w:style w:type="paragraph" w:customStyle="1" w:styleId="Bullet0">
    <w:name w:val="Bullet 0"/>
    <w:basedOn w:val="Normal"/>
    <w:pPr>
      <w:numPr>
        <w:numId w:val="37"/>
      </w:numPr>
    </w:pPr>
  </w:style>
  <w:style w:type="paragraph" w:customStyle="1" w:styleId="Bullet1">
    <w:name w:val="Bullet 1"/>
    <w:basedOn w:val="Normal"/>
    <w:pPr>
      <w:numPr>
        <w:numId w:val="38"/>
      </w:numPr>
    </w:pPr>
  </w:style>
  <w:style w:type="paragraph" w:customStyle="1" w:styleId="Bullet2">
    <w:name w:val="Bullet 2"/>
    <w:basedOn w:val="Normal"/>
    <w:pPr>
      <w:numPr>
        <w:numId w:val="39"/>
      </w:numPr>
    </w:pPr>
  </w:style>
  <w:style w:type="paragraph" w:customStyle="1" w:styleId="Bullet3">
    <w:name w:val="Bullet 3"/>
    <w:basedOn w:val="Normal"/>
    <w:pPr>
      <w:numPr>
        <w:numId w:val="40"/>
      </w:numPr>
    </w:pPr>
  </w:style>
  <w:style w:type="paragraph" w:customStyle="1" w:styleId="Bullet4">
    <w:name w:val="Bullet 4"/>
    <w:basedOn w:val="Normal"/>
    <w:pPr>
      <w:numPr>
        <w:numId w:val="4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D92F-80BA-48AE-8320-D5E28E95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10</Pages>
  <Words>1937</Words>
  <Characters>12533</Characters>
  <Application>Microsoft Office Word</Application>
  <DocSecurity>0</DocSecurity>
  <Lines>298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VOINESCU Raluca (MOVE)</dc:creator>
  <cp:lastModifiedBy>DIGIT/A3</cp:lastModifiedBy>
  <cp:revision>8</cp:revision>
  <cp:lastPrinted>2015-12-10T16:48:00Z</cp:lastPrinted>
  <dcterms:created xsi:type="dcterms:W3CDTF">2016-03-11T16:15:00Z</dcterms:created>
  <dcterms:modified xsi:type="dcterms:W3CDTF">2016-03-15T11:14:00Z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3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