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ADBB42E504F4751B9EA280DFF2DCAA5" style="width:450.75pt;height:46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bdr w:val="none" w:sz="0" w:space="0" w:color="auto" w:frame="1"/>
        </w:rPr>
        <w:t>•</w:t>
      </w:r>
      <w:r>
        <w:rPr>
          <w:noProof/>
        </w:rPr>
        <w:tab/>
        <w:t>Priekšlikuma pamatojums un mērķi</w:t>
      </w:r>
    </w:p>
    <w:p>
      <w:pPr>
        <w:pStyle w:val="ManualNumPar1"/>
        <w:rPr>
          <w:noProof/>
        </w:rPr>
      </w:pPr>
      <w:r>
        <w:t>1.</w:t>
      </w:r>
      <w:r>
        <w:tab/>
      </w:r>
      <w:r>
        <w:rPr>
          <w:noProof/>
        </w:rPr>
        <w:t xml:space="preserve">Priekšlikuma mērķis ir risināt būtiskas problēmas, kas pašlaik vērojamas tirgū un pirmo reizi tika konstatētas 2010. gadā veiktajā Regulas (EK) Nr. 2003/2003 („spēkā esošā Mēslošanas līdzekļu regula”) </w:t>
      </w:r>
      <w:r>
        <w:rPr>
          <w:i/>
          <w:noProof/>
        </w:rPr>
        <w:t>ex-post</w:t>
      </w:r>
      <w:r>
        <w:rPr>
          <w:noProof/>
        </w:rPr>
        <w:t xml:space="preserve"> novērtējumā</w:t>
      </w:r>
      <w:r>
        <w:rPr>
          <w:rStyle w:val="FootnoteReference"/>
          <w:noProof/>
        </w:rPr>
        <w:footnoteReference w:id="1"/>
      </w:r>
      <w:r>
        <w:rPr>
          <w:noProof/>
        </w:rPr>
        <w:t>. Tas noteikts arī par vienu no aprites ekonomikas rīcības plāna</w:t>
      </w:r>
      <w:r>
        <w:rPr>
          <w:rStyle w:val="FootnoteReference"/>
          <w:noProof/>
        </w:rPr>
        <w:footnoteReference w:id="2"/>
      </w:r>
      <w:r>
        <w:rPr>
          <w:noProof/>
        </w:rPr>
        <w:t>galvenajiem likumdošanas priekšlikumiem.</w:t>
      </w:r>
    </w:p>
    <w:p>
      <w:pPr>
        <w:pStyle w:val="ManualHeading2"/>
        <w:rPr>
          <w:rFonts w:eastAsia="Arial Unicode MS"/>
          <w:i/>
          <w:noProof/>
        </w:rPr>
      </w:pPr>
      <w:r>
        <w:rPr>
          <w:noProof/>
        </w:rPr>
        <w:tab/>
      </w:r>
      <w:r>
        <w:rPr>
          <w:i/>
          <w:noProof/>
        </w:rPr>
        <w:t>Pirmais iemesls un mērķis</w:t>
      </w:r>
    </w:p>
    <w:p>
      <w:pPr>
        <w:pStyle w:val="ManualNumPar1"/>
        <w:rPr>
          <w:noProof/>
        </w:rPr>
      </w:pPr>
      <w:r>
        <w:t>2.</w:t>
      </w:r>
      <w:r>
        <w:tab/>
      </w:r>
      <w:r>
        <w:rPr>
          <w:noProof/>
        </w:rPr>
        <w:t>Pirmkārt, inovatīviem mēslošanas līdzekļiem, kas bieži vien satur barības elementus vai organiskās vielas, kuras saskaņā ar aprites ekonomikas modeli pārstrādātas no bioatkritumiem vai citiem otrreizējiem jēlmateriāliem, ir grūti piekļūt iekšējam tirgum, jo valstīs pastāv atšķirīgi noteikumi un standarti.</w:t>
      </w:r>
    </w:p>
    <w:p>
      <w:pPr>
        <w:pStyle w:val="ManualNumPar1"/>
        <w:rPr>
          <w:noProof/>
        </w:rPr>
      </w:pPr>
      <w:r>
        <w:t>3.</w:t>
      </w:r>
      <w:r>
        <w:tab/>
      </w:r>
      <w:r>
        <w:rPr>
          <w:noProof/>
        </w:rPr>
        <w:t>Spēkā esošā Mēslošanas līdzekļu regula nodrošina brīvu apriti iekšējā tirgū tādu saskaņoto ražojumu kategorijai, kuri pieder pie viena no mēslošanas līdzekļu tipiem, kas iekļauti minētās regulas I pielikumā. Šādi ražojumi ir tiesīgi saņemt marķējumu “</w:t>
      </w:r>
      <w:r>
        <w:rPr>
          <w:i/>
          <w:noProof/>
        </w:rPr>
        <w:t>EC</w:t>
      </w:r>
      <w:r>
        <w:rPr>
          <w:noProof/>
        </w:rPr>
        <w:t xml:space="preserve"> mēslošanas līdzeklis”. Uzņēmumiem, kas vēlas pārdot cita veida izstrādājumus, kuri nav </w:t>
      </w:r>
      <w:r>
        <w:rPr>
          <w:i/>
          <w:noProof/>
        </w:rPr>
        <w:t>EC</w:t>
      </w:r>
      <w:r>
        <w:rPr>
          <w:noProof/>
        </w:rPr>
        <w:t xml:space="preserve"> mēslošanas līdzekļi, vispirms jāiegūst jauns tipa apstiprinājums, Komisijai pieņemot lēmumu, ar ko groza minēto pielikumu. Gandrīz visi mēslošanas līdzekļu tipi, ko pašlaik aptver spēkā esošā mēslošanas līdzekļu regula, ir tradicionālie neorganiskie Mēslošanas līdzekļi, kas parasti iegūti no izrakteņiem vai ķīmiski ražoti saskaņā ar lineārās ekonomikas modeli. Turklāt ķīmiskie procesi, piemēram, slāpekli saturošu mēslošanas līdzekļu ražošanai, ir gan energoietilpīgi, gan CO</w:t>
      </w:r>
      <w:r>
        <w:rPr>
          <w:noProof/>
          <w:vertAlign w:val="subscript"/>
        </w:rPr>
        <w:t>2</w:t>
      </w:r>
      <w:r>
        <w:rPr>
          <w:noProof/>
        </w:rPr>
        <w:t xml:space="preserve"> ietilpīgi.</w:t>
      </w:r>
    </w:p>
    <w:p>
      <w:pPr>
        <w:pStyle w:val="ManualNumPar1"/>
        <w:rPr>
          <w:noProof/>
        </w:rPr>
      </w:pPr>
      <w:r>
        <w:t>4.</w:t>
      </w:r>
      <w:r>
        <w:tab/>
      </w:r>
      <w:r>
        <w:rPr>
          <w:noProof/>
        </w:rPr>
        <w:t xml:space="preserve">Pašlaik aptuveni 50 % no mēslošanas līdzekļiem, kas atrodas tirgū, tomēr atrodas ārpus regulas piemērošanas jomas. Tas sakāms par dažiem neorganiskajiem mēslošanas līdzekļiem un gandrīz visiem mēslošanas līdzekļiem, kas iegūti no organiskiem materiāliem, piemēram, dzīvnieku izcelsmes blakusproduktiem vai citiem lauksaimniecības blakusproduktiem, vai pārstrādātiem pārtikas aprites bioatkritumiem. Pašlaik strauji attīstās pētniecība, inovācija un investīcijas, veicinot aprites ekonomiku, vietēji radot darbvietas un ražojot vērtības no otrreizējiem Eiropas Savienības resursiem, kas pretējā gadījumā tiktu izmantoti tieši uz zemes vai kā atkritumi aprakti izgāztuvēs, radot nevajadzīgu eitrofikāciju un siltumnīcefekta gāzu emisiju. Uzņēmējvidē pastāv arī "servitizācijas" tendence, proti, izmantojot augsnes analīzi, aizvien biežāk ražojumi tiek individuāli pielāgoti augsnei, kurā mēslošanas līdzeklis tiks lietots. MVU un citi uzņēmumi visā Eiropā arvien vairāk interesējas, kā piedalīties šajā attīstībā. Tomēr tas, vai individuāli pielāgotiem organiskus mēslošanas līdzekļus saturošiem ražojumiem ir piekļūstams iekšējais tirgus, pašlaik ir atkarīgs no savstarpējas atzīšanas procedūras, tāpēc šāda piekļuve nereti ir traucēta. </w:t>
      </w:r>
    </w:p>
    <w:p>
      <w:pPr>
        <w:pStyle w:val="ManualNumPar1"/>
        <w:rPr>
          <w:noProof/>
        </w:rPr>
      </w:pPr>
      <w:r>
        <w:t>5.</w:t>
      </w:r>
      <w:r>
        <w:tab/>
      </w:r>
      <w:r>
        <w:rPr>
          <w:noProof/>
        </w:rPr>
        <w:t>Ar inovatīviem mēslošanas līdzekļiem saistās divējāda problēma, kas attiecas uz spēkā esošo tiesisko regulējumu.</w:t>
      </w:r>
    </w:p>
    <w:p>
      <w:pPr>
        <w:pStyle w:val="ManualNumPar1"/>
        <w:rPr>
          <w:noProof/>
        </w:rPr>
      </w:pPr>
      <w:r>
        <w:t>6.</w:t>
      </w:r>
      <w:r>
        <w:tab/>
      </w:r>
      <w:r>
        <w:rPr>
          <w:noProof/>
        </w:rPr>
        <w:t xml:space="preserve">Pirmais problēmas aspekts ir tāds, ka spēkā esošajā Mēslošanas līdzekļu regulā ir sarežģīti iekļaut tāda tipa mēslošanas līdzekļus, kas iegūti no organiskiem vai otrreizējiem jēlmateriāliem. Regulatori vilcinās, jo šādu materiālu sastāvs un īpašības ir salīdzinoši mainīgi. Spēkā esošā Mēslošanas līdzekļu regula nepārprotami ir izstrādāta detalizēti aprakstītiem neorganiskiem mēslošanas līdzekļiem, kas iegūti no primārajiem jēlmateriāliem, un tajā trūkst stingru kontroles mehānismu un drošības pasākumu, kas nepieciešami, lai nodrošinātu uzticēšanos produktiem, kuri iegūti no būtībā mainīgiem organisko vai otrreizējo jēlmateriālu avotiem. Turklāt nav skaidra saistība ar spēkā esošajiem tiesību aktiem, kas reglamentē dzīvnieku blakusproduktu un atkritumu kontroli. </w:t>
      </w:r>
    </w:p>
    <w:p>
      <w:pPr>
        <w:pStyle w:val="ManualNumPar1"/>
        <w:rPr>
          <w:noProof/>
        </w:rPr>
      </w:pPr>
      <w:r>
        <w:t>7.</w:t>
      </w:r>
      <w:r>
        <w:tab/>
      </w:r>
      <w:r>
        <w:rPr>
          <w:noProof/>
        </w:rPr>
        <w:t>Tāpēc saskaņā ar aprites ekonomikas principiem iegūti mēslošanas līdzekļi joprojām nav saskaņoti. Daudzās dalībvalstīs attiecībā uz šādiem nesaskaņotiem mēslošanas līdzekļiem ir spēkā detalizēti nacionāli noteikumi un standarti ar vides prasībām (piemēram, smago metālu kontaminantu robežvērtības), kuras neattiecas uz EK mēslošanas līdzekļiem. Turklāt tāda brīva aprite starp dalībvalstīm, kuras pamatā būtu savstarpēja atzīšana, ir izrādījusies ļoti sarežģīta. Tā rezultātā no organiskiem materiāliem vai otrreizējiem jēlmateriāliem iegūtu mēslošanas līdzekļu ražotājs, kas savu tirgu vēlas paplašināt ar citas dalībvalsts teritoriju, bieži vien saskaras ar administratīvām procedūrām, kuras tirgus paplašināšanu padara pārmērīgi dārgu. Tāpēc neizveidojas kritiskā masa, un tas kavē investīcijas šajā svarīgajā aprites ekonomikas nozarē. Šī problēma ir īpaši svarīga ražotājiem, kas veic uzņēmējdarbību dalībvalstīs, kurās viņu rīcībā ir liels bioloģisko otrreizējo jēlmateriālu (parasti kūtsmēslu) pārpalikums, taču mazs iekšzemes noieta tirgus.</w:t>
      </w:r>
    </w:p>
    <w:p>
      <w:pPr>
        <w:pStyle w:val="ManualNumPar1"/>
        <w:rPr>
          <w:noProof/>
        </w:rPr>
      </w:pPr>
      <w:r>
        <w:t>8.</w:t>
      </w:r>
      <w:r>
        <w:tab/>
      </w:r>
      <w:r>
        <w:rPr>
          <w:noProof/>
        </w:rPr>
        <w:t>Kopumā, salīdzinot mēslošanas līdzekļus, kas atbilstoši aprites ekonomikas modelim Eiropas Savienībā iegūti no organiskiem jēlmateriāliem vai otrreizējiem jēlmateriāliem, un mēslošanas līdzekļus, kas ražoti pēc lineārās ekonomikas modeļa, konkurences apstākļi ir labvēlīgāki otrajiem. Šis konkurences izkropļojums kavē investīcijas aprites ekonomikā.</w:t>
      </w:r>
    </w:p>
    <w:p>
      <w:pPr>
        <w:pStyle w:val="ManualNumPar1"/>
        <w:rPr>
          <w:noProof/>
        </w:rPr>
      </w:pPr>
      <w:r>
        <w:t>9.</w:t>
      </w:r>
      <w:r>
        <w:tab/>
      </w:r>
      <w:r>
        <w:rPr>
          <w:noProof/>
        </w:rPr>
        <w:t>Minēto problēmu saasina tas, ka viena no galvenajām mēslošanas līdzekļu sastāvdaļām ir fosfātieži, ko Komisija ir atzinusi par kritiski svarīgu jēlmateriālu. Attiecībā uz fosfātu mēsliem ES patlaban ir ļoti atkarīga no ārpus ES iegūtu fosfātiežu importa (galvenokārt no Marokas, Tunisijas un Krievijas importēti ir vairāk nekā 90 % Eiropas Savienībā lietoto fosfāta mēslu). Tai pat laikā ES atkritumi (jo īpaši notekūdeņu dūņas) satur daudz fosfora, un, šo fosforu atbilstoši aprites ekonomikas modelim pārstrādājot, ES pieprasījumu pēc fosfātu mēsliem būtu iespējams apmierināt apmēram par 20–30 %. Tomēr ar to saistītais investīciju potenciāls patlaban lielākoties joprojām nav izmantots, un tas daļēji izskaidrojams ar augstāk minēto apgrūtināto iekšējā tirgus pieejamību.</w:t>
      </w:r>
    </w:p>
    <w:p>
      <w:pPr>
        <w:pStyle w:val="ManualNumPar1"/>
        <w:rPr>
          <w:noProof/>
        </w:rPr>
      </w:pPr>
      <w:r>
        <w:t>10.</w:t>
      </w:r>
      <w:r>
        <w:tab/>
      </w:r>
      <w:r>
        <w:rPr>
          <w:noProof/>
        </w:rPr>
        <w:t xml:space="preserve">Spēkā esošā Mēslošanas līdzekļu regula attiecībā uz inovatīviem mēslošanas līdzekļiem pietiekami nedarbojas arī tādā aspektā, ka tipa apstiprināšanas procedūra ir ļoti ilga pat jauniem neorganiskiem mēslošanas līdzekļiem, kas iegūti no primāriem jēlmateriāliem, un inovācijas cikls mēslošanas līdzekļu nozarē ir daudz straujāks. Tāpēc ir atzīts, ka regulējuma metode ir fundamentāli jāpārvērtē un jāmodernizē, lai attiecībā uz ražojumiem izvirzītajām prasībām panāktu vairāk elastības, turklāt augstā līmenī saglabājot aizsardzību cilvēka, dzīvnieku un augu veselībai, drošībai un videi. Šie apsvērumi ir aprakstīti tālāk 3. iedaļā </w:t>
      </w:r>
      <w:r>
        <w:rPr>
          <w:i/>
          <w:noProof/>
        </w:rPr>
        <w:t>"Ex post izvērtējumu, apspriešanās ar ieinteresētajām personām un ietekmes novērtējumu rezultāti"</w:t>
      </w:r>
      <w:r>
        <w:rPr>
          <w:noProof/>
        </w:rPr>
        <w:t>.</w:t>
      </w:r>
    </w:p>
    <w:p>
      <w:pPr>
        <w:pStyle w:val="ManualNumPar1"/>
        <w:rPr>
          <w:noProof/>
        </w:rPr>
      </w:pPr>
      <w:r>
        <w:t>11.</w:t>
      </w:r>
      <w:r>
        <w:tab/>
      </w:r>
      <w:r>
        <w:rPr>
          <w:noProof/>
        </w:rPr>
        <w:t>Tāpēc iniciatīvas galvenais rīcībpolitiskais mērķis ir radīt stimulus, kas sekmētu, ka Eiropas Savienībā lielā mērogā un atbilstoši aprites ekonomikas modelim atkritumus pārveidojot par kultūraugu barības elementiem, no ES organiskiem jēlmateriāliem vai otrreizējiem jēlmateriāliem tiek ražoti mēslošanas līdzekļi. Priekšlikums nodrošinās tiesisko regulējumu, kas iekšējo tirgu šādiem mēslošanas līdzekļiem padarīs daudz pieejamāku, tādējādi izlīdzinot konkurences apstākļus attiecībā uz mēsliem, kas saražoti atbilstoši lineārās ekonomikas modelim — no izrakteņiem vai ar ķīmisku tehnoloģiju. Tas pavērtu iespēju veicināt šādu aprites ekonomikas mērķu sasniegšanu:</w:t>
      </w:r>
    </w:p>
    <w:p>
      <w:pPr>
        <w:pStyle w:val="Bullet1"/>
        <w:numPr>
          <w:ilvl w:val="0"/>
          <w:numId w:val="62"/>
        </w:numPr>
        <w:rPr>
          <w:noProof/>
        </w:rPr>
      </w:pPr>
      <w:r>
        <w:rPr>
          <w:noProof/>
        </w:rPr>
        <w:t>otrreizējos jēlmateriālus padarīt par vērtību, pavērt iespēju labāk izmantot jēlmateriālus un eitrofikācijas un atkritumu apsaimniekošanas problēmas pārvērst ekonomiskās iespējās, kas kļūst pieejamas publiskiem un privātiem uzņēmumiem;</w:t>
      </w:r>
    </w:p>
    <w:p>
      <w:pPr>
        <w:pStyle w:val="Bullet1"/>
        <w:numPr>
          <w:ilvl w:val="0"/>
          <w:numId w:val="63"/>
        </w:numPr>
        <w:rPr>
          <w:noProof/>
        </w:rPr>
      </w:pPr>
      <w:r>
        <w:rPr>
          <w:noProof/>
        </w:rPr>
        <w:t>paaugstināt resursefektivitāti un attiecībā uz Eiropas lauksaimniecībai nepieciešamiem jēlmateriāliem, konkrētāk, fosforu, mazināt tās importatkarību;</w:t>
      </w:r>
    </w:p>
    <w:p>
      <w:pPr>
        <w:pStyle w:val="Bullet1"/>
        <w:numPr>
          <w:ilvl w:val="0"/>
          <w:numId w:val="63"/>
        </w:numPr>
        <w:rPr>
          <w:noProof/>
        </w:rPr>
      </w:pPr>
      <w:r>
        <w:rPr>
          <w:noProof/>
        </w:rPr>
        <w:t xml:space="preserve">aprites ekonomikā palielināt investīcijas un inovāciju, palīdzot Eiropas Savienībā radīt jaunas darbvietas; </w:t>
      </w:r>
    </w:p>
    <w:p>
      <w:pPr>
        <w:pStyle w:val="Bullet1"/>
        <w:numPr>
          <w:ilvl w:val="0"/>
          <w:numId w:val="63"/>
        </w:numPr>
        <w:rPr>
          <w:noProof/>
        </w:rPr>
      </w:pPr>
      <w:r>
        <w:rPr>
          <w:noProof/>
        </w:rPr>
        <w:t>paverot iespēju mēslošanas līdzekļus ražot no mazāk oglekļintensīviem resursiem, mēslošanas līdzekļu nozari palīdzēt atsvabināt no pašreizējā spiediena atbilstoši ETS samazināt CO</w:t>
      </w:r>
      <w:r>
        <w:rPr>
          <w:noProof/>
          <w:vertAlign w:val="subscript"/>
        </w:rPr>
        <w:t>2</w:t>
      </w:r>
      <w:r>
        <w:rPr>
          <w:noProof/>
        </w:rPr>
        <w:t xml:space="preserve"> emisijas.</w:t>
      </w:r>
    </w:p>
    <w:p>
      <w:pPr>
        <w:pStyle w:val="ManualNumPar1"/>
        <w:rPr>
          <w:noProof/>
        </w:rPr>
      </w:pPr>
      <w:r>
        <w:t>12.</w:t>
      </w:r>
      <w:r>
        <w:tab/>
      </w:r>
      <w:r>
        <w:rPr>
          <w:noProof/>
        </w:rPr>
        <w:t xml:space="preserve">Vairāk ražojot un tirgojot inovatīvus mēslošanas līdzekļus, daudzveidīgāks kļūtu arī lauksaimniekiem piedāvāto mēslošanas līdzekļu klāsts, un pārtikas ražošana varētu kļūt izmaksefektīvāka un resursefektīvāka. </w:t>
      </w:r>
    </w:p>
    <w:p>
      <w:pPr>
        <w:pStyle w:val="ManualHeading2"/>
        <w:rPr>
          <w:rFonts w:eastAsia="Arial Unicode MS"/>
          <w:i/>
          <w:noProof/>
        </w:rPr>
      </w:pPr>
      <w:r>
        <w:rPr>
          <w:noProof/>
        </w:rPr>
        <w:tab/>
      </w:r>
      <w:r>
        <w:rPr>
          <w:i/>
          <w:noProof/>
        </w:rPr>
        <w:t>Otrais iemesls un mērķis</w:t>
      </w:r>
    </w:p>
    <w:p>
      <w:pPr>
        <w:pStyle w:val="ManualNumPar1"/>
        <w:rPr>
          <w:noProof/>
        </w:rPr>
      </w:pPr>
      <w:r>
        <w:t>13.</w:t>
      </w:r>
      <w:r>
        <w:tab/>
      </w:r>
      <w:r>
        <w:rPr>
          <w:noProof/>
        </w:rPr>
        <w:t xml:space="preserve">Otrkārt, spēkā esošā Mēslošanas līdzekļu regula nepalīdz kliedēt attiecībā uz vidi radušās bažas, kuru cēlonis ir augsnes, iekšzemes ūdeņu, jūras ūdeņu un, visbeidzot, pārtikas kontaminācija ar </w:t>
      </w:r>
      <w:r>
        <w:rPr>
          <w:i/>
          <w:noProof/>
        </w:rPr>
        <w:t>EC</w:t>
      </w:r>
      <w:r>
        <w:rPr>
          <w:noProof/>
        </w:rPr>
        <w:t xml:space="preserve"> mēslošanas līdzekļiem. Vispāratzīta problēma ir kadmija klātbūtne neorganiskos fosfātu mēslos. Tā kā ES robežvērtības kadmijam nav noteiktas, dažas dalībvalstis, izmantojot LESD 114. pantu, attiecībā uz šo metālu ir noteikušas vienpusējas robežvērtības, tādējādi arī saskaņotajā jomā rodoties tirgus sadrumstalotībai. Līdzīgas problēmas rada kontaminantu klātbūtne mēslošanas līdzekļos, uz kuriem pašlaik attiecas nacionāli noteikumi (piemēram, no notekūdeņu dūņām pārstrādāti barības elementi).</w:t>
      </w:r>
    </w:p>
    <w:p>
      <w:pPr>
        <w:pStyle w:val="ManualNumPar1"/>
        <w:rPr>
          <w:noProof/>
        </w:rPr>
      </w:pPr>
      <w:r>
        <w:t>14.</w:t>
      </w:r>
      <w:r>
        <w:tab/>
      </w:r>
      <w:r>
        <w:rPr>
          <w:noProof/>
        </w:rPr>
        <w:t>Tāpēc otrs rīcībpolitisks mērķis ir risināt šo problēmu, attiecībā uz fosfāta mēsliem ieviešot saskaņotas kadmija robežvērtības. Šādu robežvērtību noteikšana, kuras mērķis ir mēslošanas līdzekļu lietošanas nelabvēlīgo ietekmi uz vidi un cilvēka veselību samazināt līdz minimumam, palīdzēs samazināt kadmija uzkrāšanos augsnē un pārtikas un ūdens kontaminētību ar kadmiju. Tā arī novērsīs šo bažu dēļ radušos tirgus sadrumstalotību, proti, dažas dalībvalstis attiecībā uz kadmiju ir noteikušas nacionālas robežvērtības.</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t>Saskanība ar pašreizējiem noteikumiem konkrētajā politikas jomā</w:t>
      </w:r>
    </w:p>
    <w:p>
      <w:pPr>
        <w:pStyle w:val="ManualNumPar1"/>
        <w:rPr>
          <w:noProof/>
        </w:rPr>
      </w:pPr>
      <w:r>
        <w:t>15.</w:t>
      </w:r>
      <w:r>
        <w:tab/>
      </w:r>
      <w:r>
        <w:rPr>
          <w:noProof/>
        </w:rPr>
        <w:t>Ar šo priekšlikumu tiks atcelta spēkā esošā Mēslošanas līdzekļu regula, taču jau saskaņoti mēslošanas līdzekļi ar noteikumu, ka tie atbildīs jaunajām drošuma un kvalitātes prasībām, varēs palikt tirgū. Tas definēs, ar kādiem nosacījumiem uz mēslošanas līdzekļiem, kas ražoti no atkritumiem un dzīvnieku izcelsmes blakusproduktiem, var neattiecināt kontroles, kuras paredzētas Eiropas Parlamenta un Padomes 2009. gada 21. oktobra Regulā (EK) Nr. 1069/2009, ar ko nosaka veselības aizsardzības noteikumus attiecībā uz dzīvnieku izcelsmes blakusproduktiem un atvasinātajiem produktiem, kuri nav paredzēti cilvēku patēriņam, un ar ko atceļ Regulu (EK) Nr. 1774/2002 (Dzīvnieku izcelsmes blakusproduktu regula)</w:t>
      </w:r>
      <w:r>
        <w:rPr>
          <w:rStyle w:val="FootnoteReference"/>
          <w:noProof/>
        </w:rPr>
        <w:footnoteReference w:id="3"/>
      </w:r>
      <w:r>
        <w:rPr>
          <w:noProof/>
        </w:rPr>
        <w:t xml:space="preserve"> un Direktīvā 2008/98/EK par atkritumiem un par dažu direktīvu atcelšanu</w:t>
      </w:r>
      <w:r>
        <w:rPr>
          <w:rStyle w:val="FootnoteReference"/>
          <w:noProof/>
        </w:rPr>
        <w:footnoteReference w:id="4"/>
      </w:r>
      <w:r>
        <w:rPr>
          <w:noProof/>
        </w:rPr>
        <w:t xml:space="preserve">, un tos laist brīvā apgrozībā kā </w:t>
      </w:r>
      <w:r>
        <w:rPr>
          <w:i/>
          <w:noProof/>
        </w:rPr>
        <w:t>CE</w:t>
      </w:r>
      <w:r>
        <w:rPr>
          <w:noProof/>
        </w:rPr>
        <w:t>-marķētus mēslošanas līdzekļus. Tas papildinās Eiropas Parlamenta un Padomes 2006. gada 18. decembra Regulu (EK) Nr. 1907/2006, kas attiecas uz ķimikāliju reģistrēšanu, vērtēšanu, licencēšanu un ierobežošanu (REACH)</w:t>
      </w:r>
      <w:r>
        <w:rPr>
          <w:rStyle w:val="FootnoteReference"/>
          <w:noProof/>
        </w:rPr>
        <w:footnoteReference w:id="5"/>
      </w:r>
      <w:r>
        <w:rPr>
          <w:noProof/>
        </w:rPr>
        <w:t>, kuru joprojām piemēros mēslošanas līdzekļos iestrādātām ķīmiskām vielām.</w:t>
      </w:r>
    </w:p>
    <w:p>
      <w:pPr>
        <w:pStyle w:val="ManualHeading2"/>
        <w:rPr>
          <w:rFonts w:eastAsia="Arial Unicode MS"/>
          <w:noProof/>
        </w:rPr>
      </w:pPr>
      <w:r>
        <w:rPr>
          <w:noProof/>
          <w:color w:val="000000"/>
          <w:bdr w:val="none" w:sz="0" w:space="0" w:color="auto" w:frame="1"/>
        </w:rPr>
        <w:t>•</w:t>
      </w:r>
      <w:r>
        <w:rPr>
          <w:noProof/>
        </w:rPr>
        <w:tab/>
        <w:t>Saskanība ar citām ES politikas jomām</w:t>
      </w:r>
    </w:p>
    <w:p>
      <w:pPr>
        <w:pStyle w:val="ManualNumPar1"/>
        <w:rPr>
          <w:noProof/>
        </w:rPr>
      </w:pPr>
      <w:r>
        <w:t>16.</w:t>
      </w:r>
      <w:r>
        <w:tab/>
      </w:r>
      <w:r>
        <w:rPr>
          <w:noProof/>
        </w:rPr>
        <w:t>Sagādājot piemērotu regulatīvu vidi investīcijām reālajā ekonomikā, iniciatīva</w:t>
      </w:r>
      <w:r>
        <w:t xml:space="preserve"> </w:t>
      </w:r>
      <w:r>
        <w:rPr>
          <w:noProof/>
        </w:rPr>
        <w:t xml:space="preserve">atbalsta Komisijas darbvietu, izaugsmes un investīciju programmu. </w:t>
      </w:r>
    </w:p>
    <w:p>
      <w:pPr>
        <w:pStyle w:val="ManualNumPar1"/>
        <w:rPr>
          <w:noProof/>
        </w:rPr>
      </w:pPr>
      <w:r>
        <w:t>17.</w:t>
      </w:r>
      <w:r>
        <w:tab/>
      </w:r>
      <w:r>
        <w:rPr>
          <w:noProof/>
        </w:rPr>
        <w:t>Konkrētāk, iniciatīva būs svarīgs konkrēts ieguldījums Komisijas Aprites ekonomikas paketē. Tiesību akts radīs vienlīdzīgus konkurences apstākļus visiem mēslošanas līdzekļiem un atvieglinās Eiropas Savienībā iegūtu otrreizējo jēlmateriālu izmantošanu.</w:t>
      </w:r>
    </w:p>
    <w:p>
      <w:pPr>
        <w:pStyle w:val="ManualNumPar1"/>
        <w:rPr>
          <w:noProof/>
        </w:rPr>
      </w:pPr>
      <w:r>
        <w:t>18.</w:t>
      </w:r>
      <w:r>
        <w:tab/>
      </w:r>
      <w:r>
        <w:rPr>
          <w:noProof/>
        </w:rPr>
        <w:t>Iniciatīva turklāt atbalsta tādu mērķi kā, likvidējot esošos šķēršļus noteiktu inovatīvu mēslošanas līdzekļu brīvai apritei un dalībvalstīm atvieglinot tirgus uzraudzību, izveidot dziļāk integrētu un taisnīgāku iekšējo tirgu, kam būtu spēcīgāka rūpnieciskā bāze.</w:t>
      </w:r>
    </w:p>
    <w:p>
      <w:pPr>
        <w:pStyle w:val="ManualNumPar1"/>
        <w:rPr>
          <w:noProof/>
        </w:rPr>
      </w:pPr>
      <w:r>
        <w:t>19.</w:t>
      </w:r>
      <w:r>
        <w:tab/>
      </w:r>
      <w:r>
        <w:rPr>
          <w:noProof/>
        </w:rPr>
        <w:t>Iniciatīva ir saistīta ar šādām rīcībpolitiskām iniciatīvām.</w:t>
      </w:r>
    </w:p>
    <w:p>
      <w:pPr>
        <w:pStyle w:val="Bullet1"/>
        <w:numPr>
          <w:ilvl w:val="0"/>
          <w:numId w:val="63"/>
        </w:numPr>
        <w:rPr>
          <w:noProof/>
        </w:rPr>
      </w:pPr>
      <w:r>
        <w:rPr>
          <w:noProof/>
        </w:rPr>
        <w:t>Aprites ekonomikas tiesību aktu pakete. Mēslošanas līdzekļu regulas pārskatīšanas mērķis ir izveidot tādu tiesisko regulējumu, kas dotu iespēju saskaņā ar Bioekonomikas stratēģiju</w:t>
      </w:r>
      <w:r>
        <w:rPr>
          <w:rStyle w:val="FootnoteReference"/>
          <w:noProof/>
        </w:rPr>
        <w:footnoteReference w:id="6"/>
      </w:r>
      <w:r>
        <w:rPr>
          <w:noProof/>
        </w:rPr>
        <w:t xml:space="preserve"> (kura aptver atjaunojamu bioresursu ražošanu un šo resursu un atkritumu plūsmu pārvēršanu par precēm ar pievienoto vērtību) ražot mēslus no pārstrādātiem bioatkritumiem un citiem otrreizējiem jēlmateriāliem. Tādējādi būtu iespējams ilgtspējīgai Eiropas lauksaimniecībai nepieciešamos augu barības elementus, arī kritiski svarīgo jēlmateriālu fosforu, iegūt Eiropas Savienībā. Ar šo paketi līdz minimumam samazinot apglabāšanu izgāztuvēs vai no bioatkritumiem reģenerējot enerģiju, tā arī palīdzēs labāk īstenot atkritumu hierarhiju un attiecīgi atrisināt ar to saistītās atkritumu apsaimniekošanas problēmas.</w:t>
      </w:r>
    </w:p>
    <w:p>
      <w:pPr>
        <w:pStyle w:val="Bullet1"/>
        <w:numPr>
          <w:ilvl w:val="0"/>
          <w:numId w:val="63"/>
        </w:numPr>
        <w:rPr>
          <w:noProof/>
        </w:rPr>
      </w:pPr>
      <w:r>
        <w:rPr>
          <w:noProof/>
        </w:rPr>
        <w:t>Vienotā tirgus stratēģija. Kā minēts iepriekš, vispārzināms, ka brīvu apriti iekšējā tirgū traucē smagnējie un atšķirīgie nacionālie regulējumi, kas reglamentē mēslošanas līdzekļus, kuri patlaban nav saskaņoto tiesību aktu tvērumā. Uzņēmēji atšķirīgos nacionālos noteikumus bieži vien uzskata par šķērsli, kas traucē piekļūt jauniem tirgiem, savukārt dalībvalstis šos noteikumus uzskata par nepieciešamiem pārtikas aprites ķēdes un vides aizsardzībai.</w:t>
      </w:r>
      <w:r>
        <w:t xml:space="preserve"> </w:t>
      </w:r>
      <w:r>
        <w:rPr>
          <w:noProof/>
        </w:rPr>
        <w:t>Šo ar veselību un vidi saistīto bažu dēļ nesaskaņoto mēslošanas līdzekļu sfērā savstarpēja atzīšana ir izrādījusies ārkārtīgi grūta, un uzņēmēji ir lūguši iespēju, izpildot saskaņotos noteikumus, kuri šādas bažas risina ES līmenī, iegūt piekļuvi visam ES tirgum.</w:t>
      </w:r>
    </w:p>
    <w:p>
      <w:pPr>
        <w:pStyle w:val="Bullet1"/>
        <w:numPr>
          <w:ilvl w:val="0"/>
          <w:numId w:val="63"/>
        </w:numPr>
        <w:rPr>
          <w:noProof/>
        </w:rPr>
      </w:pPr>
      <w:r>
        <w:rPr>
          <w:noProof/>
        </w:rPr>
        <w:t>“Apvārsnis 2020”. Priekšlikums spēs stimulēt attiecīgas pētniecības darbības, kas uzsāktas saskaņā ar "Sabiedrības problēmu risināšanas" 2. prioritāti (" Pārtikas nodrošinājums, ilgtspējīga lauksaimniecība un mežsaimniecība, jūras, jūrlietu un iekšzemes ūdeņu pētniecība un bioekonomika") un 5. prioritāti ("Klimata politika,</w:t>
      </w:r>
      <w:r>
        <w:t xml:space="preserve"> </w:t>
      </w:r>
      <w:r>
        <w:rPr>
          <w:noProof/>
        </w:rPr>
        <w:t xml:space="preserve">vide, resursu efektīva izmantošana un izejvielas"), kurām cita starpā ir arī mērķis rast inovatīvus risinājumus efektīvākai un drošākai resursu atgūšanai no atkritumiem, notekūdeņiem un bioatkritumiem, un rosināt pētniekus nākt klajā ar inovatīviem, tirgus vajadzībām, sabiedrības vajadzībām un vides aizsardzības rīcībpolitikām atbilstošiem ražojumiem. </w:t>
      </w:r>
      <w:r>
        <w:rPr>
          <w:i/>
          <w:noProof/>
        </w:rPr>
        <w:t>Bio Based Industries Joint Undertaking</w:t>
      </w:r>
      <w:r>
        <w:rPr>
          <w:noProof/>
        </w:rPr>
        <w:t xml:space="preserve"> par jaunu un ekonomiski daudzsološu vērtību ķēdi, kuras izejas punkts ir (organiskie) atkritumi, ir apzinājis, piemēram, fosfora pārstrādi mēslošanas līdzekļu ražošanai</w:t>
      </w:r>
      <w:r>
        <w:rPr>
          <w:rStyle w:val="FootnoteReference"/>
          <w:noProof/>
        </w:rPr>
        <w:footnoteReference w:id="7"/>
      </w:r>
      <w:r>
        <w:rPr>
          <w:noProof/>
        </w:rPr>
        <w:t>. Priekšnosacījums tam, lai sasniegtu šos mērķus un pētniecības rezultātus ieviestu tirgū, ir šādiem mēslošanas līdzekļiem pavērt vieglu piekļuvi iekšējam tirgum.</w:t>
      </w:r>
    </w:p>
    <w:p>
      <w:pPr>
        <w:pStyle w:val="ManualHeading1"/>
        <w:rPr>
          <w:noProof/>
        </w:rPr>
      </w:pPr>
      <w:r>
        <w:rPr>
          <w:noProof/>
        </w:rPr>
        <w:t>2.</w:t>
      </w:r>
      <w:r>
        <w:rPr>
          <w:noProof/>
        </w:rPr>
        <w:tab/>
        <w:t>JURIDISKAIS PAMATS, SUBSIDIARITĀTE UN PROPORCIONALITĀTE</w:t>
      </w:r>
    </w:p>
    <w:p>
      <w:pPr>
        <w:pStyle w:val="ManualHeading2"/>
        <w:rPr>
          <w:rFonts w:eastAsia="Arial Unicode MS"/>
          <w:noProof/>
          <w:bdr w:val="none" w:sz="0" w:space="0" w:color="auto" w:frame="1"/>
        </w:rPr>
      </w:pPr>
      <w:r>
        <w:rPr>
          <w:noProof/>
        </w:rPr>
        <w:t>•</w:t>
      </w:r>
      <w:r>
        <w:rPr>
          <w:noProof/>
        </w:rPr>
        <w:tab/>
        <w:t>Juridiskais pamats</w:t>
      </w:r>
    </w:p>
    <w:p>
      <w:pPr>
        <w:pStyle w:val="ManualNumPar1"/>
        <w:rPr>
          <w:noProof/>
        </w:rPr>
      </w:pPr>
      <w:r>
        <w:t>20.</w:t>
      </w:r>
      <w:r>
        <w:tab/>
      </w:r>
      <w:r>
        <w:rPr>
          <w:noProof/>
        </w:rPr>
        <w:t xml:space="preserve">Priekšlikuma mērķis ir uzlabot, kā darbojas mēslošanas līdzekļu iekšējais tirgus, šajā nolūkā risinot problēmas, kas pirmoreiz tika apzinātas spēkā esošās Mēslošanas līdzekļu regulas </w:t>
      </w:r>
      <w:r>
        <w:rPr>
          <w:i/>
          <w:noProof/>
        </w:rPr>
        <w:t xml:space="preserve">ex-post </w:t>
      </w:r>
      <w:r>
        <w:rPr>
          <w:noProof/>
        </w:rPr>
        <w:t>izvērtējumā, kuru veica 2010. gadā.</w:t>
      </w:r>
      <w:r>
        <w:t xml:space="preserve"> </w:t>
      </w:r>
      <w:r>
        <w:rPr>
          <w:noProof/>
        </w:rPr>
        <w:t>Tāpēc juridiskais pamats ir Līguma par Eiropas Savienības darbību 114. pants, kas ir arī spēkā esošās Mēslošanas līdzekļu regulas juridiskais pamats.</w:t>
      </w:r>
    </w:p>
    <w:p>
      <w:pPr>
        <w:pStyle w:val="ManualHeading2"/>
        <w:rPr>
          <w:rFonts w:eastAsia="Arial Unicode MS"/>
          <w:noProof/>
          <w:bdr w:val="none" w:sz="0" w:space="0" w:color="auto" w:frame="1"/>
        </w:rPr>
      </w:pPr>
      <w:r>
        <w:rPr>
          <w:noProof/>
        </w:rPr>
        <w:t>•</w:t>
      </w:r>
      <w:r>
        <w:rPr>
          <w:noProof/>
        </w:rPr>
        <w:tab/>
        <w:t xml:space="preserve">Subsidiaritāte (neekskluzīvas kompetences gadījumā) </w:t>
      </w:r>
    </w:p>
    <w:p>
      <w:pPr>
        <w:pStyle w:val="ManualNumPar1"/>
        <w:rPr>
          <w:noProof/>
        </w:rPr>
      </w:pPr>
      <w:r>
        <w:t>21.</w:t>
      </w:r>
      <w:r>
        <w:tab/>
      </w:r>
      <w:r>
        <w:rPr>
          <w:noProof/>
        </w:rPr>
        <w:t xml:space="preserve">Pirmais ierosinātā pasākuma mērķis ir palielināt ražošanas investīcijas iedarbīgiem, drošiem un inovatīviem mēslošanas līdzekļiem, kas saskaņā ar aprites ekonomikas modeli un Bioekonomikas stratēģiju saražoti no organiskiem vai otrreizējiem jēlmateriāliem, kā arī sekmēt šādu mēslošanas līdzekļu ieviešanu, palīdzot šādiem mēslošanas līdzekļiem gūt piekļuvi visam iekšējam tirgum un tādējādi tiem palīdzot sasniegt kritisko masu. Efektīvāk izmantojot šādus mēslošanas līdzekļus, var rasties būtiski ieguvumi videi, mazināties importatkarība attiecībā uz kritiski svarīgiem jēlmateriāliem no valstīm ārpus Eiropas Savienības un lauksaimniekiem var kļūt pieejama plašāka augsti kvalitatīvu mēslošanas līdzekļu daudzveidība. Dalībvalstu vienpusēja rīcība nevar likvidēt šķēršļus, kas pastāv šādu ražojumu brīvai apritei, — atšķirīgos nacionālos regulējumus. Īpaši grūta šajā jomā ir izrādījusies savstarpējā atzīšana, un tā kļūst par arvien nozīmīgāku šķērsli, jo interese par kvalitatīvu mēslošanas līdzekļu ražošanu no organiskiem vai otrreizējiem jēlmateriāliem arvien aug. No otras puses, ES rīcība, noteicot saskaņotus un augstus kvalitātes, drošuma un vides kritērijus, varētu nodrošināt šādu mēslošanas līdzekļu brīvu apriti. </w:t>
      </w:r>
    </w:p>
    <w:p>
      <w:pPr>
        <w:pStyle w:val="ManualNumPar1"/>
        <w:rPr>
          <w:noProof/>
        </w:rPr>
      </w:pPr>
      <w:r>
        <w:t>22.</w:t>
      </w:r>
      <w:r>
        <w:tab/>
      </w:r>
      <w:r>
        <w:rPr>
          <w:noProof/>
        </w:rPr>
        <w:t xml:space="preserve">Otrais mērķis ir novērst augsnes un pārtikas kontaminētību ar kadmiju, kuru rada mēslošanas līdzekļu lietošana. Tā kā lielākā daļa mēslošanas līdzekļu, kuru dēļ rodas šīs bažas (t.i. neorganiskie fosfātu mēsli) jau ir saskaņoti, dalībvalstis šo mērķi nevar sasniegt vienpusēji. No otras puses, ES mēroga maksimālie līmeņi kontaminantu daudzumu saskaņotajos mēslošanas līdzekļos var faktiski samazināt līdz drošākam līmenim. </w:t>
      </w:r>
    </w:p>
    <w:p>
      <w:pPr>
        <w:pStyle w:val="ManualHeading2"/>
        <w:rPr>
          <w:rFonts w:eastAsia="Arial Unicode MS"/>
          <w:noProof/>
          <w:bdr w:val="none" w:sz="0" w:space="0" w:color="auto" w:frame="1"/>
        </w:rPr>
      </w:pPr>
      <w:r>
        <w:rPr>
          <w:noProof/>
        </w:rPr>
        <w:t>•</w:t>
      </w:r>
      <w:r>
        <w:rPr>
          <w:noProof/>
        </w:rPr>
        <w:tab/>
        <w:t>Proporcionalitāte</w:t>
      </w:r>
    </w:p>
    <w:p>
      <w:pPr>
        <w:pStyle w:val="ManualNumPar1"/>
        <w:rPr>
          <w:noProof/>
        </w:rPr>
      </w:pPr>
      <w:r>
        <w:t>23.</w:t>
      </w:r>
      <w:r>
        <w:tab/>
      </w:r>
      <w:r>
        <w:rPr>
          <w:noProof/>
        </w:rPr>
        <w:t>Iniciatīvas pirmais mērķis ir palielināt investīcijas tādu iedarbīgu, drošu un inovatīvu mēslošanas līdzekļu ražošanā, kas iegūti no organiskiem vai otrreizējiem jēlmateriāliem, un rast ar to saistītus ieguvumus arī attiecībā uz vidi, mazāku importatkarību un arvien plašāku augsti kvalitatīvu ražojumu piedāvājumu. Iniciatīvas mērķis ir panākt, ka iekšējā tirgū attiecībā uz šādiem mēslošanas līdzekļiem tiek sasniegta kritiskā masa. Nesaskaņotu mēslošanas līdzekļu savstarpējā atzīšana vēsturiski ir izrādījusies ārkārtīgi grūta, savukārt neorganisku mēslošanas līdzekļu piekļuvi iekšējam tirgum ir faktiski nodrošinājuši ražojumu saskaņošanas jomas tiesību akti. Tāpēc ir secināts, ka attiecībā uz mēslošanas līdzekļiem no organiskiem vai otrreizējiem jēlmateriāliem ražojumu saskaņošanas jomas tiesību aktos ir paredzēti tikai tādi pasākumi, kas vajadzīgi, lai izveidotu stimulus lielapjoma investīcijām aprites ekonomikā. Šajā priekšlikumā izraudzītā regulējuma metode uzņēmējiem atvēl maksimālu elastību attiecībā uz jaunu ražojumu laišanu tirgū, nepazeminot drošumu un kvalitāti. Turklāt tas dalībvalstīm atvēl brīvi lemt, kā tirgū laist nesaskaņotus mēslošanas līdzekļus, tādiem uzņēmējiem, kas meklē lielākus tirgus, neliedzot iespēju izraudzīties saskaņotā regulējuma priekšrocības.</w:t>
      </w:r>
    </w:p>
    <w:p>
      <w:pPr>
        <w:pStyle w:val="ManualNumPar1"/>
        <w:rPr>
          <w:noProof/>
        </w:rPr>
      </w:pPr>
      <w:r>
        <w:t>24.</w:t>
      </w:r>
      <w:r>
        <w:tab/>
      </w:r>
      <w:r>
        <w:rPr>
          <w:noProof/>
        </w:rPr>
        <w:t xml:space="preserve">Ir uzskatāms, ka mēslošanas līdzekļu jomā, kas ir tehniski ļoti sarežģīta un var ietekmēt pārtikas aprites ķēdi un vidi, ražojumu saskaņošanai regulas forma ir vispiemērotākā. Šo secinājumu balsta arī fakts, ka arī spēkā esošais saskaņošanas tiesību akts attiecībā uz mēslošanas līdzekļiem ir regula. </w:t>
      </w:r>
    </w:p>
    <w:p>
      <w:pPr>
        <w:pStyle w:val="ManualNumPar1"/>
        <w:rPr>
          <w:noProof/>
        </w:rPr>
      </w:pPr>
      <w:r>
        <w:t>25.</w:t>
      </w:r>
      <w:r>
        <w:tab/>
      </w:r>
      <w:r>
        <w:rPr>
          <w:noProof/>
        </w:rPr>
        <w:t xml:space="preserve">Attiecībā uz otro mērķi, proti, novērst augsnes un pārtikas kontaminētību ar kadmiju, kuras cēlonis ir tādu mēslošanas līdzekļu lietošana, no kuriem daudzi jau ir saskaņoti, par iedarbīgu līdzekli problēmas risināšanai tās saknē uzskatāma maksimālo līmeņu noteikšana ražojumus reglamentējošos tiesību aktos. Uzskatāms, ka ekonomiskā ietekme ir samērīga ar mērķi nepieļaut nelabojamu augsnes kontaminētību, kas turpinās ietekmēt pašreizējo lauksaimnieku un pārtikas patērētāju paaudzi un nākamās paaudzes. </w:t>
      </w:r>
    </w:p>
    <w:p>
      <w:pPr>
        <w:pStyle w:val="ManualNumPar1"/>
        <w:rPr>
          <w:noProof/>
        </w:rPr>
      </w:pPr>
      <w:r>
        <w:t>26.</w:t>
      </w:r>
      <w:r>
        <w:tab/>
      </w:r>
      <w:r>
        <w:rPr>
          <w:noProof/>
        </w:rPr>
        <w:t>Proporcionalitātes jautājums ir tālāk aplūkots Ietekmes novērtējuma 4.2.2. sadaļā.</w:t>
      </w:r>
    </w:p>
    <w:p>
      <w:pPr>
        <w:pStyle w:val="ManualHeading2"/>
        <w:rPr>
          <w:rFonts w:eastAsia="Arial Unicode MS"/>
          <w:noProof/>
          <w:bdr w:val="none" w:sz="0" w:space="0" w:color="auto" w:frame="1"/>
        </w:rPr>
      </w:pPr>
      <w:r>
        <w:rPr>
          <w:noProof/>
        </w:rPr>
        <w:t>•</w:t>
      </w:r>
      <w:r>
        <w:rPr>
          <w:noProof/>
        </w:rPr>
        <w:tab/>
        <w:t>Instrumenta izvēle</w:t>
      </w:r>
    </w:p>
    <w:p>
      <w:pPr>
        <w:pStyle w:val="ManualNumPar1"/>
        <w:rPr>
          <w:noProof/>
        </w:rPr>
      </w:pPr>
      <w:r>
        <w:t>27.</w:t>
      </w:r>
      <w:r>
        <w:tab/>
      </w:r>
      <w:r>
        <w:rPr>
          <w:noProof/>
        </w:rPr>
        <w:t>Ir uzskatāms, ka mēslošanas līdzekļu jomā, kas ir tehniski ļoti sarežģīta un var ietekmēt pārtikas aprites ķēdi un vidi, ražojumu saskaņošanai regulas forma ir vispiemērotākā. Šo secinājumu balsta arī fakts, ka arī spēkā esošais saskaņošanas tiesību akts attiecībā uz mēslošanas līdzekļiem ir regula.</w:t>
      </w:r>
    </w:p>
    <w:p>
      <w:pPr>
        <w:pStyle w:val="ManualHeading1"/>
        <w:rPr>
          <w:noProof/>
        </w:rPr>
      </w:pPr>
      <w:r>
        <w:rPr>
          <w:noProof/>
        </w:rPr>
        <w:t>3.</w:t>
      </w:r>
      <w:r>
        <w:rPr>
          <w:noProof/>
        </w:rPr>
        <w:tab/>
      </w:r>
      <w:r>
        <w:rPr>
          <w:i/>
          <w:noProof/>
        </w:rPr>
        <w:t xml:space="preserve">EX POST </w:t>
      </w:r>
      <w:r>
        <w:rPr>
          <w:noProof/>
        </w:rPr>
        <w:t>IZVĒRTĒJUMU, APSPRIEŠANĀS AR IEINTERESĒTAJĀM PERSONĀM UN IETEKMES NOVĒRTĒJUMU REZULTĀTI</w:t>
      </w:r>
    </w:p>
    <w:p>
      <w:pPr>
        <w:pStyle w:val="ManualHeading2"/>
        <w:rPr>
          <w:rFonts w:eastAsia="Arial Unicode MS"/>
          <w:noProof/>
          <w:bdr w:val="none" w:sz="0" w:space="0" w:color="auto" w:frame="1"/>
        </w:rPr>
      </w:pPr>
      <w:r>
        <w:rPr>
          <w:noProof/>
        </w:rPr>
        <w:t>•</w:t>
      </w:r>
      <w:r>
        <w:rPr>
          <w:noProof/>
        </w:rPr>
        <w:tab/>
        <w:t>Ex-post izvērtējumi/atbilstības pārbaudes attiecībā uz spēkā esošajiem tiesību aktiem</w:t>
      </w:r>
    </w:p>
    <w:p>
      <w:pPr>
        <w:pStyle w:val="ManualNumPar1"/>
        <w:rPr>
          <w:noProof/>
        </w:rPr>
      </w:pPr>
      <w:r>
        <w:t>28.</w:t>
      </w:r>
      <w:r>
        <w:tab/>
      </w:r>
      <w:r>
        <w:rPr>
          <w:noProof/>
        </w:rPr>
        <w:t xml:space="preserve">2010. gadā veiktais spēkā esošās Mēslošanas līdzekļu regulas </w:t>
      </w:r>
      <w:r>
        <w:rPr>
          <w:i/>
          <w:noProof/>
        </w:rPr>
        <w:t>ex-post</w:t>
      </w:r>
      <w:r>
        <w:rPr>
          <w:noProof/>
        </w:rPr>
        <w:t xml:space="preserve"> izvērtējumā secināts</w:t>
      </w:r>
      <w:r>
        <w:rPr>
          <w:rStyle w:val="FootnoteReference"/>
          <w:noProof/>
        </w:rPr>
        <w:footnoteReference w:id="8"/>
      </w:r>
      <w:r>
        <w:rPr>
          <w:noProof/>
        </w:rPr>
        <w:t xml:space="preserve">, ka regula faktiski sasniegusi savu mērķi — vienkāršot un saskaņot tiesisko regulējumu attiecībā uz svarīgu mēslošanas līdzekļu tirgus daļu. </w:t>
      </w:r>
    </w:p>
    <w:p>
      <w:pPr>
        <w:pStyle w:val="ManualNumPar1"/>
        <w:rPr>
          <w:rFonts w:eastAsia="Arial Unicode MS"/>
          <w:noProof/>
        </w:rPr>
      </w:pPr>
      <w:r>
        <w:t>29.</w:t>
      </w:r>
      <w:r>
        <w:tab/>
      </w:r>
      <w:r>
        <w:rPr>
          <w:noProof/>
        </w:rPr>
        <w:t>Tomēr izvērtējumā arī secināts, ka regula varētu sekmīgāk veicināt inovatīvu mēslošanas līdzekļu ieviešanu un ka būs vajadzīgi pielāgojumi, kas labāk aizsargātu vidi. Turklāt attiecībā uz organiskajiem mēslošanas līdzekļiem, ko regula pašlaik neaptver, izvērtējums liecināja, ka ne uzņēmēji, ne valstu iestādes neuzskata, ka brīvu apriti vislabāk nodrošināt ar savstarpējo atzīšanu, jo attiecībā uz tādiem ražojumiem kā mēslošanas līdzekļi stingrus noteikumus var diktēt likumīgas bažas par ražojumu kvalitāti, vidi vai cilvēka veselību.</w:t>
      </w:r>
    </w:p>
    <w:p>
      <w:pPr>
        <w:pStyle w:val="ManualHeading2"/>
        <w:rPr>
          <w:rFonts w:eastAsia="Arial Unicode MS"/>
          <w:noProof/>
          <w:bdr w:val="none" w:sz="0" w:space="0" w:color="auto" w:frame="1"/>
        </w:rPr>
      </w:pPr>
      <w:r>
        <w:rPr>
          <w:noProof/>
        </w:rPr>
        <w:t>•</w:t>
      </w:r>
      <w:r>
        <w:rPr>
          <w:noProof/>
        </w:rPr>
        <w:tab/>
        <w:t>Apspriešanās ar ieinteresētajām personām</w:t>
      </w:r>
    </w:p>
    <w:p>
      <w:pPr>
        <w:pStyle w:val="ManualNumPar1"/>
        <w:rPr>
          <w:rFonts w:eastAsia="Arial Unicode MS"/>
          <w:noProof/>
        </w:rPr>
      </w:pPr>
      <w:r>
        <w:t>30.</w:t>
      </w:r>
      <w:r>
        <w:tab/>
      </w:r>
      <w:r>
        <w:rPr>
          <w:noProof/>
        </w:rPr>
        <w:t>Plaša konsultēšanās ar dalībvalstīm un citām ieinteresētajām personām, jo īpaši Mēslošanas līdzekļu darba grupas kontekstā</w:t>
      </w:r>
      <w:r>
        <w:rPr>
          <w:rStyle w:val="FootnoteReference"/>
          <w:noProof/>
        </w:rPr>
        <w:footnoteReference w:id="9"/>
      </w:r>
      <w:r>
        <w:rPr>
          <w:noProof/>
        </w:rPr>
        <w:t>, ir īstenota sagatavošanās fāzē, kura sākās 2011. gadā. Ar šo tēmu saistīti jautājumi ietilpa arī sabiedriskajā apspriešanā par aprites ekonomiku</w:t>
      </w:r>
      <w:r>
        <w:rPr>
          <w:rStyle w:val="FootnoteReference"/>
          <w:noProof/>
        </w:rPr>
        <w:footnoteReference w:id="10"/>
      </w:r>
      <w:r>
        <w:rPr>
          <w:noProof/>
        </w:rPr>
        <w:t>, kas tika publiskota 2015. gada maijā. Ieinteresētās personas tika aicinātas arī iesniegt atsauksmes par Mēslošanas līdzekļu regulas pārskatīšanas ceļvedi</w:t>
      </w:r>
      <w:r>
        <w:rPr>
          <w:rStyle w:val="FootnoteReference"/>
          <w:noProof/>
        </w:rPr>
        <w:footnoteReference w:id="11"/>
      </w:r>
      <w:r>
        <w:rPr>
          <w:noProof/>
        </w:rPr>
        <w:t>, ko publiskoja 2015. gada 22. oktobrī.</w:t>
      </w:r>
    </w:p>
    <w:p>
      <w:pPr>
        <w:pStyle w:val="ManualHeading2"/>
        <w:rPr>
          <w:rFonts w:eastAsia="Arial Unicode MS"/>
          <w:noProof/>
          <w:bdr w:val="none" w:sz="0" w:space="0" w:color="auto" w:frame="1"/>
        </w:rPr>
      </w:pPr>
      <w:r>
        <w:rPr>
          <w:noProof/>
        </w:rPr>
        <w:t>•</w:t>
      </w:r>
      <w:r>
        <w:rPr>
          <w:noProof/>
        </w:rPr>
        <w:tab/>
        <w:t>Ekspertu atzinumu pieprasīšana un izmantošana</w:t>
      </w:r>
    </w:p>
    <w:p>
      <w:pPr>
        <w:pStyle w:val="ManualNumPar1"/>
        <w:rPr>
          <w:noProof/>
        </w:rPr>
      </w:pPr>
      <w:r>
        <w:t>31.</w:t>
      </w:r>
      <w:r>
        <w:tab/>
      </w:r>
      <w:r>
        <w:rPr>
          <w:noProof/>
        </w:rPr>
        <w:t xml:space="preserve">Esošais Ietekmes novērtējuma ziņojuma projekts lielā mērā balstās uz iepriekš minēto Mēslošanas līdzekļu regulas 2010. gada </w:t>
      </w:r>
      <w:r>
        <w:rPr>
          <w:i/>
          <w:noProof/>
        </w:rPr>
        <w:t>ex-post</w:t>
      </w:r>
      <w:r>
        <w:rPr>
          <w:noProof/>
        </w:rPr>
        <w:t xml:space="preserve"> izvērtējumu, kā arī uz 2011. gada pētījumu par iespējām pilnīgi saskaņot ES tiesību aktus par mēslošanas līdzekļu materiāliem, ieskaitot tehnisko īstenojamību, ietekmi uz vidi, ekonomiku un sociālo jomu</w:t>
      </w:r>
      <w:r>
        <w:rPr>
          <w:rStyle w:val="FootnoteReference"/>
          <w:noProof/>
        </w:rPr>
        <w:footnoteReference w:id="12"/>
      </w:r>
      <w:r>
        <w:rPr>
          <w:noProof/>
        </w:rPr>
        <w:t>.</w:t>
      </w:r>
    </w:p>
    <w:p>
      <w:pPr>
        <w:pStyle w:val="ManualNumPar1"/>
        <w:rPr>
          <w:noProof/>
        </w:rPr>
      </w:pPr>
      <w:r>
        <w:t>32.</w:t>
      </w:r>
      <w:r>
        <w:tab/>
      </w:r>
      <w:r>
        <w:rPr>
          <w:noProof/>
        </w:rPr>
        <w:t>Fosfora pārstrāde ir aplūkota arī FP7 pētniecības projektos, kuru rezultāti ir analizēti Berlīnas 2015. gada 4. marta seminārā "Aprites ekonomikas pieeja attiecībā uz fosforu: no pētniecības līdz ieviešanai"</w:t>
      </w:r>
      <w:r>
        <w:rPr>
          <w:rStyle w:val="FootnoteReference"/>
          <w:noProof/>
        </w:rPr>
        <w:footnoteReference w:id="13"/>
      </w:r>
      <w:r>
        <w:rPr>
          <w:noProof/>
        </w:rPr>
        <w:t>. Viena no apzinātajām prioritātēm ir pārskatīt ES Mēslošanas līdzekļu regulu, lai tās tvērumu paplašinātu ar barības elementiem no otrreizējiem avotiem (piem., pārstrādātiem fosfātiem) un organiskiem elementiem.</w:t>
      </w:r>
    </w:p>
    <w:p>
      <w:pPr>
        <w:pStyle w:val="ManualHeading2"/>
        <w:rPr>
          <w:rFonts w:eastAsia="Arial Unicode MS"/>
          <w:noProof/>
          <w:bdr w:val="none" w:sz="0" w:space="0" w:color="auto" w:frame="1"/>
        </w:rPr>
      </w:pPr>
      <w:r>
        <w:rPr>
          <w:noProof/>
        </w:rPr>
        <w:t>•</w:t>
      </w:r>
      <w:r>
        <w:rPr>
          <w:noProof/>
        </w:rPr>
        <w:tab/>
        <w:t>Ietekmes novērtējums</w:t>
      </w:r>
    </w:p>
    <w:p>
      <w:pPr>
        <w:pStyle w:val="ManualNumPar1"/>
        <w:rPr>
          <w:noProof/>
        </w:rPr>
      </w:pPr>
      <w:r>
        <w:t>33.</w:t>
      </w:r>
      <w:r>
        <w:tab/>
      </w:r>
      <w:r>
        <w:rPr>
          <w:noProof/>
        </w:rPr>
        <w:t>Pieteikums balstās uz ietekmes novērtējumu, kura pamatdokumenti piekļūstami [</w:t>
      </w:r>
      <w:r>
        <w:rPr>
          <w:i/>
          <w:noProof/>
        </w:rPr>
        <w:t>Once the IAR is published, insert link to the summary sheet and to the positive opinion of the Regulatory Scrutiny Board</w:t>
      </w:r>
      <w:r>
        <w:rPr>
          <w:noProof/>
        </w:rPr>
        <w:t xml:space="preserve">]. Tika ņemti vērā Ietekmes novērtējuma padomes viedokļi, sniedzot papildu pierādījumus par atšķirīgajiem nacionālajiem standartiem kā tirgus sadrumstalotības cēloni, precizējot dažādo novērtēto risinājumu saturu un labāk pamatojot priekšlikuma ietekmi. </w:t>
      </w:r>
    </w:p>
    <w:p>
      <w:pPr>
        <w:pStyle w:val="ManualNumPar1"/>
        <w:rPr>
          <w:noProof/>
        </w:rPr>
      </w:pPr>
      <w:r>
        <w:t>34.</w:t>
      </w:r>
      <w:r>
        <w:tab/>
      </w:r>
      <w:r>
        <w:rPr>
          <w:noProof/>
        </w:rPr>
        <w:t>Ietekmes novērtējumā pašreizējais stāvoklis (minēts kā 1. risinājums) ir salīdzināts ar citiem rīcībpolitiskiem risinājumiem (minēti kā 2.–5. risinājums). 2.–5. risinājumā saskaņošanas tvērums tiktu paplašināts, aptverot mēslus no organiskiem izejmateriāliem un citus mēsliem radniecīgus ražojumus, un attiecībā uz kontaminantiem tiktu ieviestas robežvērtības. Risinājumu pamatā būtu dažādi kontroles mehānismi: 2. risinājumā Mēslošanas līdzekļu regulas regulējuma metode, proti, tipa apstiprinājums, nemainītos. 3. risinājumā tipa apstiprinājumu aizstātu izsmeļošs saraksts ar materiāliem, ko ir atļauts ar nolūku iestrādāt mēslošanas līdzeklī. 4. risinājumā nepieciešamā kontrole tiktu panākta ar "Jaunā tiesiskā regulējuma" ("JTR") starpniecību, viscaur izmantojot vienu atbilstības novērtēšanas procedūru. Visbeidzot, arī 5. risinājuma pamatā būtu JTR, taču atbilstības novērtēšanas procedūra atšķirtos atkarībā no materiālu kategorijas. Attiecībā uz visiem četriem risinājumiem (2.–5.) tika aplūkots arī, vai saskaņošana būtu obligāta visiem mēslošanas līdzekļiem ar attiecīgu funkciju vai arī mēslošanas līdzekļu atbilstība saskaņotajiem tiesību aktiem varētu būt fakultatīva, kā alternatīva jebkādam spēkā esošam tiesību aktam un savstarpējai atzīšanai, kā tas patlaban ir attiecībā uz neorganiskajiem mēsliem.</w:t>
      </w:r>
    </w:p>
    <w:p>
      <w:pPr>
        <w:pStyle w:val="ManualNumPar1"/>
        <w:rPr>
          <w:noProof/>
        </w:rPr>
      </w:pPr>
      <w:r>
        <w:t>35.</w:t>
      </w:r>
      <w:r>
        <w:tab/>
      </w:r>
      <w:r>
        <w:rPr>
          <w:noProof/>
        </w:rPr>
        <w:t>Galīgais priekšlikums atbilst 5. risinājumam, kas papildināts ar fakultatīvas saskaņošanas variantu. Par labāko rīcībpolitisko izvēli to uzskatīja tāpēc, ka ar to tiktu panākta administratīva vienkāršošana, jo īpaši attiecībā uz mēslošanas līdzekļiem no labi identificētiem primāriem jēlmateriāliem, un nodrošināta elastība, vienlaikus gādājot, ka saskaņotu mēslošanas līdzekļu lietošana nerada nepieņemamus riskus veselībai vai videi.</w:t>
      </w:r>
    </w:p>
    <w:p>
      <w:pPr>
        <w:pStyle w:val="ManualNumPar1"/>
        <w:rPr>
          <w:noProof/>
        </w:rPr>
      </w:pPr>
      <w:r>
        <w:t>36.</w:t>
      </w:r>
      <w:r>
        <w:tab/>
      </w:r>
      <w:r>
        <w:rPr>
          <w:noProof/>
        </w:rPr>
        <w:t>Priekšlikums galvenokārt skars ražotājus, kuri no organiskiem vai otrreizējiem jēlmateriāliem atbilstoši aprites ekonomikas principiem ražo inovatīvus mēslošanas līdzekļus un kuriem, izmantojot krasi atvieglotu piekļuvi iekšējam tirgum, izdosies izveidot kritisko masu. Šādi ražotāji šo iniciatīvu varēs izmantot jo īpaši tajās dalībvalstīs, kurās attiecībā uz jauna veida mēslošanas līdzekļiem nav pietiekami liels iekšējais tirgus.</w:t>
      </w:r>
    </w:p>
    <w:p>
      <w:pPr>
        <w:pStyle w:val="ManualNumPar1"/>
        <w:rPr>
          <w:noProof/>
        </w:rPr>
      </w:pPr>
      <w:r>
        <w:t>37.</w:t>
      </w:r>
      <w:r>
        <w:tab/>
      </w:r>
      <w:r>
        <w:rPr>
          <w:noProof/>
        </w:rPr>
        <w:t xml:space="preserve">Tā skars arī privātus un publiskus uzņēmējus, kas nodarbojas ar reģenerēšanu (piem., notekūdeņu apstrādes stacijas vai atkritumu apsaimniekošanas stacijas, kurās tiek ražots komposts vai digestāts) un kas saviem izlaides produktiem varēs piešķirt jaunu vērtību, tādējādi sekmējot investīcijas šādā infrastruktūrā. </w:t>
      </w:r>
    </w:p>
    <w:p>
      <w:pPr>
        <w:pStyle w:val="ManualNumPar1"/>
        <w:rPr>
          <w:noProof/>
        </w:rPr>
      </w:pPr>
      <w:r>
        <w:t>38.</w:t>
      </w:r>
      <w:r>
        <w:tab/>
      </w:r>
      <w:r>
        <w:rPr>
          <w:noProof/>
        </w:rPr>
        <w:t xml:space="preserve">Nacionālās mēslošanas līdzekļu reģistrācijas vai atļauju piešķiršanas sistēmas pilnīgi vai daļēji aizstājot ar ES mēroga kontrolmehānismiem, daudzām valstu iestādēm samazināsies darba slodze. </w:t>
      </w:r>
    </w:p>
    <w:p>
      <w:pPr>
        <w:pStyle w:val="ManualNumPar1"/>
        <w:rPr>
          <w:noProof/>
        </w:rPr>
      </w:pPr>
      <w:r>
        <w:t>39.</w:t>
      </w:r>
      <w:r>
        <w:tab/>
      </w:r>
      <w:r>
        <w:rPr>
          <w:noProof/>
        </w:rPr>
        <w:t>Visbeidzot, ir varbūtīgi, ka lauksaimniekiem un citiem mēslošanas līdzekļu lietotājiem tiks piedāvāti daudzveidīgāki ražojumi, savukārt plašāka sabiedrība būs labāk aizsargāta no augsnes, ūdens un pārtikas kontaminētības.</w:t>
      </w:r>
    </w:p>
    <w:p>
      <w:pPr>
        <w:pStyle w:val="ManualHeading2"/>
        <w:rPr>
          <w:rFonts w:eastAsia="Arial Unicode MS"/>
          <w:noProof/>
          <w:bdr w:val="none" w:sz="0" w:space="0" w:color="auto" w:frame="1"/>
        </w:rPr>
      </w:pPr>
      <w:r>
        <w:rPr>
          <w:noProof/>
        </w:rPr>
        <w:t>•</w:t>
      </w:r>
      <w:r>
        <w:rPr>
          <w:noProof/>
        </w:rPr>
        <w:tab/>
        <w:t>Normatīvā atbilstība un vienkāršošana</w:t>
      </w:r>
    </w:p>
    <w:p>
      <w:pPr>
        <w:pStyle w:val="ManualNumPar1"/>
        <w:rPr>
          <w:noProof/>
        </w:rPr>
      </w:pPr>
      <w:r>
        <w:t>40.</w:t>
      </w:r>
      <w:r>
        <w:tab/>
      </w:r>
      <w:r>
        <w:rPr>
          <w:noProof/>
        </w:rPr>
        <w:t>Priekšlikums novedīs pie tā, ka vienkāršosies un samazināsies administratīvais slogs mēslošanas līdzekļu ražotājiem, kuri cenšas ES tirgū gūt piekļuvi vairāk nekā vienas valsts teritorijai, jo šāda piekļuve vairs nebūs atkarīga no savstarpējas atzīšanas. Turklāt, saglabājot atvērtu iespēju piekļūt nacionālajiem tirgiem uz nacionālo noteikumu un savstarpējās atzīšanas pamata, netiks liegta vai ierobežota tirgus piekļuve ražotājiem, kuriem nav mērķa nodrošināt atbilstību ES līmeņa noteikumiem.</w:t>
      </w:r>
    </w:p>
    <w:p>
      <w:pPr>
        <w:pStyle w:val="ManualHeading1"/>
        <w:rPr>
          <w:noProof/>
        </w:rPr>
      </w:pPr>
      <w:r>
        <w:rPr>
          <w:noProof/>
        </w:rPr>
        <w:t>4.</w:t>
      </w:r>
      <w:r>
        <w:rPr>
          <w:noProof/>
        </w:rPr>
        <w:tab/>
        <w:t>IETEKME UZ BUDŽETU</w:t>
      </w:r>
    </w:p>
    <w:p>
      <w:pPr>
        <w:pStyle w:val="ManualNumPar1"/>
        <w:rPr>
          <w:noProof/>
        </w:rPr>
      </w:pPr>
      <w:r>
        <w:t>41.</w:t>
      </w:r>
      <w:r>
        <w:tab/>
      </w:r>
      <w:r>
        <w:rPr>
          <w:noProof/>
        </w:rPr>
        <w:t>Priekšlikums neietekmēs Savienības budžetu. Salīdzinājumā ar spēkā esošās Mēslošanas līdzekļu regulas īstenošanu cilvēkresursu un administratīvo resursu vajadzības Eiropas Komisijā nemainīsies.</w:t>
      </w:r>
    </w:p>
    <w:p>
      <w:pPr>
        <w:pStyle w:val="ManualHeading1"/>
        <w:rPr>
          <w:noProof/>
        </w:rPr>
      </w:pPr>
      <w:r>
        <w:rPr>
          <w:noProof/>
        </w:rPr>
        <w:t>5.</w:t>
      </w:r>
      <w:r>
        <w:rPr>
          <w:noProof/>
        </w:rPr>
        <w:tab/>
        <w:t>CITI ELEMENTI</w:t>
      </w:r>
    </w:p>
    <w:p>
      <w:pPr>
        <w:pStyle w:val="ManualHeading2"/>
        <w:rPr>
          <w:rFonts w:eastAsia="Arial Unicode MS"/>
          <w:noProof/>
          <w:bdr w:val="none" w:sz="0" w:space="0" w:color="auto" w:frame="1"/>
        </w:rPr>
      </w:pPr>
      <w:r>
        <w:rPr>
          <w:noProof/>
        </w:rPr>
        <w:t>•</w:t>
      </w:r>
      <w:r>
        <w:rPr>
          <w:noProof/>
        </w:rPr>
        <w:tab/>
        <w:t>Īstenošanas plāni un pārraudzības, izvērtēšanas un ziņojumu sniegšanas kārtība</w:t>
      </w:r>
    </w:p>
    <w:p>
      <w:pPr>
        <w:pStyle w:val="ManualNumPar1"/>
        <w:rPr>
          <w:noProof/>
        </w:rPr>
      </w:pPr>
      <w:r>
        <w:t>42.</w:t>
      </w:r>
      <w:r>
        <w:tab/>
      </w:r>
      <w:r>
        <w:rPr>
          <w:noProof/>
        </w:rPr>
        <w:t xml:space="preserve">Eiropas Komisija palīdzēs dalībvalstīm īstenot šo regulu un uzraudzīs šo procesu. Tā arī analizēs, kādas vadlīnijas, standarti vai mēslošanas līdzekļu ilgtspējību apliecinošas shēmas ir nepieciešamas, tādējādi dodot iespēju mēslošanas līdzekļa etiķetē ietvert norādes par ilgtspējību. </w:t>
      </w:r>
    </w:p>
    <w:p>
      <w:pPr>
        <w:pStyle w:val="ManualNumPar1"/>
        <w:rPr>
          <w:noProof/>
        </w:rPr>
      </w:pPr>
      <w:r>
        <w:t>43.</w:t>
      </w:r>
      <w:r>
        <w:tab/>
      </w:r>
      <w:r>
        <w:rPr>
          <w:noProof/>
        </w:rPr>
        <w:t>Komisija turklāt ir paredzējusi pielikumos iekļaut papildu komponentmateriālu kategorijas, lai neatpaliktu no tehniskās attīstības, kas dod iespēju drošus un iedarbīgus mēslošanas līdzekļus ražot no reģenerētiem otrreizējiem jēlmateriāliem, piem., biokokoglēm, pelniem un struvīta. Visbeidzot, Komisija pielikumos izvirzītās prasības pastāvīgi pārraudzīs un vienmēr, kad būs nepieciešams nodrošināt pietiekamu aizsardzību cilvēka, dzīvnieku vai augu veselībai, drošībai vai videi, tās pārskatīs.</w:t>
      </w:r>
    </w:p>
    <w:p>
      <w:pPr>
        <w:pStyle w:val="ManualHeading2"/>
        <w:rPr>
          <w:rFonts w:eastAsia="Arial Unicode MS"/>
          <w:noProof/>
          <w:bdr w:val="none" w:sz="0" w:space="0" w:color="auto" w:frame="1"/>
        </w:rPr>
      </w:pPr>
      <w:r>
        <w:rPr>
          <w:noProof/>
        </w:rPr>
        <w:t>•</w:t>
      </w:r>
      <w:r>
        <w:rPr>
          <w:noProof/>
        </w:rPr>
        <w:tab/>
        <w:t>Priekšlikuma noteikumu sīkāks skaidrojums</w:t>
      </w:r>
    </w:p>
    <w:p>
      <w:pPr>
        <w:pStyle w:val="ManualNumPar1"/>
        <w:rPr>
          <w:noProof/>
        </w:rPr>
      </w:pPr>
      <w:r>
        <w:t>44.</w:t>
      </w:r>
      <w:r>
        <w:tab/>
      </w:r>
      <w:r>
        <w:rPr>
          <w:noProof/>
        </w:rPr>
        <w:t xml:space="preserve">Ierosinātās regulas 1. nodaļā ir norādīti tās priekšmets, darbības joma un definīcijas, kā arī aprakstīti tādi pamatprincipi kā brīva aprite un </w:t>
      </w:r>
      <w:r>
        <w:rPr>
          <w:i/>
          <w:noProof/>
        </w:rPr>
        <w:t>CE</w:t>
      </w:r>
      <w:r>
        <w:rPr>
          <w:noProof/>
        </w:rPr>
        <w:t xml:space="preserve">-marķētu mēslošanas līdzekļu tirgošana. Norma, kas attiecas uz ražojumiem izvirzītajām prasībām, atsaucas uz I un II pielikumu, kuros izklāstītas būtiskās prasības attiecībā uz gatavo mēslošanas līdzekļu kategorijām, kas atbilst to paredzētajai funkcijai (I pielikums), un attiecībā uz to komponentmateriālu kategorijām, kuri drīkst būt </w:t>
      </w:r>
      <w:r>
        <w:rPr>
          <w:i/>
          <w:noProof/>
        </w:rPr>
        <w:t>CE</w:t>
      </w:r>
      <w:r>
        <w:rPr>
          <w:noProof/>
        </w:rPr>
        <w:t>-marķētu mēslošanas līdzekļu saturā (II pielikums). Tā atsaucas arī uz III pielikumu, kurā specificētas marķēšanas prasības.</w:t>
      </w:r>
    </w:p>
    <w:p>
      <w:pPr>
        <w:pStyle w:val="ManualNumPar1"/>
        <w:rPr>
          <w:noProof/>
        </w:rPr>
      </w:pPr>
      <w:r>
        <w:t>45.</w:t>
      </w:r>
      <w:r>
        <w:tab/>
      </w:r>
      <w:r>
        <w:rPr>
          <w:noProof/>
        </w:rPr>
        <w:t xml:space="preserve">2. nodaļā ir noteikti </w:t>
      </w:r>
      <w:r>
        <w:rPr>
          <w:i/>
          <w:noProof/>
        </w:rPr>
        <w:t>CE</w:t>
      </w:r>
      <w:r>
        <w:rPr>
          <w:noProof/>
        </w:rPr>
        <w:t xml:space="preserve">-marķētu tirgū pieejamu mēslošanas līdzekļu izgatavošanā iesaistīto uzņēmēju pienākumi. </w:t>
      </w:r>
    </w:p>
    <w:p>
      <w:pPr>
        <w:pStyle w:val="ManualNumPar1"/>
        <w:rPr>
          <w:noProof/>
        </w:rPr>
      </w:pPr>
      <w:r>
        <w:t>46.</w:t>
      </w:r>
      <w:r>
        <w:tab/>
      </w:r>
      <w:r>
        <w:rPr>
          <w:noProof/>
        </w:rPr>
        <w:t xml:space="preserve">3. nodaļā ir aprakstīts </w:t>
      </w:r>
      <w:r>
        <w:rPr>
          <w:i/>
          <w:noProof/>
        </w:rPr>
        <w:t>CE</w:t>
      </w:r>
      <w:r>
        <w:rPr>
          <w:noProof/>
        </w:rPr>
        <w:t xml:space="preserve">-marķētu mēslošanas līdzekļu atbilstības vispārīgais princips. Tā atsaucas uz IV pielikumu, kurā ir detalizēti aprakstītas atbilstības novērtēšanas procedūras, kas jāpiemēro </w:t>
      </w:r>
      <w:r>
        <w:rPr>
          <w:i/>
          <w:noProof/>
        </w:rPr>
        <w:t>CE</w:t>
      </w:r>
      <w:r>
        <w:rPr>
          <w:noProof/>
        </w:rPr>
        <w:t>-marķētajiem mēslošanas līdzekļiem atkarībā no tā, pie kādām kategorijām pieder to komponentmateriāli un pie kādas mēslošanas līdzekļa funkcionālās kategorijas tie paši pieder. Tā atsaucas arī uz V pielikumu, kurā ir sniegta ES atbilstības deklarācijas parauga struktūra.</w:t>
      </w:r>
    </w:p>
    <w:p>
      <w:pPr>
        <w:pStyle w:val="ManualNumPar1"/>
        <w:rPr>
          <w:noProof/>
        </w:rPr>
      </w:pPr>
      <w:r>
        <w:t>47.</w:t>
      </w:r>
      <w:r>
        <w:tab/>
      </w:r>
      <w:r>
        <w:rPr>
          <w:noProof/>
        </w:rPr>
        <w:t>4. nodaļas normas reglamentē paziņotās iestādes, un 5. nodaļas normas reglamentē tirgus uzraudzību. 6. nodaļa satur noteikumus, pēc kādiem Komisija pieņem deleģētos aktus un īstenošanas aktus, savukārt 7. nodaļā ir sniegti nobeiguma noteikumi.</w:t>
      </w:r>
      <w:r>
        <w:rPr>
          <w:noProof/>
          <w:szCs w:val="24"/>
          <w:lang w:eastAsia="en-GB" w:bidi="ar-SA"/>
        </w:rPr>
        <w:t xml:space="preserve">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2016/0084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ar ko nosaka noteikumus par to, kā </w:t>
      </w:r>
      <w:r>
        <w:rPr>
          <w:i/>
          <w:noProof/>
        </w:rPr>
        <w:t>CE</w:t>
      </w:r>
      <w:r>
        <w:rPr>
          <w:noProof/>
        </w:rPr>
        <w:t>-marķētus mēslošanas līdzekļus darīt pieejamus tirgū, un groza Regulas (EK) Nr. 1069/2009 un (EK) Nr. 1107/2009</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4"/>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Nosacījumi, ar kādiem mēslus darīt pieejamus iekšējā tirgū, ir daļēji saskaņoti Eiropas Parlamenta un Padomes Regulā (EK) Nr. 2003/2003</w:t>
      </w:r>
      <w:r>
        <w:rPr>
          <w:rStyle w:val="FootnoteReference"/>
          <w:noProof/>
        </w:rPr>
        <w:footnoteReference w:id="15"/>
      </w:r>
      <w:r>
        <w:rPr>
          <w:noProof/>
        </w:rPr>
        <w:t>, kura gandrīz pilnībā attiecas uz mēsliem, kuri iegūti no izrakteņiem vai ķīmiski ražotiem neorganiskiem materiāliem. Pastāv nepieciešamība mēslošanas vajadzībām izmantot arī pārstrādātus vai organiskus materiālus. Būtu jāizveido saskaņoti nosacījumi, lai tādus mēslus, kas iegūti no šādiem pārstrādātiem vai organiskiem materiāliem, darītu pieejamus visā iekšējā tirgū, tādējādi sniedzot būtisku stimulu to turpmākai izmantošanai. Tādēļ saskaņošanas darbības joma būtu jāpaplašina, un tajā jāiekļauj pārstrādāti un organiski materiāli.</w:t>
      </w:r>
    </w:p>
    <w:p>
      <w:pPr>
        <w:pStyle w:val="ManualConsidrant"/>
        <w:rPr>
          <w:noProof/>
        </w:rPr>
      </w:pPr>
      <w:r>
        <w:t>(2)</w:t>
      </w:r>
      <w:r>
        <w:tab/>
      </w:r>
      <w:r>
        <w:rPr>
          <w:noProof/>
        </w:rPr>
        <w:t>Lai efektivizētu barošanos, mēslus izmanto kombinācijā ar konkrētiem līdzekļiem, panākot labvēlīgu ietekmi, jo samazinās izmantoto mēslu apjoms un tātad to ietekme uz vidi. Lai atvieglotu ražojumu brīvu apriti iekšējā tirgū, saskaņošanai būtu jāaptver ne tikai mēsli, proti, līdzekļi, kuru lietošanas nolūks ir apgādāt augus ar barības elementiem, bet arī līdzekļi, kuru lietošanas nolūks ir efektivizēt augu barošanos.</w:t>
      </w:r>
    </w:p>
    <w:p>
      <w:pPr>
        <w:pStyle w:val="ManualConsidrant"/>
        <w:rPr>
          <w:noProof/>
        </w:rPr>
      </w:pPr>
      <w:r>
        <w:t>(3)</w:t>
      </w:r>
      <w:r>
        <w:tab/>
      </w:r>
      <w:r>
        <w:rPr>
          <w:noProof/>
        </w:rPr>
        <w:t>Eiropas Parlamenta un Padomes Regula (EK) Nr. 765/2008</w:t>
      </w:r>
      <w:r>
        <w:rPr>
          <w:rStyle w:val="FootnoteReference"/>
          <w:noProof/>
        </w:rPr>
        <w:footnoteReference w:id="16"/>
      </w:r>
      <w:r>
        <w:rPr>
          <w:noProof/>
        </w:rPr>
        <w:t xml:space="preserve"> nosaka atbilstības novērtēšanas struktūru akreditācijas noteikumus, paredz tirgus uzraudzības sistēmu produktiem un sistēmu trešo valstu produktu kontrolei, kā arī nosaka vispārīgos principus attiecībā uz </w:t>
      </w:r>
      <w:r>
        <w:rPr>
          <w:i/>
          <w:noProof/>
        </w:rPr>
        <w:t>CE</w:t>
      </w:r>
      <w:r>
        <w:rPr>
          <w:noProof/>
        </w:rPr>
        <w:t xml:space="preserve"> zīmi. Minētā regula būtu jāattiecina uz ražojumiem, kas ietilpst šīs regulas darbības jomā, lai nodrošinātu, ka ražojumi, uz kuriem attiecas preču brīvas aprite Savienībā, atbilst prasībām, kuras nodrošina augstu sabiedrības interešu aizsardzības līmeni, piemēram, veselību un drošību kopumā, patērētāju un vides aizsardzību.</w:t>
      </w:r>
    </w:p>
    <w:p>
      <w:pPr>
        <w:pStyle w:val="ManualConsidrant"/>
        <w:rPr>
          <w:noProof/>
        </w:rPr>
      </w:pPr>
      <w:r>
        <w:t>(4)</w:t>
      </w:r>
      <w:r>
        <w:tab/>
      </w:r>
      <w:r>
        <w:rPr>
          <w:noProof/>
        </w:rPr>
        <w:t>Eiropas Parlamenta un Padomes Lēmums Nr. 768/2008/EK</w:t>
      </w:r>
      <w:r>
        <w:rPr>
          <w:rStyle w:val="FootnoteReference"/>
          <w:noProof/>
        </w:rPr>
        <w:footnoteReference w:id="17"/>
      </w:r>
      <w:r>
        <w:rPr>
          <w:noProof/>
        </w:rPr>
        <w:t xml:space="preserve"> nosaka kopējus principus un atsauces noteikumus, kas piemērojami visos nozaru tiesību aktos, lai nodrošinātu saskaņotu pamatu minēto tiesību aktu pārskatīšanai vai pārstrādāšanai. Tādēļ Regula (EK) Nr. 2003/2003 būtu jāaizstāj ar regulu, kas izstrādāta, cik vien iespējams, saskaņā ar minēto lēmumu.</w:t>
      </w:r>
    </w:p>
    <w:p>
      <w:pPr>
        <w:pStyle w:val="ManualConsidrant"/>
        <w:rPr>
          <w:noProof/>
        </w:rPr>
      </w:pPr>
      <w:r>
        <w:t>(5)</w:t>
      </w:r>
      <w:r>
        <w:tab/>
      </w:r>
      <w:r>
        <w:rPr>
          <w:noProof/>
        </w:rPr>
        <w:t xml:space="preserve">Atšķirībā no citiem Savienības tiesību aktos sastopamajiem saskaņošanas pasākumiem ražojumu jomā Regula (EK) Nr. 2003/2003 neaizliedz iekšējā tirgū saskaņā ar dalībvalstu tiesību aktiem un vispārīgajiem Līguma noteikumiem par brīvu apriti darīt pieejamus nesaskaņotus mēslus. Ņemot vērā, ka noteiktu ražojumu tirgi ir izteikti vietēji tirgi, šī iespēja būtu jāsaglabā. Tāpēc atbilstībai saskaņotiem noteikumiem vajadzētu palikt fakultatīvai, un atbilstība būtu jāpieprasa tikai attiecībā uz līdzekļiem, kuri paredzēti augu apgādei ar barības elementiem vai augu barošanās efektivizēšanai un kuriem, tos darot pieejamus tirgū, ir </w:t>
      </w:r>
      <w:r>
        <w:rPr>
          <w:i/>
          <w:noProof/>
        </w:rPr>
        <w:t>CE</w:t>
      </w:r>
      <w:r>
        <w:rPr>
          <w:noProof/>
        </w:rPr>
        <w:t xml:space="preserve"> marķējums. Tāpēc šo regulu nedrīkstētu piemērot ražojumiem, kam nav </w:t>
      </w:r>
      <w:r>
        <w:rPr>
          <w:i/>
          <w:noProof/>
        </w:rPr>
        <w:t>CE</w:t>
      </w:r>
      <w:r>
        <w:rPr>
          <w:noProof/>
        </w:rPr>
        <w:t xml:space="preserve"> marķējuma, ja tos dara pieejamus tirgū.</w:t>
      </w:r>
    </w:p>
    <w:p>
      <w:pPr>
        <w:pStyle w:val="ManualConsidrant"/>
        <w:rPr>
          <w:noProof/>
        </w:rPr>
      </w:pPr>
      <w:r>
        <w:t>(6)</w:t>
      </w:r>
      <w:r>
        <w:tab/>
      </w:r>
      <w:r>
        <w:rPr>
          <w:noProof/>
        </w:rPr>
        <w:t xml:space="preserve">Dažādu ražojumu funkcijas var atšķirties, tāpēc ražojumu drošības un kvalitātes prasības jāpielāgo to atšķirīgajiem paredzētajiem lietojumiem. </w:t>
      </w:r>
      <w:r>
        <w:rPr>
          <w:i/>
          <w:noProof/>
        </w:rPr>
        <w:t>CE</w:t>
      </w:r>
      <w:r>
        <w:rPr>
          <w:noProof/>
        </w:rPr>
        <w:t>-marķēti mēslošanas līdzekļi tāpēc būtu jāiedala dažādās mēslošanas līdzekļu funkcionālajās kategorijās, un katrai no tām būtu jāpiemēro īpašas drošības un kvalitātes prasības.</w:t>
      </w:r>
    </w:p>
    <w:p>
      <w:pPr>
        <w:pStyle w:val="ManualConsidrant"/>
        <w:rPr>
          <w:noProof/>
        </w:rPr>
      </w:pPr>
      <w:r>
        <w:t>(7)</w:t>
      </w:r>
      <w:r>
        <w:tab/>
      </w:r>
      <w:r>
        <w:rPr>
          <w:noProof/>
        </w:rPr>
        <w:t xml:space="preserve">Arī uz dažādiem komponentmateriāliem vajadzīgs attiecināt atšķirīgas procesa prasības un kontroles mehānismus, kas pielāgoti to iespējamai bīstamībai un mainīgumam. Tāpēc </w:t>
      </w:r>
      <w:r>
        <w:rPr>
          <w:i/>
          <w:noProof/>
        </w:rPr>
        <w:t>CE</w:t>
      </w:r>
      <w:r>
        <w:rPr>
          <w:noProof/>
        </w:rPr>
        <w:t xml:space="preserve">-marķētu mēslošanas līdzekļu komponentmateriālus vajadzētu iedalīt dažādās kategorijās, un katrai no tām būtu jāpiemēro īpašas procesa prasības un kontroles mehānismi. Vajadzētu būt iespējai tirgū darīt pieejamu </w:t>
      </w:r>
      <w:r>
        <w:rPr>
          <w:i/>
          <w:noProof/>
        </w:rPr>
        <w:t>CE</w:t>
      </w:r>
      <w:r>
        <w:rPr>
          <w:noProof/>
        </w:rPr>
        <w:t>-marķētu mēslošanas līdzekli, kas sastāv no vairākiem dažādu komponentmateriālu kategoriju komponentmateriāliem, kur katrs materiāls atbilst savas kategorijas prasībām.</w:t>
      </w:r>
    </w:p>
    <w:p>
      <w:pPr>
        <w:pStyle w:val="ManualConsidrant"/>
        <w:rPr>
          <w:noProof/>
        </w:rPr>
      </w:pPr>
      <w:r>
        <w:t>(8)</w:t>
      </w:r>
      <w:r>
        <w:tab/>
      </w:r>
      <w:r>
        <w:rPr>
          <w:noProof/>
        </w:rPr>
        <w:t xml:space="preserve">Tādi kontaminanti </w:t>
      </w:r>
      <w:r>
        <w:rPr>
          <w:i/>
          <w:noProof/>
        </w:rPr>
        <w:t>CE</w:t>
      </w:r>
      <w:r>
        <w:rPr>
          <w:noProof/>
        </w:rPr>
        <w:t xml:space="preserve">-marķētos mēslošanas līdzekļos kā kadmijs var potenciāli apdraudēt cilvēka un dzīvnieku veselību un vidi, jo tie uzkrājas vidē un nonāk pārtikas apritē. Tāpēc šādos mēslošanas līdzekļos to saturs būtu jāierobežo. Turklāt no bioatkritumiem iegūtos, </w:t>
      </w:r>
      <w:r>
        <w:rPr>
          <w:i/>
          <w:noProof/>
        </w:rPr>
        <w:t>CE</w:t>
      </w:r>
      <w:r>
        <w:rPr>
          <w:noProof/>
        </w:rPr>
        <w:t xml:space="preserve">-marķētos mēslošanas līdzekļos būtu jāizslēdz piemaisījumu, jo īpaši polimēru, kā arī metāla un stikla klātbūtne vai tā jāierobežo, cik tas tehniski iespējams, atklājot šādus piemaisījumus dalītā savākšanā savāktajos bioatkritumos pirms apstrādes. </w:t>
      </w:r>
    </w:p>
    <w:p>
      <w:pPr>
        <w:pStyle w:val="ManualConsidrant"/>
        <w:rPr>
          <w:noProof/>
        </w:rPr>
      </w:pPr>
      <w:r>
        <w:t>(9)</w:t>
      </w:r>
      <w:r>
        <w:tab/>
      </w:r>
      <w:r>
        <w:rPr>
          <w:noProof/>
        </w:rPr>
        <w:t xml:space="preserve">Līdzekļus, kas atbilst visām šīs regulas prasībām, būtu jāļauj brīvi pārvietot iekšējā tirgū. Ja viens vai vairāki </w:t>
      </w:r>
      <w:r>
        <w:rPr>
          <w:i/>
          <w:noProof/>
        </w:rPr>
        <w:t>CE</w:t>
      </w:r>
      <w:r>
        <w:rPr>
          <w:noProof/>
        </w:rPr>
        <w:t>-marķēta mēslošanas līdzekļa komponentmateriāli ietilpst Eiropas Parlamenta un Padomes Regulas (EK) Nr. 1069/2009</w:t>
      </w:r>
      <w:r>
        <w:rPr>
          <w:rStyle w:val="FootnoteReference"/>
          <w:noProof/>
        </w:rPr>
        <w:footnoteReference w:id="18"/>
      </w:r>
      <w:r>
        <w:rPr>
          <w:noProof/>
        </w:rPr>
        <w:t xml:space="preserve"> darbības jomā, bet ražošanas ķēdē ir sasnieguši punktu, pēc kura tie vairs nerada būtisku apdraudējumu sabiedrības vai dzīvnieku veselībai (“beigu punkts ražošanas ķēdē”), minētās regulas noteikumu attiecināšana uz šādu līdzekli radītu nevajadzīgu administratīvo slogu. Tādēļ minētās regulas prasības uz šādiem mēslošanas līdzekļiem nebūtu jāattiecina. Tāpēc Regula (EK) Nr. 1069/2009 būtu attiecīgi jāgroza.</w:t>
      </w:r>
    </w:p>
    <w:p>
      <w:pPr>
        <w:pStyle w:val="ManualConsidrant"/>
        <w:rPr>
          <w:noProof/>
        </w:rPr>
      </w:pPr>
      <w:r>
        <w:t>(10)</w:t>
      </w:r>
      <w:r>
        <w:tab/>
      </w:r>
      <w:r>
        <w:rPr>
          <w:noProof/>
        </w:rPr>
        <w:t xml:space="preserve">Saskaņā ar Regulā (EK) Nr. 1069/2009 paredzētajām procedūrām būtu jānosaka ražošanas ķēdes beigu punkts katram attiecīgajam komponentmateriālam, kurš satur dzīvnieku izcelsmes blakusproduktus. Ja saskaņā ar šo regulu reglamentētais ražošanas process sākas, pirms minētais beigu punkts ir sasniegts, Regulas (EK) Nr. 1069/2009 un šīs regulas procesa prasības </w:t>
      </w:r>
      <w:r>
        <w:rPr>
          <w:i/>
          <w:noProof/>
        </w:rPr>
        <w:t>CE</w:t>
      </w:r>
      <w:r>
        <w:rPr>
          <w:noProof/>
        </w:rPr>
        <w:t xml:space="preserve">-marķētiem mēslošanas līdzekļiem būtu jāpiemēro kumulatīvi; tas nozīmē, ka jāpiemēro stingrākās prasības, ja abas regulas reglamentē vienu un to pašu parametru. </w:t>
      </w:r>
    </w:p>
    <w:p>
      <w:pPr>
        <w:pStyle w:val="ManualConsidrant"/>
        <w:rPr>
          <w:noProof/>
        </w:rPr>
      </w:pPr>
      <w:r>
        <w:t>(11)</w:t>
      </w:r>
      <w:r>
        <w:tab/>
      </w:r>
      <w:r>
        <w:rPr>
          <w:noProof/>
        </w:rPr>
        <w:t xml:space="preserve">Ja pastāv apdraudējums sabiedrības vai dzīvnieku veselībai, ko rada </w:t>
      </w:r>
      <w:r>
        <w:rPr>
          <w:i/>
          <w:noProof/>
        </w:rPr>
        <w:t>CE</w:t>
      </w:r>
      <w:r>
        <w:rPr>
          <w:noProof/>
        </w:rPr>
        <w:t>-marķēti mēslošanas līdzekļi, kas iegūti no dzīvnieku izcelsmes blakusproduktiem, vajadzētu būt iespējai veikt drošības pasākumus saskaņā ar Eiropas Parlamenta un Padomes Regulu (EK) Nr. 178/2002</w:t>
      </w:r>
      <w:r>
        <w:rPr>
          <w:rStyle w:val="FootnoteReference"/>
          <w:noProof/>
        </w:rPr>
        <w:footnoteReference w:id="19"/>
      </w:r>
      <w:r>
        <w:rPr>
          <w:noProof/>
        </w:rPr>
        <w:t>, kā tas ir citu no dzīvnieku izcelsmes blakusproduktiem iegūtu produktu kategoriju gadījumā.</w:t>
      </w:r>
    </w:p>
    <w:p>
      <w:pPr>
        <w:pStyle w:val="ManualConsidrant"/>
        <w:rPr>
          <w:noProof/>
        </w:rPr>
      </w:pPr>
      <w:r>
        <w:t>(12)</w:t>
      </w:r>
      <w:r>
        <w:tab/>
      </w:r>
      <w:r>
        <w:rPr>
          <w:noProof/>
        </w:rPr>
        <w:t xml:space="preserve">Ja viens vai vairāki </w:t>
      </w:r>
      <w:r>
        <w:rPr>
          <w:i/>
          <w:noProof/>
        </w:rPr>
        <w:t>CE</w:t>
      </w:r>
      <w:r>
        <w:rPr>
          <w:noProof/>
        </w:rPr>
        <w:t xml:space="preserve">-marķēta mēslošanas līdzekļa komponentmateriāli ietilpst Regulas (EK) Nr. 1069/2009 darbības jomā un nav vēl sasnieguši beigu punktu ražošanas ķēdē, būtu maldinoši attiecībā uz šo līdzekli saskaņā ar šo regulu paredzēt </w:t>
      </w:r>
      <w:r>
        <w:rPr>
          <w:i/>
          <w:noProof/>
        </w:rPr>
        <w:t>CE</w:t>
      </w:r>
      <w:r>
        <w:rPr>
          <w:noProof/>
        </w:rPr>
        <w:t xml:space="preserve"> zīmi, jo, šādu ražojumu darot pieejamu tirgū, tam jāatbilst Regulas (EK) Nr. 1069/2009 prasībām. Tādēļ šādi līdzekļi būtu jāizslēdz no šīs regulas darbības jomas.</w:t>
      </w:r>
    </w:p>
    <w:p>
      <w:pPr>
        <w:pStyle w:val="ManualConsidrant"/>
        <w:rPr>
          <w:noProof/>
        </w:rPr>
      </w:pPr>
      <w:r>
        <w:t>(13)</w:t>
      </w:r>
      <w:r>
        <w:tab/>
      </w:r>
      <w:r>
        <w:rPr>
          <w:noProof/>
        </w:rPr>
        <w:t>Ir konstatēts, ka attiecībā uz dažiem reģenerētiem atkritumiem Eiropas Parlamenta un Padomes Direktīvas 2008/98/EK</w:t>
      </w:r>
      <w:r>
        <w:rPr>
          <w:rStyle w:val="FootnoteReference"/>
          <w:noProof/>
        </w:rPr>
        <w:footnoteReference w:id="20"/>
      </w:r>
      <w:r>
        <w:rPr>
          <w:noProof/>
        </w:rPr>
        <w:t xml:space="preserve"> nozīmē tirgū ir pieprasījums tos izmantot par mēslošanas līdzekļiem. Turklāt attiecībā uz atkritumiem, ko izmanto par jēlmateriāliem reģenerācijā, un attiecībā uz apstrādes procesiem un metodēm, kā arī attiecībā uz reģenerācijas darbībās iegūtiem mēslošanas līdzekļiem ir vajadzīgas konkrētas prasības, lai nodrošinātu, ka šo līdzekļu lietošana kopumā kaitīgi neietekmē vidi vai cilvēka veselību. Šajā regulā būtu jānosaka šīs prasības </w:t>
      </w:r>
      <w:r>
        <w:rPr>
          <w:i/>
          <w:noProof/>
        </w:rPr>
        <w:t>CE</w:t>
      </w:r>
      <w:r>
        <w:rPr>
          <w:noProof/>
        </w:rPr>
        <w:t>-marķētiem mēslošanas līdzekļiem. Tādēļ no brīža, kad šie mēslošanas līdzekļi atbilst visām šīs regulas prasībām, tie vairs nebūtu jāuzskata par atkritumiem Direktīvas 2008/98/EK nozīmē.</w:t>
      </w:r>
    </w:p>
    <w:p>
      <w:pPr>
        <w:pStyle w:val="ManualConsidrant"/>
        <w:rPr>
          <w:noProof/>
        </w:rPr>
      </w:pPr>
      <w:r>
        <w:t>(14)</w:t>
      </w:r>
      <w:r>
        <w:tab/>
      </w:r>
      <w:r>
        <w:rPr>
          <w:noProof/>
        </w:rPr>
        <w:t xml:space="preserve">Konkrētas vielas un maisījumi, kurus parasti dēvē par agronomiskajām piedevām, mēslošanas līdzeklī uzlabo barības vielas barības elementu izdalīšanās modeli. Vielām un maisījumiem, kas laisti tirgū ar nolūku tos pievienot </w:t>
      </w:r>
      <w:r>
        <w:rPr>
          <w:i/>
          <w:noProof/>
        </w:rPr>
        <w:t>CE</w:t>
      </w:r>
      <w:r>
        <w:rPr>
          <w:noProof/>
        </w:rPr>
        <w:t xml:space="preserve">-marķētiem mēslošanas līdzekļiem, būtu jāatbilst konkrētiem iedarbīguma kritērijiem, par ko ir atbildīgs vielu un maisījumu ražotājs, un tāpēc tie būtu jāuzskata par </w:t>
      </w:r>
      <w:r>
        <w:rPr>
          <w:i/>
          <w:noProof/>
        </w:rPr>
        <w:t>CE</w:t>
      </w:r>
      <w:r>
        <w:rPr>
          <w:noProof/>
        </w:rPr>
        <w:t xml:space="preserve">-marķētiem mēslošanas līdzekļiem atbilstīgi šai regulai. Turklāt konkrēti iedarbīguma un drošuma kritēriji būtu jāpiemēro </w:t>
      </w:r>
      <w:r>
        <w:rPr>
          <w:i/>
          <w:noProof/>
        </w:rPr>
        <w:t>CE</w:t>
      </w:r>
      <w:r>
        <w:rPr>
          <w:noProof/>
        </w:rPr>
        <w:t xml:space="preserve">-marķētiem mēslošanas līdzekļiem, kas satur šādas vielas vai maisījumus. Tādēļ arī šādas vielas un maisījumi būtu jāreglamentē kā </w:t>
      </w:r>
      <w:r>
        <w:rPr>
          <w:i/>
          <w:noProof/>
        </w:rPr>
        <w:t>CE</w:t>
      </w:r>
      <w:r>
        <w:rPr>
          <w:noProof/>
        </w:rPr>
        <w:t>-marķētu mēslošanas līdzekļu komponentmateriāli.</w:t>
      </w:r>
    </w:p>
    <w:p>
      <w:pPr>
        <w:pStyle w:val="ManualConsidrant"/>
        <w:rPr>
          <w:noProof/>
        </w:rPr>
      </w:pPr>
      <w:r>
        <w:t>(15)</w:t>
      </w:r>
      <w:r>
        <w:tab/>
      </w:r>
      <w:r>
        <w:rPr>
          <w:noProof/>
        </w:rPr>
        <w:t xml:space="preserve">Dažas vielas, maisījumi un mikroorganismi, kurus parasti dēvē par augu biostimulatoriem, paši nav barības elementi, tomēr tie stimulē augu barošanās procesus. Ja šādu ražojumu vienīgais lietošanas nolūks ir uzlabot augu barības elementu izmantošanas efektivitāti, noturību pret abiotisko stresu vai auga ražas kvalitātes īpašības, tie pēc būtības ir vairāk līdzīgi mēslošanas līdzekļiem nekā lielākajai daļai augu aizsardzības līdzekļu kategoriju. Tādēļ šādiem līdzekļiem būtu jābūt tiesīgiem saņemt </w:t>
      </w:r>
      <w:r>
        <w:rPr>
          <w:i/>
          <w:noProof/>
        </w:rPr>
        <w:t>CE</w:t>
      </w:r>
      <w:r>
        <w:rPr>
          <w:noProof/>
        </w:rPr>
        <w:t xml:space="preserve"> marķējumu saskaņā ar šo regulu, un tie būtu jāizslēdz no Eiropas Parlamenta un Padomes Regulas (EK) Nr. 1107/2009</w:t>
      </w:r>
      <w:r>
        <w:rPr>
          <w:rStyle w:val="FootnoteReference"/>
          <w:noProof/>
        </w:rPr>
        <w:footnoteReference w:id="21"/>
      </w:r>
      <w:r>
        <w:rPr>
          <w:noProof/>
        </w:rPr>
        <w:t xml:space="preserve"> darbības jomas. Tāpēc Regula (EK) Nr. 1107/2009 būtu attiecīgi jāgroza.</w:t>
      </w:r>
    </w:p>
    <w:p>
      <w:pPr>
        <w:pStyle w:val="ManualConsidrant"/>
        <w:rPr>
          <w:noProof/>
        </w:rPr>
      </w:pPr>
      <w:r>
        <w:t>(16)</w:t>
      </w:r>
      <w:r>
        <w:tab/>
      </w:r>
      <w:r>
        <w:rPr>
          <w:noProof/>
        </w:rPr>
        <w:t xml:space="preserve">Ražojumiem ar vienu vai vairākām funkcijām, viena no kurām ietilpst Regulas (EK) Nr. 1107/2009 darbības jomā, būtu jāturpina piemērot minētajā regulā paredzētus, šādiem ražojumiem pielāgotus kontroles pasākumus. Ja šādiem ražojumiem ir arī mēslošanas līdzekļa funkcija, būtu maldinoši tiem izmantot </w:t>
      </w:r>
      <w:r>
        <w:rPr>
          <w:i/>
          <w:noProof/>
        </w:rPr>
        <w:t>CE</w:t>
      </w:r>
      <w:r>
        <w:rPr>
          <w:noProof/>
        </w:rPr>
        <w:t xml:space="preserve"> marķējumu saskaņā ar šo regulu, jo augu aizsardzības līdzekļa pieejamība tirgū ir atkarīga no attiecīgajā dalībvalstī derīgas līdzekļa atļaujas. Tādēļ šādi ražojumi būtu jāizslēdz no šīs regulas darbības jomas.</w:t>
      </w:r>
    </w:p>
    <w:p>
      <w:pPr>
        <w:pStyle w:val="ManualConsidrant"/>
        <w:rPr>
          <w:noProof/>
        </w:rPr>
      </w:pPr>
      <w:r>
        <w:t>(17)</w:t>
      </w:r>
      <w:r>
        <w:tab/>
      </w:r>
      <w:r>
        <w:rPr>
          <w:noProof/>
        </w:rPr>
        <w:t>Šai regulai nevajadzētu radīt šķēršļus spēkā esošo Savienības tiesību aktu piemērošanai veselības aizsardzības, drošības un vides aizsardzības aspektos, uz kuriem neattiecas šī regula. Šī regula tāpēc būtu jāpiemēro, neskarot Padomes Direktīvu 86/278/EEK</w:t>
      </w:r>
      <w:r>
        <w:rPr>
          <w:rStyle w:val="FootnoteReference"/>
          <w:noProof/>
        </w:rPr>
        <w:footnoteReference w:id="22"/>
      </w:r>
      <w:r>
        <w:rPr>
          <w:noProof/>
        </w:rPr>
        <w:t>, Padomes Direktīvu 89/391/EEK</w:t>
      </w:r>
      <w:r>
        <w:rPr>
          <w:rStyle w:val="FootnoteReference"/>
          <w:noProof/>
        </w:rPr>
        <w:footnoteReference w:id="23"/>
      </w:r>
      <w:r>
        <w:rPr>
          <w:noProof/>
        </w:rPr>
        <w:t>, Eiropas Parlamenta un Padomes Regulu (EK) Nr. 1907/2006</w:t>
      </w:r>
      <w:r>
        <w:rPr>
          <w:rStyle w:val="FootnoteReference"/>
          <w:noProof/>
        </w:rPr>
        <w:footnoteReference w:id="24"/>
      </w:r>
      <w:r>
        <w:rPr>
          <w:noProof/>
        </w:rPr>
        <w:t>, Eiropas Parlamenta un Padomes Regulu (EK) Nr. 1272/2008</w:t>
      </w:r>
      <w:r>
        <w:rPr>
          <w:rStyle w:val="FootnoteReference"/>
          <w:noProof/>
        </w:rPr>
        <w:footnoteReference w:id="25"/>
      </w:r>
      <w:r>
        <w:rPr>
          <w:noProof/>
        </w:rPr>
        <w:t>, Komisijas Regulu (EK) Nr. 1881/2006</w:t>
      </w:r>
      <w:r>
        <w:rPr>
          <w:rStyle w:val="FootnoteReference"/>
          <w:noProof/>
        </w:rPr>
        <w:footnoteReference w:id="26"/>
      </w:r>
      <w:r>
        <w:rPr>
          <w:noProof/>
        </w:rPr>
        <w:t>, Padomes Direktīvu 2000/29/EK</w:t>
      </w:r>
      <w:r>
        <w:rPr>
          <w:rStyle w:val="FootnoteReference"/>
          <w:noProof/>
        </w:rPr>
        <w:footnoteReference w:id="27"/>
      </w:r>
      <w:r>
        <w:rPr>
          <w:noProof/>
        </w:rPr>
        <w:t>, Eiropas Parlamenta un Padomes Regulu (ES) Nr. 98/2013</w:t>
      </w:r>
      <w:r>
        <w:rPr>
          <w:rStyle w:val="FootnoteReference"/>
          <w:noProof/>
        </w:rPr>
        <w:footnoteReference w:id="28"/>
      </w:r>
      <w:r>
        <w:rPr>
          <w:noProof/>
        </w:rPr>
        <w:t>, un Eiropas Parlamenta un Padomes Regulu (ES) Nr. 1143/2014</w:t>
      </w:r>
      <w:r>
        <w:rPr>
          <w:rStyle w:val="FootnoteReference"/>
          <w:noProof/>
        </w:rPr>
        <w:footnoteReference w:id="29"/>
      </w:r>
      <w:r>
        <w:rPr>
          <w:noProof/>
        </w:rPr>
        <w:t xml:space="preserve">. </w:t>
      </w:r>
    </w:p>
    <w:p>
      <w:pPr>
        <w:pStyle w:val="ManualConsidrant"/>
        <w:rPr>
          <w:noProof/>
        </w:rPr>
      </w:pPr>
      <w:r>
        <w:t>(18)</w:t>
      </w:r>
      <w:r>
        <w:tab/>
      </w:r>
      <w:r>
        <w:rPr>
          <w:noProof/>
        </w:rPr>
        <w:t xml:space="preserve">Ja </w:t>
      </w:r>
      <w:r>
        <w:rPr>
          <w:i/>
          <w:noProof/>
        </w:rPr>
        <w:t>CE</w:t>
      </w:r>
      <w:r>
        <w:rPr>
          <w:noProof/>
        </w:rPr>
        <w:t xml:space="preserve">-marķēts mēslošanas līdzeklis satur vielu vai maisījumu Regulas (EK) Nr. 1907/2006 nozīmē, tā sastāvā esošo vielu drošība paredzētajam lietojumam būtu jānosaka, izmantojot reģistrāciju saskaņā ar minēto regulu. Informācijas sniegšanas prasībām būtu jānodrošina, ka </w:t>
      </w:r>
      <w:r>
        <w:rPr>
          <w:i/>
          <w:noProof/>
        </w:rPr>
        <w:t>CE</w:t>
      </w:r>
      <w:r>
        <w:rPr>
          <w:noProof/>
        </w:rPr>
        <w:t>-marķētā mēslošanas līdzekļa paredzētā lietojuma drošums tiek pierādīts tādā veidā, kas pielīdzināms drošuma pierādīšanai ar citu regulatīvo režīmu palīdzību attiecībā uz līdzekļiem, kuri paredzēti lietošanai uz aramzemes vai kultūraugiem, proti, ar dalībvalstu tiesību aktiem, kas reglamentē mēslošanas līdzekļus, un Regulu (EK) Nr. 1107/2009. Tādēļ, ja faktiskais tirgū laisto vielu daudzums gadā uz vienu uzņēmumu ir mazāks nekā 10 tonnas, lai šādas vielas darītu pieejamas saskaņā ar šo regulu, par nosacījumu izņēmuma kārtā būtu jāpiemēro Regulā (EK) Nr. 1907/2006 paredzētās informācijas prasības attiecībā uz tādu vielu reģistrēšanu, kuru apjoms ir 10 līdz 100 tonnas.</w:t>
      </w:r>
    </w:p>
    <w:p>
      <w:pPr>
        <w:pStyle w:val="ManualConsidrant"/>
        <w:rPr>
          <w:noProof/>
        </w:rPr>
      </w:pPr>
      <w:r>
        <w:t>(19)</w:t>
      </w:r>
      <w:r>
        <w:tab/>
      </w:r>
      <w:r>
        <w:rPr>
          <w:noProof/>
        </w:rPr>
        <w:t xml:space="preserve">Ja </w:t>
      </w:r>
      <w:r>
        <w:rPr>
          <w:i/>
          <w:noProof/>
        </w:rPr>
        <w:t>CE</w:t>
      </w:r>
      <w:r>
        <w:rPr>
          <w:noProof/>
        </w:rPr>
        <w:t>-marķētos mēslošanas līdzekļos, uz kuriem attiecas šī regula, faktiskais vielu daudzums pārsniedz 100 tonnas, būtu tieši saskaņā ar Regulu (EK) Nr. 1907/2006 jāpiemēro tajā noteiktās papildu informācijas prasības. Šai regulai nebūtu jāskar pārējo Regulas (EK) Nr. 1907/2006 noteikumu piemērošana.</w:t>
      </w:r>
    </w:p>
    <w:p>
      <w:pPr>
        <w:pStyle w:val="ManualConsidrant"/>
        <w:rPr>
          <w:noProof/>
        </w:rPr>
      </w:pPr>
      <w:r>
        <w:t>(20)</w:t>
      </w:r>
      <w:r>
        <w:tab/>
      </w:r>
      <w:r>
        <w:rPr>
          <w:noProof/>
        </w:rPr>
        <w:t xml:space="preserve">Sagaidāms, ka dažādu tādu </w:t>
      </w:r>
      <w:r>
        <w:rPr>
          <w:i/>
          <w:noProof/>
        </w:rPr>
        <w:t>CE</w:t>
      </w:r>
      <w:r>
        <w:rPr>
          <w:noProof/>
        </w:rPr>
        <w:t xml:space="preserve">-marķētu mēslošanas līdzekļu samaisījums, no kuriem katram ir izdarīts sekmīgs atbilstības novērtējums attiecībā uz materiālam piemērojamajām prasībām, ir derīgs lietošanai par </w:t>
      </w:r>
      <w:r>
        <w:rPr>
          <w:i/>
          <w:noProof/>
        </w:rPr>
        <w:t>CE</w:t>
      </w:r>
      <w:r>
        <w:rPr>
          <w:noProof/>
        </w:rPr>
        <w:t>-marķētu mēslošanas līdzekli, ja ir izpildītas konkrētas, samaisījumam noteiktas papildprasības. Tādēļ, lai izvairītos no nevajadzīga administratīvā sloga, šādi samaisījumi būtu jāiekļauj atsevišķā kategorijā, kurai atbilstības novērtēšana būtu jāattiecina tikai uz samaisījumam noteiktām papildprasībām.</w:t>
      </w:r>
    </w:p>
    <w:p>
      <w:pPr>
        <w:pStyle w:val="ManualConsidrant"/>
        <w:rPr>
          <w:noProof/>
        </w:rPr>
      </w:pPr>
      <w:r>
        <w:t>(21)</w:t>
      </w:r>
      <w:r>
        <w:tab/>
      </w:r>
      <w:r>
        <w:rPr>
          <w:noProof/>
        </w:rPr>
        <w:t xml:space="preserve">Lai nodrošinātu augstu to sabiedrības interešu aspektu aizsardzības līmeni, uz kuriem attiecas šī regula, kā arī lai garantētu godīgu konkurenci iekšējā tirgū, uzņēmējiem vajadzētu būt atbildīgiem par </w:t>
      </w:r>
      <w:r>
        <w:rPr>
          <w:i/>
          <w:noProof/>
        </w:rPr>
        <w:t>CE</w:t>
      </w:r>
      <w:r>
        <w:rPr>
          <w:noProof/>
        </w:rPr>
        <w:t>-marķētu mēslošanas līdzekļu atbilstību šai regulai, ņemot vērā viņu attiecīgos uzdevumus piegādes ķēdē.</w:t>
      </w:r>
    </w:p>
    <w:p>
      <w:pPr>
        <w:pStyle w:val="ManualConsidrant"/>
        <w:rPr>
          <w:noProof/>
        </w:rPr>
      </w:pPr>
      <w:r>
        <w:t>(22)</w:t>
      </w:r>
      <w:r>
        <w:tab/>
      </w:r>
      <w:r>
        <w:rPr>
          <w:noProof/>
        </w:rPr>
        <w:t>Jāparedz skaidra un samērīga pienākumu sadale atbilstoši katra uzņēmēja lomai piegādes un izplatīšanas ķēdē.</w:t>
      </w:r>
    </w:p>
    <w:p>
      <w:pPr>
        <w:pStyle w:val="ManualConsidrant"/>
        <w:rPr>
          <w:noProof/>
        </w:rPr>
      </w:pPr>
      <w:r>
        <w:t>(23)</w:t>
      </w:r>
      <w:r>
        <w:tab/>
      </w:r>
      <w:r>
        <w:rPr>
          <w:noProof/>
        </w:rPr>
        <w:t xml:space="preserve">Tā kā ražotājs sīki pārzina projektēšanas un ražošanas procesu, viņš var vislabāk veikt atbilstības novērtēšanas procedūru. Tādēļ </w:t>
      </w:r>
      <w:r>
        <w:rPr>
          <w:i/>
          <w:noProof/>
        </w:rPr>
        <w:t>CE</w:t>
      </w:r>
      <w:r>
        <w:rPr>
          <w:noProof/>
        </w:rPr>
        <w:t>-marķētu mēslošanas līdzekļu atbilstības novērtēšanai arī turpmāk vajadzētu būt vienīgi ražotāja pienākumam.</w:t>
      </w:r>
    </w:p>
    <w:p>
      <w:pPr>
        <w:pStyle w:val="ManualConsidrant"/>
        <w:rPr>
          <w:noProof/>
        </w:rPr>
      </w:pPr>
      <w:r>
        <w:t>(24)</w:t>
      </w:r>
      <w:r>
        <w:tab/>
      </w:r>
      <w:r>
        <w:rPr>
          <w:noProof/>
        </w:rPr>
        <w:t xml:space="preserve">Jānodrošina, ka </w:t>
      </w:r>
      <w:r>
        <w:rPr>
          <w:i/>
          <w:noProof/>
        </w:rPr>
        <w:t>CE</w:t>
      </w:r>
      <w:r>
        <w:rPr>
          <w:noProof/>
        </w:rPr>
        <w:t xml:space="preserve">-marķēti mēslošanas līdzekļi no trešām valstīm, kuri nokļūst iekšējā tirgū, atbilst šai regulai un jo īpaši ka ražotāji attiecībā uz šiem mēslošanas līdzekļiem ir veikuši pienācīgas atbilstības novērtēšanas procedūras. Tādēļ būtu jāparedz, ka importētājiem ir jāpārliecinās, vai </w:t>
      </w:r>
      <w:r>
        <w:rPr>
          <w:i/>
          <w:noProof/>
        </w:rPr>
        <w:t>CE</w:t>
      </w:r>
      <w:r>
        <w:rPr>
          <w:noProof/>
        </w:rPr>
        <w:t xml:space="preserve">-marķēti mēslošanas līdzekļi, ko viņi laiž tirgū, atbilst šīs regulas prasībām, un ka viņi nelaiž tirgū </w:t>
      </w:r>
      <w:r>
        <w:rPr>
          <w:i/>
          <w:noProof/>
        </w:rPr>
        <w:t>CE</w:t>
      </w:r>
      <w:r>
        <w:rPr>
          <w:noProof/>
        </w:rPr>
        <w:t xml:space="preserve">-marķētus mēslošanas līdzekļus, kuri šādām prasībām neatbilst vai kuri rada apdraudējumu cilvēka, dzīvnieku vai augu veselībai, drošībai vai videi. Būtu arī jāparedz, ka šādiem importētājiem ir jāpārliecinās, ka ir veiktas atbilstības novērtēšanas procedūras un ka </w:t>
      </w:r>
      <w:r>
        <w:rPr>
          <w:i/>
          <w:noProof/>
        </w:rPr>
        <w:t>CE</w:t>
      </w:r>
      <w:r>
        <w:rPr>
          <w:noProof/>
        </w:rPr>
        <w:t>-marķētu mēslošanas līdzekļu marķējums un ražotāju sagatavotā dokumentācija ir pieejama kompetentajām valsts iestādēm pārbaudes veikšanai.</w:t>
      </w:r>
    </w:p>
    <w:p>
      <w:pPr>
        <w:pStyle w:val="ManualConsidrant"/>
        <w:rPr>
          <w:noProof/>
        </w:rPr>
      </w:pPr>
      <w:r>
        <w:t>(25)</w:t>
      </w:r>
      <w:r>
        <w:tab/>
      </w:r>
      <w:r>
        <w:rPr>
          <w:noProof/>
        </w:rPr>
        <w:t xml:space="preserve">Laižot </w:t>
      </w:r>
      <w:r>
        <w:rPr>
          <w:i/>
          <w:noProof/>
        </w:rPr>
        <w:t>CE</w:t>
      </w:r>
      <w:r>
        <w:rPr>
          <w:noProof/>
        </w:rPr>
        <w:t>-marķētu mēslošanas līdzekli tirgū, importētājam uz mēslošanas līdzekļa iepakojuma būtu jānorāda savs nosaukums, reģistrētais komercnosaukums vai reģistrētā preču zīme un pasta adrese saziņai, lai varētu veikt tirgus uzraudzību.</w:t>
      </w:r>
    </w:p>
    <w:p>
      <w:pPr>
        <w:pStyle w:val="ManualConsidrant"/>
        <w:rPr>
          <w:noProof/>
        </w:rPr>
      </w:pPr>
      <w:r>
        <w:t>(26)</w:t>
      </w:r>
      <w:r>
        <w:tab/>
      </w:r>
      <w:r>
        <w:rPr>
          <w:noProof/>
        </w:rPr>
        <w:t xml:space="preserve">Ja izplatītājs </w:t>
      </w:r>
      <w:r>
        <w:rPr>
          <w:i/>
          <w:noProof/>
        </w:rPr>
        <w:t>CE</w:t>
      </w:r>
      <w:r>
        <w:rPr>
          <w:noProof/>
        </w:rPr>
        <w:t>-marķētu mēslošanas līdzekli dara pieejamu tirgū pēc tam, kad ražotājs vai importētājs to ir laidis tirgū, izplatītājam būtu jārīkojas pietiekami piesardzīgi, lai nodrošinātu, ka viņa apiešanās ar mēslošanas līdzekli negatīvi neietekmē šā līdzekļa atbilstību šai regulai.</w:t>
      </w:r>
    </w:p>
    <w:p>
      <w:pPr>
        <w:pStyle w:val="ManualConsidrant"/>
        <w:rPr>
          <w:noProof/>
        </w:rPr>
      </w:pPr>
      <w:r>
        <w:t>(27)</w:t>
      </w:r>
      <w:r>
        <w:tab/>
      </w:r>
      <w:r>
        <w:rPr>
          <w:noProof/>
        </w:rPr>
        <w:t xml:space="preserve">Uzņēmējs, kurš vai nu laiž tirgū </w:t>
      </w:r>
      <w:r>
        <w:rPr>
          <w:i/>
          <w:noProof/>
        </w:rPr>
        <w:t>CE</w:t>
      </w:r>
      <w:r>
        <w:rPr>
          <w:noProof/>
        </w:rPr>
        <w:t xml:space="preserve">-marķētu mēslošanas līdzekli ar savu nosaukumu, vārdu vai preču zīmi, vai maina </w:t>
      </w:r>
      <w:r>
        <w:rPr>
          <w:i/>
          <w:noProof/>
        </w:rPr>
        <w:t>CE</w:t>
      </w:r>
      <w:r>
        <w:rPr>
          <w:noProof/>
        </w:rPr>
        <w:t>-marķētu mēslošanas līdzekli tā, ka maiņa varētu ietekmēt atbilstību šīs regulas noteikumiem, būtu jāuzskata par ražotāju, un viņam būtu jāuzņemas ražotāja pienākumi.</w:t>
      </w:r>
    </w:p>
    <w:p>
      <w:pPr>
        <w:pStyle w:val="ManualConsidrant"/>
        <w:rPr>
          <w:noProof/>
        </w:rPr>
      </w:pPr>
      <w:r>
        <w:t>(28)</w:t>
      </w:r>
      <w:r>
        <w:tab/>
      </w:r>
      <w:r>
        <w:rPr>
          <w:noProof/>
        </w:rPr>
        <w:t xml:space="preserve">Izplatītāji un importētāji darbojas tirgus vidē, tāpēc tiem būtu jāiesaistās tirgus uzraudzības uzdevumos, ko veic valsts kompetentās iestādes, un tiem vajadzētu būt gataviem aktīvi līdzdarboties un sniegt minētajām iestādēm visu vajadzīgo informāciju par </w:t>
      </w:r>
      <w:r>
        <w:rPr>
          <w:i/>
          <w:noProof/>
        </w:rPr>
        <w:t>CE</w:t>
      </w:r>
      <w:r>
        <w:rPr>
          <w:noProof/>
        </w:rPr>
        <w:t>-marķēto mēslošanas līdzekli.</w:t>
      </w:r>
    </w:p>
    <w:p>
      <w:pPr>
        <w:pStyle w:val="ManualConsidrant"/>
        <w:rPr>
          <w:noProof/>
        </w:rPr>
      </w:pPr>
      <w:r>
        <w:t>(29)</w:t>
      </w:r>
      <w:r>
        <w:tab/>
      </w:r>
      <w:r>
        <w:rPr>
          <w:noProof/>
        </w:rPr>
        <w:t xml:space="preserve">Nodrošinot </w:t>
      </w:r>
      <w:r>
        <w:rPr>
          <w:i/>
          <w:noProof/>
        </w:rPr>
        <w:t>CE</w:t>
      </w:r>
      <w:r>
        <w:rPr>
          <w:noProof/>
        </w:rPr>
        <w:t xml:space="preserve">-marķēta mēslošanas līdzekļa izsekojamību visā piegādes ķēdē, tirgus uzraudzība kļūst vienkāršāka un efektīvāka. Efektīva izsekojamības sistēma atvieglina tirgus uzraudzības iestāžu uzdevumu atrast uzņēmējus, kas darījuši pieejamus tirgū neatbilstīgus </w:t>
      </w:r>
      <w:r>
        <w:rPr>
          <w:i/>
          <w:noProof/>
        </w:rPr>
        <w:t>CE</w:t>
      </w:r>
      <w:r>
        <w:rPr>
          <w:noProof/>
        </w:rPr>
        <w:t xml:space="preserve">-marķētus mēslošanas līdzekļus. Glabājot informāciju citu uzņēmēju identifikācijai, nevajadzētu prasīt, lai uzņēmēji atjaunina šādu informāciju par citiem uzņēmējiem, kuri tiem ir piegādājuši </w:t>
      </w:r>
      <w:r>
        <w:rPr>
          <w:i/>
          <w:noProof/>
        </w:rPr>
        <w:t>CE</w:t>
      </w:r>
      <w:r>
        <w:rPr>
          <w:noProof/>
        </w:rPr>
        <w:t xml:space="preserve">-marķētu mēslošanas līdzekli vai kuriem tie ir piegādājuši </w:t>
      </w:r>
      <w:r>
        <w:rPr>
          <w:i/>
          <w:noProof/>
        </w:rPr>
        <w:t>CE</w:t>
      </w:r>
      <w:r>
        <w:rPr>
          <w:noProof/>
        </w:rPr>
        <w:t>-marķētu mēslošanas līdzekli, jo šāda atjaunināta informācija parasti tiem nav pieejama.</w:t>
      </w:r>
    </w:p>
    <w:p>
      <w:pPr>
        <w:pStyle w:val="ManualConsidrant"/>
        <w:rPr>
          <w:noProof/>
        </w:rPr>
      </w:pPr>
      <w:r>
        <w:t>(30)</w:t>
      </w:r>
      <w:r>
        <w:tab/>
      </w:r>
      <w:r>
        <w:rPr>
          <w:noProof/>
        </w:rPr>
        <w:t xml:space="preserve">Lai būtu vieglāk izdarīt novērtējumu par atbilstību drošības un kvalitātes prasībām, jāparedz pieņēmums par tādu </w:t>
      </w:r>
      <w:r>
        <w:rPr>
          <w:i/>
          <w:noProof/>
        </w:rPr>
        <w:t>CE</w:t>
      </w:r>
      <w:r>
        <w:rPr>
          <w:noProof/>
        </w:rPr>
        <w:t>-marķētu mēslošanas līdzekļu atbilstību, kuri atbilst saskaņotajiem standartiem, kas pieņemti saskaņā ar Eiropas Parlamenta un Padomes Regulu (ES) Nr. 1025/2012</w:t>
      </w:r>
      <w:r>
        <w:rPr>
          <w:rStyle w:val="FootnoteReference"/>
          <w:noProof/>
        </w:rPr>
        <w:footnoteReference w:id="30"/>
      </w:r>
      <w:r>
        <w:rPr>
          <w:noProof/>
        </w:rPr>
        <w:t>.</w:t>
      </w:r>
    </w:p>
    <w:p>
      <w:pPr>
        <w:pStyle w:val="ManualConsidrant"/>
        <w:rPr>
          <w:noProof/>
        </w:rPr>
      </w:pPr>
      <w:r>
        <w:t>(31)</w:t>
      </w:r>
      <w:r>
        <w:tab/>
      </w:r>
      <w:r>
        <w:rPr>
          <w:noProof/>
        </w:rPr>
        <w:t xml:space="preserve">Ja saskaņotie standarti nav pieņemti vai pietiekami sīki neaptver visas šajā regulā noteiktās kvalitātes un drošības prasības, šo prasību īstenošanai varētu būt nepieciešami vienādi nosacījumi. Tāpēc Komisijai vajadzētu būt pilnvarotai pieņemt īstenošanas aktus, kuros minētie nosacījumi izklāstīti kopīgās specifikācijās. Juridiskās noteiktības labad būtu jāprecizē, ka </w:t>
      </w:r>
      <w:r>
        <w:rPr>
          <w:i/>
          <w:noProof/>
        </w:rPr>
        <w:t>CE</w:t>
      </w:r>
      <w:r>
        <w:rPr>
          <w:noProof/>
        </w:rPr>
        <w:t>-marķētiem mēslošanas līdzekļiem šādām specifikācijām jāatbilst pat tad, ja tiek uzskatīts, ka tie atbilst saskaņotajiem standartiem.</w:t>
      </w:r>
    </w:p>
    <w:p>
      <w:pPr>
        <w:pStyle w:val="ManualConsidrant"/>
        <w:rPr>
          <w:noProof/>
        </w:rPr>
      </w:pPr>
      <w:r>
        <w:t>(32)</w:t>
      </w:r>
      <w:r>
        <w:tab/>
      </w:r>
      <w:r>
        <w:rPr>
          <w:noProof/>
        </w:rPr>
        <w:t xml:space="preserve">Lai uzņēmēji varētu pierādīt un kompetentās iestādes pārbaudīt, ka </w:t>
      </w:r>
      <w:r>
        <w:rPr>
          <w:i/>
          <w:noProof/>
        </w:rPr>
        <w:t>CE</w:t>
      </w:r>
      <w:r>
        <w:rPr>
          <w:noProof/>
        </w:rPr>
        <w:t xml:space="preserve">-marķēti mēslošanas līdzekļi, kas ir darīti pieejami tirgū, atbilst prasībām, jāparedz atbilstības novērtēšanas procedūras. Lēmumā Nr. 768/2008/EK paredzēti atbilstības novērtēšanas procedūru moduļi ar procedūrām pieaugošā stingrības pakāpē, kuras atbilst attiecīgā apdraudējuma līmenim un nepieciešamajam drošības līmenim. Lai nodrošinātu saskaņotību starp nozarēm un izvairītos no </w:t>
      </w:r>
      <w:r>
        <w:rPr>
          <w:i/>
          <w:noProof/>
        </w:rPr>
        <w:t>ad hoc</w:t>
      </w:r>
      <w:r>
        <w:rPr>
          <w:noProof/>
        </w:rPr>
        <w:t xml:space="preserve"> gadījumiem, atbilstības novērtēšanas procedūras būtu jāizvēlas no minētajiem moduļiem. Tomēr šie moduļi ir jāpielāgo, lai atspoguļotu specifiskus mēslošanas līdzekļu elementus. Jo īpaši ir jāstiprina kvalitātes sistēmas un paziņoto struktūru iesaiste dažu no reģenerētiem atkritumiem iegūtu </w:t>
      </w:r>
      <w:r>
        <w:rPr>
          <w:i/>
          <w:noProof/>
        </w:rPr>
        <w:t>CE</w:t>
      </w:r>
      <w:r>
        <w:rPr>
          <w:noProof/>
        </w:rPr>
        <w:t>-marķētu mēslošanas līdzekļu atbilstības novērtēšanā.</w:t>
      </w:r>
    </w:p>
    <w:p>
      <w:pPr>
        <w:pStyle w:val="ManualConsidrant"/>
        <w:rPr>
          <w:noProof/>
        </w:rPr>
      </w:pPr>
      <w:r>
        <w:t>(33)</w:t>
      </w:r>
      <w:r>
        <w:tab/>
      </w:r>
      <w:r>
        <w:rPr>
          <w:noProof/>
        </w:rPr>
        <w:t xml:space="preserve">Lai nodrošinātu, ka </w:t>
      </w:r>
      <w:r>
        <w:rPr>
          <w:i/>
          <w:noProof/>
        </w:rPr>
        <w:t>CE</w:t>
      </w:r>
      <w:r>
        <w:rPr>
          <w:noProof/>
        </w:rPr>
        <w:t>-marķēti amonija nitrāta mēsli ar augstu slāpekļa saturu neapdraud drošību un ka šādi mēsli netiek izmantoti nevis paredzētajam nolūkam, bet kā citādi, piemēram, kā sprāgstvielas, šādiem mēsliem vajadzētu piemērot īpašas prasības attiecībā uz detonācijnoturības testu un izsekojamību.</w:t>
      </w:r>
    </w:p>
    <w:p>
      <w:pPr>
        <w:pStyle w:val="ManualConsidrant"/>
        <w:rPr>
          <w:noProof/>
        </w:rPr>
      </w:pPr>
      <w:r>
        <w:t>(34)</w:t>
      </w:r>
      <w:r>
        <w:tab/>
      </w:r>
      <w:r>
        <w:rPr>
          <w:noProof/>
        </w:rPr>
        <w:t xml:space="preserve">Lai tirgus uzraudzības nolūkā faktiski nodrošinātu piekļuvi informācijai, informācija par atbilstību visiem Savienības tiesību aktiem, kas piemērojami </w:t>
      </w:r>
      <w:r>
        <w:rPr>
          <w:i/>
          <w:noProof/>
        </w:rPr>
        <w:t>CE</w:t>
      </w:r>
      <w:r>
        <w:rPr>
          <w:noProof/>
        </w:rPr>
        <w:t>-marķētiem mēslošanas līdzekļiem, jāiesniedz, izmantojot vienotu ES atbilstības deklarāciju. Lai uzņēmējiem samazinātu administratīvo slogu, minētā vienotā ES atbilstības deklarācija var būt dokumentācija, kas sastāv no atsevišķām atbilstības deklarācijām.</w:t>
      </w:r>
    </w:p>
    <w:p>
      <w:pPr>
        <w:pStyle w:val="ManualConsidrant"/>
        <w:rPr>
          <w:noProof/>
        </w:rPr>
      </w:pPr>
      <w:r>
        <w:t>(35)</w:t>
      </w:r>
      <w:r>
        <w:tab/>
      </w:r>
      <w:r>
        <w:rPr>
          <w:i/>
          <w:noProof/>
        </w:rPr>
        <w:t>CE</w:t>
      </w:r>
      <w:r>
        <w:rPr>
          <w:noProof/>
        </w:rPr>
        <w:t xml:space="preserve"> zīme, kas apliecina mēslošanas līdzekļa atbilstību, ir vesela procesa redzamais rezultāts, kas plašā nozīmē aptver arī atbilstības novērtējumu. Regulā (EK) Nr. 765/2008 ir noteikti vispārējie principi, kas reglamentē </w:t>
      </w:r>
      <w:r>
        <w:rPr>
          <w:i/>
          <w:noProof/>
        </w:rPr>
        <w:t>CE</w:t>
      </w:r>
      <w:r>
        <w:rPr>
          <w:noProof/>
        </w:rPr>
        <w:t xml:space="preserve"> zīmi un tās saistību ar citiem marķējumiem. Būtu jānosaka īpaši noteikumi, kas reglamentē </w:t>
      </w:r>
      <w:r>
        <w:rPr>
          <w:i/>
          <w:noProof/>
        </w:rPr>
        <w:t>CE</w:t>
      </w:r>
      <w:r>
        <w:rPr>
          <w:noProof/>
        </w:rPr>
        <w:t xml:space="preserve"> zīmes uzlikšanu mēslošanas līdzekļiem. </w:t>
      </w:r>
    </w:p>
    <w:p>
      <w:pPr>
        <w:pStyle w:val="ManualConsidrant"/>
        <w:rPr>
          <w:noProof/>
        </w:rPr>
      </w:pPr>
      <w:r>
        <w:t>(36)</w:t>
      </w:r>
      <w:r>
        <w:tab/>
      </w:r>
      <w:r>
        <w:rPr>
          <w:noProof/>
        </w:rPr>
        <w:t>Dažas šajā regulā noteiktās atbilstības novērtēšanas procedūras paredz to atbilstības novērtēšanas struktūru iesaistīšanos, kuras dalībvalstis paziņojušas Komisijai.</w:t>
      </w:r>
    </w:p>
    <w:p>
      <w:pPr>
        <w:pStyle w:val="ManualConsidrant"/>
        <w:rPr>
          <w:noProof/>
        </w:rPr>
      </w:pPr>
      <w:r>
        <w:t>(37)</w:t>
      </w:r>
      <w:r>
        <w:tab/>
      </w:r>
      <w:r>
        <w:rPr>
          <w:noProof/>
        </w:rPr>
        <w:t>Ir svarīgi, lai visas paziņotās struktūras savas funkcijas veiktu vienādā līmenī un godīgas konkurences apstākļos. Tādēļ attiecībā uz atbilstības novērtēšanas struktūrām, kuras vēlas tikt paziņotas, lai varētu sniegt atbilstības novērtēšanas pakalpojumus, ir jānosaka obligātās prasības.</w:t>
      </w:r>
    </w:p>
    <w:p>
      <w:pPr>
        <w:pStyle w:val="ManualConsidrant"/>
        <w:rPr>
          <w:noProof/>
        </w:rPr>
      </w:pPr>
      <w:r>
        <w:t>(38)</w:t>
      </w:r>
      <w:r>
        <w:tab/>
      </w:r>
      <w:r>
        <w:rPr>
          <w:noProof/>
        </w:rPr>
        <w:t>Ja atbilstības novērtēšanas struktūra pierāda atbilstību saskaņotajos standartos noteiktajiem kritērijiem, būtu jāpieņem, ka tā atbilst attiecīgajām prasībām, kuras noteiktas šajā regulā.</w:t>
      </w:r>
    </w:p>
    <w:p>
      <w:pPr>
        <w:pStyle w:val="ManualConsidrant"/>
        <w:rPr>
          <w:noProof/>
        </w:rPr>
      </w:pPr>
      <w:r>
        <w:t>(39)</w:t>
      </w:r>
      <w:r>
        <w:tab/>
      </w:r>
      <w:r>
        <w:rPr>
          <w:noProof/>
        </w:rPr>
        <w:t xml:space="preserve">Lai nodrošinātu saskaņotu </w:t>
      </w:r>
      <w:r>
        <w:rPr>
          <w:i/>
          <w:noProof/>
        </w:rPr>
        <w:t>CE</w:t>
      </w:r>
      <w:r>
        <w:rPr>
          <w:noProof/>
        </w:rPr>
        <w:t>-marķētu mēslošanas līdzekļu atbilstības novērtēšanas kvalitātes līmeni, ir arī jānosaka prasības paziņojošajām iestādēm un citām struktūrām, kas piedalās paziņoto struktūru novērtēšanā, paziņošanā un pārraudzīšanā.</w:t>
      </w:r>
    </w:p>
    <w:p>
      <w:pPr>
        <w:pStyle w:val="ManualConsidrant"/>
        <w:rPr>
          <w:noProof/>
        </w:rPr>
      </w:pPr>
      <w:r>
        <w:t>(40)</w:t>
      </w:r>
      <w:r>
        <w:tab/>
      </w:r>
      <w:r>
        <w:rPr>
          <w:noProof/>
        </w:rPr>
        <w:t>Šajā regulā noteiktā sistēma būtu jāpapildina ar akreditācijas sistēmu, kas paredzēta Regulā (EK) Nr. 765/2008. Akreditācija ir svarīgs līdzeklis, kā pārbaudīt atbilstības novērtēšanas struktūru kompetenci, tāpēc arī tā būtu jāizmanto paziņošanā.</w:t>
      </w:r>
    </w:p>
    <w:p>
      <w:pPr>
        <w:pStyle w:val="ManualConsidrant"/>
        <w:rPr>
          <w:noProof/>
        </w:rPr>
      </w:pPr>
      <w:r>
        <w:t>(41)</w:t>
      </w:r>
      <w:r>
        <w:tab/>
      </w:r>
      <w:r>
        <w:rPr>
          <w:noProof/>
        </w:rPr>
        <w:t xml:space="preserve">Sakarā ar dažu mēslošanas līdzekļu komponentmateriālu mainīgo raksturu un dažu tādu kaitējumu potenciāli neatgriezenisko raksturu, kurus varētu izraisīt augsnes un kultūraugu eksponētība piemaisījumiem, Regulā (EK) Nr. 765/2008 paredzētā pārredzamā akreditācija, kas nodrošina šādus komponentus saturošu </w:t>
      </w:r>
      <w:r>
        <w:rPr>
          <w:i/>
          <w:noProof/>
        </w:rPr>
        <w:t>CE</w:t>
      </w:r>
      <w:r>
        <w:rPr>
          <w:noProof/>
        </w:rPr>
        <w:t>-marķētu mēslošanas līdzekļu atbilstības sertifikātu vajadzīgo uzticamību, būtu jāuzskata par vienīgo līdzekli, kā pierādīt atbilstības novērtēšanas struktūru tehnisko kompetenci.</w:t>
      </w:r>
    </w:p>
    <w:p>
      <w:pPr>
        <w:pStyle w:val="ManualConsidrant"/>
        <w:rPr>
          <w:noProof/>
        </w:rPr>
      </w:pPr>
      <w:r>
        <w:t>(42)</w:t>
      </w:r>
      <w:r>
        <w:tab/>
      </w:r>
      <w:r>
        <w:rPr>
          <w:noProof/>
        </w:rPr>
        <w:t xml:space="preserve">Atbilstības novērtēšanas struktūras par dažām savām darbībām, kas saistītas ar atbilstības novērtēšanu, slēdz apakšlīgumus vai izmanto filiāles. Lai nodrošinātu aizsardzības līmeni, kāds nepieciešams tirgū laižamajiem </w:t>
      </w:r>
      <w:r>
        <w:rPr>
          <w:i/>
          <w:noProof/>
        </w:rPr>
        <w:t>CE</w:t>
      </w:r>
      <w:r>
        <w:rPr>
          <w:noProof/>
        </w:rPr>
        <w:t>-marķētiem mēslošanas līdzekļiem, ir ļoti svarīgi, lai apakšlīgumu slēdzēji un filiāles, kuri veic atbilstības novērtēšanu, atbilstu tādām pašām prasībām, kādām atbilst paziņotās struktūras. Tādēļ ir svarīgi, lai paziņojamo struktūru kompetences un snieguma novērtēšana un jau paziņoto struktūru pārraudzīšana attiektos arī uz darbībām, kuras veic apakšlīgumu slēdzēji un filiāles.</w:t>
      </w:r>
    </w:p>
    <w:p>
      <w:pPr>
        <w:pStyle w:val="ManualConsidrant"/>
        <w:rPr>
          <w:noProof/>
        </w:rPr>
      </w:pPr>
      <w:r>
        <w:t>(43)</w:t>
      </w:r>
      <w:r>
        <w:tab/>
      </w:r>
      <w:r>
        <w:rPr>
          <w:noProof/>
        </w:rPr>
        <w:t>Nepieciešams nodrošināt efektīvu un pārredzamu paziņošanas procedūru, jo īpaši pielāgojot to jaunajām tehnoloģijām, lai paziņošanu varētu veikt elektroniski.</w:t>
      </w:r>
    </w:p>
    <w:p>
      <w:pPr>
        <w:pStyle w:val="ManualConsidrant"/>
        <w:rPr>
          <w:noProof/>
        </w:rPr>
      </w:pPr>
      <w:r>
        <w:t>(44)</w:t>
      </w:r>
      <w:r>
        <w:tab/>
      </w:r>
      <w:r>
        <w:rPr>
          <w:noProof/>
        </w:rPr>
        <w:t xml:space="preserve">Paziņoto struktūru piedāvātie pakalpojumi var attiekties uz </w:t>
      </w:r>
      <w:r>
        <w:rPr>
          <w:i/>
          <w:noProof/>
        </w:rPr>
        <w:t>CE</w:t>
      </w:r>
      <w:r>
        <w:rPr>
          <w:noProof/>
        </w:rPr>
        <w:t>-marķētiem mēslošanas līdzekļiem, kas ir darīti pieejami tirgū visā Savienībā, tāpēc ir lietderīgi dot pārējām dalībvalstīm un Komisijai iespēju iebilst pret paziņoto struktūru. Tādēļ ir svarīgi noteikt laikposmu, kurā var novērst visas šaubas vai bažas par atbilstības novērtēšanas struktūru kompetenci, pirms tās sāk darboties kā paziņotās struktūras.</w:t>
      </w:r>
    </w:p>
    <w:p>
      <w:pPr>
        <w:pStyle w:val="ManualConsidrant"/>
        <w:rPr>
          <w:noProof/>
        </w:rPr>
      </w:pPr>
      <w:r>
        <w:t>(45)</w:t>
      </w:r>
      <w:r>
        <w:tab/>
      </w:r>
      <w:r>
        <w:rPr>
          <w:noProof/>
        </w:rPr>
        <w:t>Lai vienkāršotu piekļuvi tirgum, ir svarīgi, lai paziņotās struktūras atbilstības novērtēšanas procedūras piemērotu, lieki neapgrūtinot uzņēmējus. Tā paša iemesla dēļ un lai nodrošinātu vienādu attieksmi pret uzņēmējiem, jānodrošina konsekventa atbilstības novērtēšanas procedūru tehniskā piemērošana. Vislabāk to var panākt ar attiecīgu koordinēšanu un sadarbību starp paziņotajām struktūrām.</w:t>
      </w:r>
    </w:p>
    <w:p>
      <w:pPr>
        <w:pStyle w:val="ManualConsidrant"/>
        <w:rPr>
          <w:noProof/>
        </w:rPr>
      </w:pPr>
      <w:r>
        <w:t>(46)</w:t>
      </w:r>
      <w:r>
        <w:tab/>
      </w:r>
      <w:r>
        <w:rPr>
          <w:noProof/>
        </w:rPr>
        <w:t xml:space="preserve">Lai nodrošinātu juridisko noteiktību, jāprecizē, ka Regulas (EK) Nr. 765/2008 noteikumus par iekšējā tirgus uzraudzību un kontroli attiecībā uz produktiem, kas nokļūst iekšējā tirgū, piemēro </w:t>
      </w:r>
      <w:r>
        <w:rPr>
          <w:i/>
          <w:noProof/>
        </w:rPr>
        <w:t>CE</w:t>
      </w:r>
      <w:r>
        <w:rPr>
          <w:noProof/>
        </w:rPr>
        <w:t xml:space="preserve">-marķētiem mēslošanas līdzekļiem, uz kuriem attiecas šī regula. Šai regulai nevajadzētu radīt šķēršļus dalībvalstīm, tām izraugoties kompetentās iestādes šo uzdevumu veikšanai. </w:t>
      </w:r>
    </w:p>
    <w:p>
      <w:pPr>
        <w:pStyle w:val="ManualConsidrant"/>
        <w:rPr>
          <w:noProof/>
        </w:rPr>
      </w:pPr>
      <w:r>
        <w:t>(47)</w:t>
      </w:r>
      <w:r>
        <w:tab/>
      </w:r>
      <w:r>
        <w:rPr>
          <w:i/>
          <w:noProof/>
        </w:rPr>
        <w:t>CE</w:t>
      </w:r>
      <w:r>
        <w:rPr>
          <w:noProof/>
        </w:rPr>
        <w:t xml:space="preserve">-marķētus mēslošanas līdzekļus vajadzētu laist tirgū tikai tad, ja tie ir pietiekami iedarbīgi un, pareizi uzglabāti un lietoti paredzētajam nolūkam vai saprātīgi paredzamos lietošanas apstākļos, proti, ja šāda lietošana varētu būt likumīgas un viegli paredzamas cilvēku uzvedības rezultāts, nepieņemami neapdraud cilvēka, dzīvnieku vai augu veselību, drošību vai vidi. Tāpēc būtu jānosaka prasības attiecībā uz drošību un kvalitāti, kā arī atbilstoši kontroles mehānismi. Turklāt </w:t>
      </w:r>
      <w:r>
        <w:rPr>
          <w:i/>
          <w:noProof/>
        </w:rPr>
        <w:t>CE</w:t>
      </w:r>
      <w:r>
        <w:rPr>
          <w:noProof/>
        </w:rPr>
        <w:t xml:space="preserve">-marķēto mēslošanas līdzekļu paredzētā lietojuma dēļ pārtikai vai barībai nevajadzētu kļūt tādai, kas nav nekaitīga. </w:t>
      </w:r>
    </w:p>
    <w:p>
      <w:pPr>
        <w:pStyle w:val="ManualConsidrant"/>
        <w:rPr>
          <w:noProof/>
        </w:rPr>
      </w:pPr>
      <w:r>
        <w:t>(48)</w:t>
      </w:r>
      <w:r>
        <w:tab/>
      </w:r>
      <w:r>
        <w:rPr>
          <w:noProof/>
        </w:rPr>
        <w:t xml:space="preserve">Regulā (EK) Nr. 2003/2003 ir paredzēta drošības procedūra, kas Komisijai dod iespēju pārbaudīt, vai dalībvalsts veiktais pasākums attiecībā uz </w:t>
      </w:r>
      <w:r>
        <w:rPr>
          <w:i/>
          <w:noProof/>
        </w:rPr>
        <w:t>CE</w:t>
      </w:r>
      <w:r>
        <w:rPr>
          <w:noProof/>
        </w:rPr>
        <w:t>-marķētiem mēsliem, kas uzskatāmi par tādiem, kuri rada apdraudējumu, ir pamatots. Lai uzlabotu pārredzamību un samazinātu procedūras laiku, jāuzlabo esošā drošības procedūra, lai to padarītu efektīvāku un lai tajā izmantotu dalībvalstīm pieejamās zināšanas.</w:t>
      </w:r>
    </w:p>
    <w:p>
      <w:pPr>
        <w:pStyle w:val="ManualConsidrant"/>
        <w:rPr>
          <w:noProof/>
        </w:rPr>
      </w:pPr>
      <w:r>
        <w:t>(49)</w:t>
      </w:r>
      <w:r>
        <w:tab/>
      </w:r>
      <w:r>
        <w:rPr>
          <w:noProof/>
        </w:rPr>
        <w:t xml:space="preserve">Pašreizējā sistēma būtu jāpapildina ar procedūru, kas ieinteresētajām personām dod iespēju saņemt informāciju par pasākumiem, kurus paredzēts veikt attiecībā uz </w:t>
      </w:r>
      <w:r>
        <w:rPr>
          <w:i/>
          <w:noProof/>
        </w:rPr>
        <w:t>CE</w:t>
      </w:r>
      <w:r>
        <w:rPr>
          <w:noProof/>
        </w:rPr>
        <w:t>-marķētiem mēslošanas līdzekļiem, kas rada nepieņemamu apdraudējumu cilvēka, dzīvnieku vai augu veselībai, drošībai vai videi. Tai arī būtu jādod iespēja arī tirgus uzraudzības iestādēm sadarbībā ar attiecīgajiem uzņēmējiem savlaicīgi rīkoties attiecībā uz šādiem mēslošanas līdzekļiem.</w:t>
      </w:r>
    </w:p>
    <w:p>
      <w:pPr>
        <w:pStyle w:val="ManualConsidrant"/>
        <w:rPr>
          <w:noProof/>
        </w:rPr>
      </w:pPr>
      <w:r>
        <w:t>(50)</w:t>
      </w:r>
      <w:r>
        <w:tab/>
      </w:r>
      <w:r>
        <w:rPr>
          <w:noProof/>
        </w:rPr>
        <w:t>Ja dalībvalstis un Komisija vienojas par kādas dalībvalsts veiktā pasākuma pamatotību, Komisijai turpmāk būtu jāiesaistās tikai tad, ja neatbilstības iemesls var būt saskaņotā standarta trūkumi un tādā gadījumā būtu jāpiemēro Regulā (ES) Nr. 1025/2012 noteiktā formālā iebilduma procedūra pret saskaņotajiem standartiem. </w:t>
      </w:r>
    </w:p>
    <w:p>
      <w:pPr>
        <w:pStyle w:val="ManualConsidrant"/>
        <w:rPr>
          <w:noProof/>
        </w:rPr>
      </w:pPr>
      <w:r>
        <w:t>(51)</w:t>
      </w:r>
      <w:r>
        <w:tab/>
      </w:r>
      <w:r>
        <w:rPr>
          <w:noProof/>
        </w:rPr>
        <w:t>Lai nodrošinātu vienādus nosacījumus šīs regulas īstenošanai, Komisijai būtu jāpiešķir īstenošanas pilnvaras. Minētās pilnvaras būtu jāizmanto saskaņā ar Eiropas Parlamenta un Padomes Regulu (ES) Nr. 182/2011</w:t>
      </w:r>
      <w:r>
        <w:rPr>
          <w:rStyle w:val="FootnoteReference"/>
          <w:noProof/>
        </w:rPr>
        <w:footnoteReference w:id="31"/>
      </w:r>
      <w:r>
        <w:rPr>
          <w:noProof/>
        </w:rPr>
        <w:t>.</w:t>
      </w:r>
    </w:p>
    <w:p>
      <w:pPr>
        <w:pStyle w:val="ManualConsidrant"/>
        <w:rPr>
          <w:noProof/>
        </w:rPr>
      </w:pPr>
      <w:r>
        <w:t>(52)</w:t>
      </w:r>
      <w:r>
        <w:tab/>
      </w:r>
      <w:r>
        <w:rPr>
          <w:noProof/>
        </w:rPr>
        <w:t>Lai pieņemtu īstenošanas aktus, kuros paziņojušajai dalībvalstij noteikta prasība veikt nepieciešamos koriģējošos pasākumus attiecībā uz paziņotajām struktūrām, kas neatbilst vai vairs neatbilst to paziņošanas prasībām, būtu jāizmanto konsultēšanās procedūra, jo šādi akti neietilpst Regulas (ES) Nr. 182/2011 2. panta 2. punkta darbības jomā.</w:t>
      </w:r>
    </w:p>
    <w:p>
      <w:pPr>
        <w:pStyle w:val="ManualConsidrant"/>
        <w:rPr>
          <w:noProof/>
        </w:rPr>
      </w:pPr>
      <w:r>
        <w:t>(53)</w:t>
      </w:r>
      <w:r>
        <w:tab/>
      </w:r>
      <w:r>
        <w:rPr>
          <w:noProof/>
        </w:rPr>
        <w:t xml:space="preserve">Lai pieņemtu īstenošanas aktus attiecībā uz atbilstīgiem </w:t>
      </w:r>
      <w:r>
        <w:rPr>
          <w:i/>
          <w:noProof/>
        </w:rPr>
        <w:t>CE</w:t>
      </w:r>
      <w:r>
        <w:rPr>
          <w:noProof/>
        </w:rPr>
        <w:t>-marķētiem mēslošanas līdzekļiem, kas nepieņemami apdraud cilvēka, dzīvnieku vai augu veselību, drošību vai vidi, būtu jāizmanto pārbaudes procedūra, jo šādi akti ietilpst Regulas (ES) Nr. 182/2011 2. panta 2. punkta darbības jomā. Šā paša iemesla dēļ tā būtu arī jāizmanto, lai pieņemtu, grozītu vai atceltu kopīgās specifikācijas.</w:t>
      </w:r>
    </w:p>
    <w:p>
      <w:pPr>
        <w:pStyle w:val="ManualConsidrant"/>
        <w:rPr>
          <w:noProof/>
        </w:rPr>
      </w:pPr>
      <w:r>
        <w:t>(54)</w:t>
      </w:r>
      <w:r>
        <w:tab/>
      </w:r>
      <w:r>
        <w:rPr>
          <w:noProof/>
        </w:rPr>
        <w:t xml:space="preserve">Komisijai būtu ar īstenošanas aktiem jānosaka, vai dalībvalstu veiktie pasākumi attiecībā uz neatbilstīgiem </w:t>
      </w:r>
      <w:r>
        <w:rPr>
          <w:i/>
          <w:noProof/>
        </w:rPr>
        <w:t>CE</w:t>
      </w:r>
      <w:r>
        <w:rPr>
          <w:noProof/>
        </w:rPr>
        <w:t>-marķētiem mēslošanas līdzekļiem ir pamatoti. Šie tiesību akti attieksies uz jautājumu par to, vai valsts pasākumi ir pamatoti, tāpēc nav nepieciešams, ka dalībvalstis tos kontrolē.</w:t>
      </w:r>
    </w:p>
    <w:p>
      <w:pPr>
        <w:pStyle w:val="ManualConsidrant"/>
        <w:rPr>
          <w:noProof/>
        </w:rPr>
      </w:pPr>
      <w:r>
        <w:t>(55)</w:t>
      </w:r>
      <w:r>
        <w:tab/>
      </w:r>
      <w:r>
        <w:rPr>
          <w:noProof/>
        </w:rPr>
        <w:t xml:space="preserve">Atkritumu pārstrādes jomā ir panākts daudzsološs tehniskais progress, piemēram, fosfora pārstrāde no notekūdeņu dūņām un mēslošanas līdzekļu ražošana no dzīvnieku izcelsmes blakusproduktiem, piemēram, biokokoglēm. Ja ražošanas procesi ir zinātniski analizēti un Savienības līmenī ir noteiktas procesa prasības, vajadzētu būt, ka attiecībā uz līdzekļiem, kas satur šādus materiālus vai no tiem sastāv, iespējama brīva piekļuve iekšējam tirgum bez liekas kavēšanās. Šajā nolūkā saskaņā ar Līguma par Eiropas Savienības darbību 290. pantu būtu jādeleģē Komisijai pilnvaras pieņemt tādus tiesību aktus, lai </w:t>
      </w:r>
      <w:r>
        <w:rPr>
          <w:i/>
          <w:noProof/>
        </w:rPr>
        <w:t>CE</w:t>
      </w:r>
      <w:r>
        <w:rPr>
          <w:noProof/>
        </w:rPr>
        <w:t>-marķētiem mēslošanas līdzekļiem vai šādu līdzekļu ražošanai atbilstīgiem komponentmateriāliem noteiktu plašākas kategorijas vai papildkategorijas. Attiecībā uz dzīvnieku izcelsmes blakusproduktiem komponentmateriālu kategorijas būtu jāpaplašina vai jāpapildina tikai tad, ja saskaņā ar Regulā (EK) Nr. 1069/2009 noteiktajām procedūrām ražošanas ķēdē ir noteikts beigu punkts, jo dzīvnieku izcelsmes blakusprodukti, attiecībā uz kuriem šāds beigu punkts nav noteikts, jebkurā gadījumā nav šīs regulas darbības jomā.</w:t>
      </w:r>
    </w:p>
    <w:p>
      <w:pPr>
        <w:pStyle w:val="ManualConsidrant"/>
        <w:rPr>
          <w:noProof/>
        </w:rPr>
      </w:pPr>
      <w:r>
        <w:t>(56)</w:t>
      </w:r>
      <w:r>
        <w:tab/>
      </w:r>
      <w:r>
        <w:rPr>
          <w:noProof/>
        </w:rPr>
        <w:t xml:space="preserve">Turklāt vajadzētu būt iespējai nekavējoties reaģēt uz jauniem konstatējumiem attiecībā uz nosacījumu, ka </w:t>
      </w:r>
      <w:r>
        <w:rPr>
          <w:i/>
          <w:noProof/>
        </w:rPr>
        <w:t>CE</w:t>
      </w:r>
      <w:r>
        <w:rPr>
          <w:noProof/>
        </w:rPr>
        <w:t xml:space="preserve">-marķētiem mēslošanas līdzekļiem jābūt pietiekami iedarbīgiem, un jauniem apdraudējuma novērtējumiem attiecībā uz cilvēka, dzīvnieku vai augu veselību, drošību vai vidi. Šajā nolūkā saskaņā ar Līguma 290. pantu Komisijai būtu jādeleģē pilnvaras pieņemt aktus, lai varētu grozīt dažādām </w:t>
      </w:r>
      <w:r>
        <w:rPr>
          <w:i/>
          <w:noProof/>
        </w:rPr>
        <w:t>CE</w:t>
      </w:r>
      <w:r>
        <w:rPr>
          <w:noProof/>
        </w:rPr>
        <w:t>-marķētu mēslošanas līdzekļu kategorijām piemērojamās prasības.</w:t>
      </w:r>
    </w:p>
    <w:p>
      <w:pPr>
        <w:pStyle w:val="ManualConsidrant"/>
        <w:rPr>
          <w:noProof/>
        </w:rPr>
      </w:pPr>
      <w:r>
        <w:t>(57)</w:t>
      </w:r>
      <w:r>
        <w:tab/>
      </w:r>
      <w:r>
        <w:rPr>
          <w:noProof/>
        </w:rPr>
        <w:t>Ir īpaši svarīgi, lai Komisija, īstenojot minētās pilnvaras, sagatavošanas darbu laikā attiecīgi apspriestos, tostarp ar ekspertiem. Komisijai, sagatavojot un izstrādājot deleģētos aktus, būtu jānodrošina vienlaicīga, savlaicīga un atbilstīga attiecīgo dokumentu nosūtīšana Eiropas Parlamentam un Padomei.</w:t>
      </w:r>
    </w:p>
    <w:p>
      <w:pPr>
        <w:pStyle w:val="ManualConsidrant"/>
        <w:rPr>
          <w:noProof/>
        </w:rPr>
      </w:pPr>
      <w:r>
        <w:t>(58)</w:t>
      </w:r>
      <w:r>
        <w:tab/>
      </w:r>
      <w:r>
        <w:rPr>
          <w:noProof/>
        </w:rPr>
        <w:t>Dalībvalstīm būtu jāpieņem noteikumi par sankcijām, ko piemērot par šīs regulas pārkāpumiem, un jāgādā, ka minētie noteikumi tiek piemēroti. Attiecīgajām sankcijām vajadzētu būt iedarbīgām, samērīgām un atturošām.</w:t>
      </w:r>
    </w:p>
    <w:p>
      <w:pPr>
        <w:pStyle w:val="ManualConsidrant"/>
        <w:rPr>
          <w:noProof/>
        </w:rPr>
      </w:pPr>
      <w:r>
        <w:t>(59)</w:t>
      </w:r>
      <w:r>
        <w:tab/>
      </w:r>
      <w:r>
        <w:rPr>
          <w:noProof/>
        </w:rPr>
        <w:t xml:space="preserve">Ir jāparedz pārejas pasākumi, kas ļautu darīt pieejamus tirgū </w:t>
      </w:r>
      <w:r>
        <w:rPr>
          <w:i/>
          <w:noProof/>
        </w:rPr>
        <w:t>CE</w:t>
      </w:r>
      <w:r>
        <w:rPr>
          <w:noProof/>
        </w:rPr>
        <w:t xml:space="preserve">-marķētus mēslus, kuri ir laisti tirgū pirms šīs regulas piemērošanas dienas saskaņā ar Regulu (EK) Nr. 2003/2003, bez nepieciešamības panākt atbilstību papildu prasībām attiecībā uz ražojumiem. Tādēļ izplatītājiem pirms dienas, kad jāpiemēro šī regula, vajadzētu varēt piegādāt tirgū laistus </w:t>
      </w:r>
      <w:r>
        <w:rPr>
          <w:i/>
          <w:noProof/>
        </w:rPr>
        <w:t>CE</w:t>
      </w:r>
      <w:r>
        <w:rPr>
          <w:noProof/>
        </w:rPr>
        <w:t>-marķētus mēslus, proti, krājumus, kas jau ir izplatīšanas ķēdē.</w:t>
      </w:r>
    </w:p>
    <w:p>
      <w:pPr>
        <w:pStyle w:val="ManualConsidrant"/>
        <w:rPr>
          <w:noProof/>
        </w:rPr>
      </w:pPr>
      <w:r>
        <w:t>(60)</w:t>
      </w:r>
      <w:r>
        <w:tab/>
      </w:r>
      <w:r>
        <w:rPr>
          <w:noProof/>
        </w:rPr>
        <w:t>Ir jāparedz pietiekams laiks, lai uzņēmēji varētu izpildīt pienākumus, kas paredzēti šajā regulā, un dalībvalstis varētu izveidot administratīvo infrastruktūru, kas vajadzīga tās piemērošanai. Tāpēc piemērošana būtu jāatliek uz vēlāku datumu, kad var pamatoti sagaidīt, ka šie sagatavošanās darbi būs pabeigti.</w:t>
      </w:r>
    </w:p>
    <w:p>
      <w:pPr>
        <w:pStyle w:val="ManualConsidrant"/>
        <w:rPr>
          <w:noProof/>
        </w:rPr>
      </w:pPr>
      <w:r>
        <w:t>(61)</w:t>
      </w:r>
      <w:r>
        <w:tab/>
      </w:r>
      <w:r>
        <w:rPr>
          <w:noProof/>
        </w:rPr>
        <w:t xml:space="preserve">Ņemot vērā to, ka šīs regulas mērķi, proti, nodrošināt iekšējā tirgus darbību, vienlaikus nodrošinot, ka tirgū esošie </w:t>
      </w:r>
      <w:r>
        <w:rPr>
          <w:i/>
          <w:noProof/>
        </w:rPr>
        <w:t>CE</w:t>
      </w:r>
      <w:r>
        <w:rPr>
          <w:noProof/>
        </w:rPr>
        <w:t>-marķētie mēslošanas līdzekļi atbilst prasībām, kas paredz augstu cilvēka, dzīvnieku un augu veselības, drošības un vides aizsardzības līmeni, nevar pietiekami labi sasniegt atsevišķās dalībvalstīs, bet minēto mērķi tā vēriena un seku dēļ var labāk sasniegt Savienības līmenī, Savienība var pieņemt pasākumus saskaņā ar Līguma par Eiropas Savienību 5. pantā noteikto subsidiaritātes principu. Saskaņā ar minētajā pantā noteikto proporcionalitātes principu šajā regulā paredzēti tikai tādi pasākumi, kas ir vajadzīgi minētā mērķa sasniegšanai,</w:t>
      </w:r>
    </w:p>
    <w:p>
      <w:pPr>
        <w:pStyle w:val="Formuledadoption"/>
        <w:rPr>
          <w:noProof/>
        </w:rPr>
      </w:pPr>
      <w:r>
        <w:rPr>
          <w:noProof/>
        </w:rPr>
        <w:t>IR PIEŅĒMUŠI ŠO REGULU.</w:t>
      </w:r>
    </w:p>
    <w:p>
      <w:pPr>
        <w:pStyle w:val="ChapterTitle"/>
        <w:rPr>
          <w:noProof/>
        </w:rPr>
      </w:pPr>
      <w:r>
        <w:rPr>
          <w:b w:val="0"/>
          <w:caps/>
          <w:noProof/>
        </w:rPr>
        <w:t>1. nodaļa</w:t>
      </w:r>
      <w:r>
        <w:rPr>
          <w:noProof/>
        </w:rPr>
        <w:br/>
      </w:r>
      <w:r>
        <w:rPr>
          <w:caps/>
          <w:noProof/>
        </w:rPr>
        <w:t>Vispārīgi noteikumi</w:t>
      </w:r>
    </w:p>
    <w:p>
      <w:pPr>
        <w:pStyle w:val="Titrearticle"/>
        <w:rPr>
          <w:b/>
          <w:i w:val="0"/>
          <w:noProof/>
        </w:rPr>
      </w:pPr>
      <w:r>
        <w:rPr>
          <w:noProof/>
        </w:rPr>
        <w:t>1. pants</w:t>
      </w:r>
      <w:r>
        <w:rPr>
          <w:noProof/>
        </w:rPr>
        <w:br/>
      </w:r>
      <w:r>
        <w:rPr>
          <w:b/>
          <w:i w:val="0"/>
          <w:noProof/>
        </w:rPr>
        <w:t>Darbības joma</w:t>
      </w:r>
    </w:p>
    <w:p>
      <w:pPr>
        <w:pStyle w:val="ManualNumPar1"/>
        <w:rPr>
          <w:noProof/>
        </w:rPr>
      </w:pPr>
      <w:r>
        <w:t>1.</w:t>
      </w:r>
      <w:r>
        <w:tab/>
      </w:r>
      <w:r>
        <w:rPr>
          <w:noProof/>
        </w:rPr>
        <w:t xml:space="preserve">Šī regula attiecas uz mēslošanas līdzekļiem, kas marķēti ar </w:t>
      </w:r>
      <w:r>
        <w:rPr>
          <w:i/>
          <w:noProof/>
        </w:rPr>
        <w:t>CE</w:t>
      </w:r>
      <w:r>
        <w:rPr>
          <w:noProof/>
        </w:rPr>
        <w:t xml:space="preserve"> zīmi.</w:t>
      </w:r>
    </w:p>
    <w:p>
      <w:pPr>
        <w:pStyle w:val="Text1"/>
        <w:keepNext/>
        <w:ind w:left="851"/>
        <w:rPr>
          <w:noProof/>
        </w:rPr>
      </w:pPr>
      <w:r>
        <w:rPr>
          <w:noProof/>
        </w:rPr>
        <w:t>Tomēr šī regula neattiecas uz šādiem izstrādājumiem:</w:t>
      </w:r>
    </w:p>
    <w:p>
      <w:pPr>
        <w:pStyle w:val="Point1letter"/>
        <w:numPr>
          <w:ilvl w:val="3"/>
          <w:numId w:val="11"/>
        </w:numPr>
        <w:rPr>
          <w:noProof/>
        </w:rPr>
      </w:pPr>
      <w:r>
        <w:rPr>
          <w:noProof/>
        </w:rPr>
        <w:t>dzīvnieku blakusproduktiem, uz kuriem attiecas Regulas (EK) Nr. 1069/2009 prasības,</w:t>
      </w:r>
    </w:p>
    <w:p>
      <w:pPr>
        <w:pStyle w:val="Point1letter"/>
        <w:rPr>
          <w:noProof/>
        </w:rPr>
      </w:pPr>
      <w:r>
        <w:rPr>
          <w:noProof/>
        </w:rPr>
        <w:t>augu aizsardzības līdzekļiem, kas ir Regulas (EK) Nr. 1107/2009 darbības jomā.</w:t>
      </w:r>
    </w:p>
    <w:p>
      <w:pPr>
        <w:pStyle w:val="ManualNumPar1"/>
        <w:rPr>
          <w:noProof/>
        </w:rPr>
      </w:pPr>
      <w:r>
        <w:t>2.</w:t>
      </w:r>
      <w:r>
        <w:tab/>
      </w:r>
      <w:r>
        <w:rPr>
          <w:noProof/>
        </w:rPr>
        <w:t>Šī regula neskar šādu tiesību aktu piemērošanu:</w:t>
      </w:r>
    </w:p>
    <w:p>
      <w:pPr>
        <w:pStyle w:val="Point1letter"/>
        <w:numPr>
          <w:ilvl w:val="3"/>
          <w:numId w:val="3"/>
        </w:numPr>
        <w:rPr>
          <w:noProof/>
        </w:rPr>
      </w:pPr>
      <w:r>
        <w:rPr>
          <w:noProof/>
        </w:rPr>
        <w:t>Direktīva 86/278/EEK,</w:t>
      </w:r>
    </w:p>
    <w:p>
      <w:pPr>
        <w:pStyle w:val="Point1letter"/>
        <w:rPr>
          <w:noProof/>
        </w:rPr>
      </w:pPr>
      <w:r>
        <w:rPr>
          <w:noProof/>
        </w:rPr>
        <w:t xml:space="preserve">Direktīva 89/391/EEK, </w:t>
      </w:r>
    </w:p>
    <w:p>
      <w:pPr>
        <w:pStyle w:val="Point1letter"/>
        <w:rPr>
          <w:noProof/>
        </w:rPr>
      </w:pPr>
      <w:r>
        <w:rPr>
          <w:noProof/>
        </w:rPr>
        <w:t>Regula (EK) Nr. 1907/2006,</w:t>
      </w:r>
    </w:p>
    <w:p>
      <w:pPr>
        <w:pStyle w:val="Point1letter"/>
        <w:rPr>
          <w:noProof/>
        </w:rPr>
      </w:pPr>
      <w:r>
        <w:rPr>
          <w:noProof/>
        </w:rPr>
        <w:t>Regula (EK) Nr. 1272/2008,</w:t>
      </w:r>
    </w:p>
    <w:p>
      <w:pPr>
        <w:pStyle w:val="Point1letter"/>
        <w:rPr>
          <w:noProof/>
        </w:rPr>
      </w:pPr>
      <w:r>
        <w:rPr>
          <w:noProof/>
        </w:rPr>
        <w:t>Regula (EK) Nr. 1881/2006,</w:t>
      </w:r>
    </w:p>
    <w:p>
      <w:pPr>
        <w:pStyle w:val="Point1letter"/>
        <w:rPr>
          <w:noProof/>
        </w:rPr>
      </w:pPr>
      <w:r>
        <w:rPr>
          <w:noProof/>
        </w:rPr>
        <w:t>Direktīva 2000/29/EK,</w:t>
      </w:r>
    </w:p>
    <w:p>
      <w:pPr>
        <w:pStyle w:val="Point1letter"/>
        <w:rPr>
          <w:noProof/>
        </w:rPr>
      </w:pPr>
      <w:r>
        <w:rPr>
          <w:noProof/>
        </w:rPr>
        <w:t>Regula (ES) Nr. 98/2013,</w:t>
      </w:r>
    </w:p>
    <w:p>
      <w:pPr>
        <w:pStyle w:val="Point1letter"/>
        <w:rPr>
          <w:noProof/>
        </w:rPr>
      </w:pPr>
      <w:r>
        <w:rPr>
          <w:noProof/>
        </w:rPr>
        <w:t>Regula (ES) Nr. 1143/2014.</w:t>
      </w:r>
    </w:p>
    <w:p>
      <w:pPr>
        <w:pStyle w:val="Titrearticle"/>
        <w:rPr>
          <w:noProof/>
        </w:rPr>
      </w:pPr>
      <w:r>
        <w:rPr>
          <w:noProof/>
        </w:rPr>
        <w:t>2. pants</w:t>
      </w:r>
      <w:r>
        <w:rPr>
          <w:noProof/>
        </w:rPr>
        <w:br/>
      </w:r>
      <w:r>
        <w:rPr>
          <w:b/>
          <w:i w:val="0"/>
          <w:noProof/>
        </w:rPr>
        <w:t>Definīcijas</w:t>
      </w:r>
    </w:p>
    <w:p>
      <w:pPr>
        <w:pStyle w:val="Text1"/>
        <w:rPr>
          <w:noProof/>
        </w:rPr>
      </w:pPr>
      <w:r>
        <w:rPr>
          <w:noProof/>
        </w:rPr>
        <w:t>Šajā regulā piemēro šādas definīcijas:</w:t>
      </w:r>
    </w:p>
    <w:p>
      <w:pPr>
        <w:pStyle w:val="Point1number"/>
        <w:numPr>
          <w:ilvl w:val="2"/>
          <w:numId w:val="54"/>
        </w:numPr>
        <w:rPr>
          <w:noProof/>
        </w:rPr>
      </w:pPr>
      <w:r>
        <w:rPr>
          <w:noProof/>
        </w:rPr>
        <w:t>"mēslošanas līdzeklis" ir viela, maisījums, mikroorganisms vai jebkāds cits materiāls, ko vienu pašu vai ar citu materiālu sajauktu aplicē vai paredz aplicēt uz augiem vai to rizosfēras, augus apgādājot ar barības elementiem vai efektivizējot to barošanos,</w:t>
      </w:r>
    </w:p>
    <w:p>
      <w:pPr>
        <w:pStyle w:val="Point1number"/>
        <w:numPr>
          <w:ilvl w:val="2"/>
          <w:numId w:val="54"/>
        </w:numPr>
        <w:rPr>
          <w:noProof/>
        </w:rPr>
      </w:pPr>
      <w:r>
        <w:rPr>
          <w:noProof/>
        </w:rPr>
        <w:t>"</w:t>
      </w:r>
      <w:r>
        <w:rPr>
          <w:i/>
          <w:noProof/>
        </w:rPr>
        <w:t>CE</w:t>
      </w:r>
      <w:r>
        <w:rPr>
          <w:noProof/>
        </w:rPr>
        <w:t xml:space="preserve">-marķēts mēslošanas līdzeklis" ir mēslošanas līdzeklis, ko tirgū pieejamu dara pēc </w:t>
      </w:r>
      <w:r>
        <w:rPr>
          <w:i/>
          <w:noProof/>
        </w:rPr>
        <w:t>CE</w:t>
      </w:r>
      <w:r>
        <w:rPr>
          <w:noProof/>
        </w:rPr>
        <w:t xml:space="preserve"> zīmes uzlikšanas,</w:t>
      </w:r>
    </w:p>
    <w:p>
      <w:pPr>
        <w:pStyle w:val="Point1number"/>
        <w:rPr>
          <w:noProof/>
        </w:rPr>
      </w:pPr>
      <w:r>
        <w:rPr>
          <w:noProof/>
        </w:rPr>
        <w:t>"viela" ir viela Regulas (EK) Nr. 1907/2006 3. panta 1. punkta nozīmē,</w:t>
      </w:r>
    </w:p>
    <w:p>
      <w:pPr>
        <w:pStyle w:val="Point1number"/>
        <w:rPr>
          <w:noProof/>
        </w:rPr>
      </w:pPr>
      <w:r>
        <w:rPr>
          <w:noProof/>
        </w:rPr>
        <w:t>"maisījums" ir maisījums Regulas (EK) Nr. 1907/2006 3. panta 2. punkta nozīmē,</w:t>
      </w:r>
    </w:p>
    <w:p>
      <w:pPr>
        <w:pStyle w:val="Point1number"/>
        <w:rPr>
          <w:noProof/>
        </w:rPr>
      </w:pPr>
      <w:r>
        <w:rPr>
          <w:noProof/>
        </w:rPr>
        <w:t>"mikroorganisms" ir mikoroorganisms Regulas (EK) Nr. 1107/2009 3. panta 15. punkta nozīmē,</w:t>
      </w:r>
    </w:p>
    <w:p>
      <w:pPr>
        <w:pStyle w:val="Point1number"/>
        <w:rPr>
          <w:noProof/>
        </w:rPr>
      </w:pPr>
      <w:r>
        <w:rPr>
          <w:noProof/>
        </w:rPr>
        <w:t xml:space="preserve">"darīt pieejamu tirgū" ir, veicot komercdarbību, </w:t>
      </w:r>
      <w:r>
        <w:rPr>
          <w:i/>
          <w:noProof/>
        </w:rPr>
        <w:t>CE</w:t>
      </w:r>
      <w:r>
        <w:rPr>
          <w:noProof/>
        </w:rPr>
        <w:t>-marķētu mēslošanas līdzekli par maksu vai bez maksas piegādāt izplatīšanai vai izmantošanai Savienības tirgū,</w:t>
      </w:r>
    </w:p>
    <w:p>
      <w:pPr>
        <w:pStyle w:val="Point1number"/>
        <w:rPr>
          <w:noProof/>
        </w:rPr>
      </w:pPr>
      <w:r>
        <w:rPr>
          <w:noProof/>
        </w:rPr>
        <w:t xml:space="preserve">"laist tirgū" ir </w:t>
      </w:r>
      <w:r>
        <w:rPr>
          <w:i/>
          <w:noProof/>
        </w:rPr>
        <w:t>CE</w:t>
      </w:r>
      <w:r>
        <w:rPr>
          <w:noProof/>
        </w:rPr>
        <w:t>-marķētu mēslošanas līdzekli pirmo reizi darīt pieejamu Savienības tirgū,</w:t>
      </w:r>
    </w:p>
    <w:p>
      <w:pPr>
        <w:pStyle w:val="Point1number"/>
        <w:rPr>
          <w:noProof/>
        </w:rPr>
      </w:pPr>
      <w:r>
        <w:rPr>
          <w:noProof/>
        </w:rPr>
        <w:t xml:space="preserve">"ražotājs" ir fiziska vai juridiska persona, kas ražo </w:t>
      </w:r>
      <w:r>
        <w:rPr>
          <w:i/>
          <w:noProof/>
        </w:rPr>
        <w:t>CE</w:t>
      </w:r>
      <w:r>
        <w:rPr>
          <w:noProof/>
        </w:rPr>
        <w:t xml:space="preserve">-marķētu mēslošanas līdzekli vai liek </w:t>
      </w:r>
      <w:r>
        <w:rPr>
          <w:i/>
          <w:noProof/>
        </w:rPr>
        <w:t>CE</w:t>
      </w:r>
      <w:r>
        <w:rPr>
          <w:noProof/>
        </w:rPr>
        <w:t>-marķētu mēslošanas līdzekli projektēt un ražot un to tirgo ar savu vārdu vai preču zīmi,</w:t>
      </w:r>
    </w:p>
    <w:p>
      <w:pPr>
        <w:pStyle w:val="Point1number"/>
        <w:rPr>
          <w:noProof/>
        </w:rPr>
      </w:pPr>
      <w:r>
        <w:rPr>
          <w:noProof/>
        </w:rPr>
        <w:t>"pilnvarotais pārstāvis" ir jebkura fiziska vai juridiska persona, kas veic uzņēmējdarbību Savienībā un ir saņēmusi rakstisku ražotāja pilnvaru attiecībā uz konkrētiem uzdevumiem rīkoties tā vārdā,</w:t>
      </w:r>
    </w:p>
    <w:p>
      <w:pPr>
        <w:pStyle w:val="Point1number"/>
        <w:rPr>
          <w:noProof/>
        </w:rPr>
      </w:pPr>
      <w:r>
        <w:rPr>
          <w:noProof/>
        </w:rPr>
        <w:t xml:space="preserve">"importētājs" ir jebkura fiziska vai juridiska persona, kas veic uzņēmējdarbību Savienībā un laiž Savienības tirgū kādu </w:t>
      </w:r>
      <w:r>
        <w:rPr>
          <w:i/>
          <w:noProof/>
        </w:rPr>
        <w:t>CE</w:t>
      </w:r>
      <w:r>
        <w:rPr>
          <w:noProof/>
        </w:rPr>
        <w:t>-marķētu mēslošanas līdzekli no kādas trešās valsts,</w:t>
      </w:r>
    </w:p>
    <w:p>
      <w:pPr>
        <w:pStyle w:val="Point1number"/>
        <w:rPr>
          <w:noProof/>
        </w:rPr>
      </w:pPr>
      <w:r>
        <w:rPr>
          <w:noProof/>
        </w:rPr>
        <w:t xml:space="preserve">"izplatītājs" ir jebkura fiziska vai juridiska persona piegādes ķēdē, kas nav ražotājs vai importētājs un kas </w:t>
      </w:r>
      <w:r>
        <w:rPr>
          <w:i/>
          <w:noProof/>
        </w:rPr>
        <w:t>CE</w:t>
      </w:r>
      <w:r>
        <w:rPr>
          <w:noProof/>
        </w:rPr>
        <w:t>-marķētu mēslošanas līdzekli dara pieejamu tirgū,</w:t>
      </w:r>
    </w:p>
    <w:p>
      <w:pPr>
        <w:pStyle w:val="Point1number"/>
        <w:rPr>
          <w:noProof/>
        </w:rPr>
      </w:pPr>
      <w:r>
        <w:rPr>
          <w:noProof/>
        </w:rPr>
        <w:t>"uzņēmēji" ir ražotāji, pilnvarotie pārstāvji, importētāji un izplatītāji,</w:t>
      </w:r>
    </w:p>
    <w:p>
      <w:pPr>
        <w:pStyle w:val="Point1number"/>
        <w:rPr>
          <w:noProof/>
        </w:rPr>
      </w:pPr>
      <w:r>
        <w:rPr>
          <w:noProof/>
        </w:rPr>
        <w:t xml:space="preserve">"tehniskā specifikācija" ir dokuments, kurā noteiktas tehniskās prasības, kādām </w:t>
      </w:r>
      <w:r>
        <w:rPr>
          <w:i/>
          <w:noProof/>
        </w:rPr>
        <w:t>CE</w:t>
      </w:r>
      <w:r>
        <w:rPr>
          <w:noProof/>
        </w:rPr>
        <w:t>-marķētam mēslošanas līdzeklim ir jāatbilst,</w:t>
      </w:r>
    </w:p>
    <w:p>
      <w:pPr>
        <w:pStyle w:val="Point1number"/>
        <w:rPr>
          <w:noProof/>
        </w:rPr>
      </w:pPr>
      <w:r>
        <w:rPr>
          <w:noProof/>
        </w:rPr>
        <w:t>"saskaņotais standarts" ir saskaņotais standarts, kas definēts Regulas (ES) Nr. 1025/2012 2. panta 1. punkta c) apakšpunktā,</w:t>
      </w:r>
    </w:p>
    <w:p>
      <w:pPr>
        <w:pStyle w:val="Point1number"/>
        <w:rPr>
          <w:noProof/>
        </w:rPr>
      </w:pPr>
      <w:r>
        <w:rPr>
          <w:noProof/>
        </w:rPr>
        <w:t>"akreditācija" ir akreditācija, kā tā definēta Regulas (EK) Nr. 765/2008 2. panta 10. punktā,</w:t>
      </w:r>
    </w:p>
    <w:p>
      <w:pPr>
        <w:pStyle w:val="Point1number"/>
        <w:rPr>
          <w:noProof/>
        </w:rPr>
      </w:pPr>
      <w:r>
        <w:rPr>
          <w:noProof/>
        </w:rPr>
        <w:t xml:space="preserve">"valsts akreditācijas struktūra" ir valsts akreditācijas struktūra, kā tā definēta Regulas (EK) Nr. 765/2008 2. panta 11. punktā, </w:t>
      </w:r>
    </w:p>
    <w:p>
      <w:pPr>
        <w:pStyle w:val="Point1number"/>
        <w:rPr>
          <w:noProof/>
        </w:rPr>
      </w:pPr>
      <w:r>
        <w:rPr>
          <w:noProof/>
        </w:rPr>
        <w:t xml:space="preserve">"atbilstības novērtēšana" ir process, kurā novērtē, vai ir ievērotas šajā regulā noteiktās prasības attiecībā uz </w:t>
      </w:r>
      <w:r>
        <w:rPr>
          <w:i/>
          <w:noProof/>
        </w:rPr>
        <w:t>CE</w:t>
      </w:r>
      <w:r>
        <w:rPr>
          <w:noProof/>
        </w:rPr>
        <w:t>-marķētiem mēslošanas līdzekļiem,</w:t>
      </w:r>
    </w:p>
    <w:p>
      <w:pPr>
        <w:pStyle w:val="Point1number"/>
        <w:rPr>
          <w:noProof/>
        </w:rPr>
      </w:pPr>
      <w:r>
        <w:rPr>
          <w:noProof/>
        </w:rPr>
        <w:t>"atbilstības novērtēšanas struktūra" ir struktūra, kas veic atbilstības novērtēšanas darbības, tostarp testēšanu, sertificēšanu un pārbaudi,</w:t>
      </w:r>
    </w:p>
    <w:p>
      <w:pPr>
        <w:pStyle w:val="Point1number"/>
        <w:rPr>
          <w:noProof/>
        </w:rPr>
      </w:pPr>
      <w:r>
        <w:rPr>
          <w:noProof/>
        </w:rPr>
        <w:t xml:space="preserve">"atsaukšana" ir jebkāds pasākums, kura mērķis ir saņemt atpakaļ </w:t>
      </w:r>
      <w:r>
        <w:rPr>
          <w:i/>
          <w:noProof/>
        </w:rPr>
        <w:t>CE</w:t>
      </w:r>
      <w:r>
        <w:rPr>
          <w:noProof/>
        </w:rPr>
        <w:t>-marķētu mēslošanas līdzekli, kas jau darīts pieejams galalietotājam,</w:t>
      </w:r>
    </w:p>
    <w:p>
      <w:pPr>
        <w:pStyle w:val="Point1number"/>
        <w:rPr>
          <w:noProof/>
        </w:rPr>
      </w:pPr>
      <w:r>
        <w:rPr>
          <w:noProof/>
        </w:rPr>
        <w:t xml:space="preserve">"izņemšana" ir jebkāds pasākums, kura mērķis ir novērst, ka kāds </w:t>
      </w:r>
      <w:r>
        <w:rPr>
          <w:i/>
          <w:noProof/>
        </w:rPr>
        <w:t>CE</w:t>
      </w:r>
      <w:r>
        <w:rPr>
          <w:noProof/>
        </w:rPr>
        <w:t>-marķēts mēslošanas līdzeklis no piegādes ķēdes tiek darīts pieejams tirgū,</w:t>
      </w:r>
    </w:p>
    <w:p>
      <w:pPr>
        <w:pStyle w:val="Point1number"/>
        <w:rPr>
          <w:noProof/>
        </w:rPr>
      </w:pPr>
      <w:r>
        <w:rPr>
          <w:noProof/>
        </w:rPr>
        <w:t>"</w:t>
      </w:r>
      <w:r>
        <w:rPr>
          <w:i/>
          <w:noProof/>
        </w:rPr>
        <w:t>CE</w:t>
      </w:r>
      <w:r>
        <w:rPr>
          <w:noProof/>
        </w:rPr>
        <w:t xml:space="preserve"> zīme" ir zīme, ar ko ražotājs norāda, ka mēslošanas līdzeklis atbilst piemērojamajām prasībām, kuras izklāstītas Savienības saskaņošanas tiesību aktos attiecībā uz tās uzlikšanu,</w:t>
      </w:r>
    </w:p>
    <w:p>
      <w:pPr>
        <w:pStyle w:val="Point1number"/>
        <w:rPr>
          <w:noProof/>
        </w:rPr>
      </w:pPr>
      <w:r>
        <w:rPr>
          <w:noProof/>
        </w:rPr>
        <w:t>"Savienības saskaņošanas tiesību akti" ir jebkādi Savienības tiesību akti, ar ko saskaņo produktu tirdzniecības nosacījumus.</w:t>
      </w:r>
    </w:p>
    <w:p>
      <w:pPr>
        <w:pStyle w:val="Titrearticle"/>
        <w:rPr>
          <w:b/>
          <w:i w:val="0"/>
          <w:noProof/>
        </w:rPr>
      </w:pPr>
      <w:r>
        <w:rPr>
          <w:noProof/>
        </w:rPr>
        <w:t>3. pants</w:t>
      </w:r>
      <w:r>
        <w:rPr>
          <w:noProof/>
        </w:rPr>
        <w:br/>
      </w:r>
      <w:r>
        <w:rPr>
          <w:b/>
          <w:i w:val="0"/>
          <w:noProof/>
        </w:rPr>
        <w:t>Brīva aprite</w:t>
      </w:r>
    </w:p>
    <w:p>
      <w:pPr>
        <w:pStyle w:val="Text1"/>
        <w:rPr>
          <w:noProof/>
        </w:rPr>
      </w:pPr>
      <w:r>
        <w:rPr>
          <w:noProof/>
        </w:rPr>
        <w:t xml:space="preserve">Dalībvalstis nekavē šīs regulas prasībām atbilstīgu </w:t>
      </w:r>
      <w:r>
        <w:rPr>
          <w:i/>
          <w:noProof/>
        </w:rPr>
        <w:t>CE</w:t>
      </w:r>
      <w:r>
        <w:rPr>
          <w:noProof/>
        </w:rPr>
        <w:t>-marķētu mēslošanas līdzekļu pieejamību tirgū.</w:t>
      </w:r>
    </w:p>
    <w:p>
      <w:pPr>
        <w:pStyle w:val="Titrearticle"/>
        <w:rPr>
          <w:b/>
          <w:i w:val="0"/>
          <w:noProof/>
        </w:rPr>
      </w:pPr>
      <w:r>
        <w:rPr>
          <w:noProof/>
        </w:rPr>
        <w:t>4. pants</w:t>
      </w:r>
      <w:r>
        <w:rPr>
          <w:noProof/>
        </w:rPr>
        <w:br/>
      </w:r>
      <w:r>
        <w:rPr>
          <w:b/>
          <w:i w:val="0"/>
          <w:noProof/>
        </w:rPr>
        <w:t>Prasības attiecībā uz mēslošanas līdzekli</w:t>
      </w:r>
    </w:p>
    <w:p>
      <w:pPr>
        <w:pStyle w:val="ManualNumPar1"/>
        <w:rPr>
          <w:noProof/>
        </w:rPr>
      </w:pPr>
      <w:r>
        <w:t>1.</w:t>
      </w:r>
      <w:r>
        <w:tab/>
      </w:r>
      <w:r>
        <w:rPr>
          <w:i/>
          <w:noProof/>
        </w:rPr>
        <w:t>CE</w:t>
      </w:r>
      <w:r>
        <w:rPr>
          <w:noProof/>
        </w:rPr>
        <w:t xml:space="preserve">-marķēts mēslošanas līdzeklis: </w:t>
      </w:r>
    </w:p>
    <w:p>
      <w:pPr>
        <w:pStyle w:val="Point1letter"/>
        <w:numPr>
          <w:ilvl w:val="3"/>
          <w:numId w:val="60"/>
        </w:numPr>
        <w:rPr>
          <w:noProof/>
        </w:rPr>
      </w:pPr>
      <w:r>
        <w:rPr>
          <w:noProof/>
        </w:rPr>
        <w:t>atbilst prasībām, kas attiecīgajai mēslošanas līdzekļa funkcionālajai kategorijai izvirzītas I pielikumā,</w:t>
      </w:r>
    </w:p>
    <w:p>
      <w:pPr>
        <w:pStyle w:val="Point1letter"/>
        <w:numPr>
          <w:ilvl w:val="3"/>
          <w:numId w:val="60"/>
        </w:numPr>
        <w:rPr>
          <w:noProof/>
        </w:rPr>
      </w:pPr>
      <w:r>
        <w:rPr>
          <w:noProof/>
        </w:rPr>
        <w:t>atbilst prasībām, kas attiecīgajai komponentmateriāla kategorijai vai kategorijām izvirzītas II pielikumā,</w:t>
      </w:r>
    </w:p>
    <w:p>
      <w:pPr>
        <w:pStyle w:val="Point1letter"/>
        <w:numPr>
          <w:ilvl w:val="3"/>
          <w:numId w:val="60"/>
        </w:numPr>
        <w:rPr>
          <w:noProof/>
        </w:rPr>
      </w:pPr>
      <w:r>
        <w:rPr>
          <w:noProof/>
        </w:rPr>
        <w:t>ir marķēts saskaņā ar III pielikumā izvirzītajām marķēšanas prasībām.</w:t>
      </w:r>
    </w:p>
    <w:p>
      <w:pPr>
        <w:pStyle w:val="ManualNumPar1"/>
        <w:rPr>
          <w:noProof/>
        </w:rPr>
      </w:pPr>
      <w:r>
        <w:t>2.</w:t>
      </w:r>
      <w:r>
        <w:tab/>
      </w:r>
      <w:r>
        <w:rPr>
          <w:noProof/>
        </w:rPr>
        <w:t xml:space="preserve">Jebkuros aspektos, ko neaptver I vai II pielikums, </w:t>
      </w:r>
      <w:r>
        <w:rPr>
          <w:i/>
          <w:noProof/>
        </w:rPr>
        <w:t>CE</w:t>
      </w:r>
      <w:r>
        <w:rPr>
          <w:noProof/>
        </w:rPr>
        <w:t>-marķēti mēslošanas līdzekļi apmierina prasību, lai to lietošanas norādījumos specificēta lietojuma dēļ augu izcelsmes pārtika vai barība nekļūtu tāda, kas nav nekaitīga attiecīgi Regulas (EK) Nr. 178/2002 14. un 15. panta nozīmē.</w:t>
      </w:r>
    </w:p>
    <w:p>
      <w:pPr>
        <w:pStyle w:val="Titrearticle"/>
        <w:rPr>
          <w:b/>
          <w:i w:val="0"/>
          <w:noProof/>
        </w:rPr>
      </w:pPr>
      <w:r>
        <w:rPr>
          <w:noProof/>
        </w:rPr>
        <w:t>5. pants</w:t>
      </w:r>
      <w:r>
        <w:rPr>
          <w:noProof/>
        </w:rPr>
        <w:br/>
      </w:r>
      <w:r>
        <w:rPr>
          <w:b/>
          <w:i w:val="0"/>
          <w:noProof/>
        </w:rPr>
        <w:t>Pieejamība tirgū</w:t>
      </w:r>
    </w:p>
    <w:p>
      <w:pPr>
        <w:pStyle w:val="Text1"/>
        <w:rPr>
          <w:noProof/>
        </w:rPr>
      </w:pPr>
      <w:r>
        <w:rPr>
          <w:i/>
          <w:noProof/>
        </w:rPr>
        <w:t>CE</w:t>
      </w:r>
      <w:r>
        <w:rPr>
          <w:noProof/>
        </w:rPr>
        <w:t>-marķētus mēslošanas līdzekļus tirgū darīt pieejamus var tikai tad, ja tie atbilst šīs regulas prasībām.</w:t>
      </w:r>
    </w:p>
    <w:p>
      <w:pPr>
        <w:pStyle w:val="ChapterTitle"/>
        <w:rPr>
          <w:noProof/>
        </w:rPr>
      </w:pPr>
      <w:r>
        <w:rPr>
          <w:b w:val="0"/>
          <w:caps/>
          <w:noProof/>
        </w:rPr>
        <w:t>2. nodaļa</w:t>
      </w:r>
      <w:r>
        <w:rPr>
          <w:noProof/>
        </w:rPr>
        <w:br/>
      </w:r>
      <w:r>
        <w:rPr>
          <w:caps/>
          <w:noProof/>
        </w:rPr>
        <w:t>Uzņēmēju pienākumi</w:t>
      </w:r>
    </w:p>
    <w:p>
      <w:pPr>
        <w:pStyle w:val="Titrearticle"/>
        <w:rPr>
          <w:b/>
          <w:i w:val="0"/>
          <w:noProof/>
        </w:rPr>
      </w:pPr>
      <w:r>
        <w:rPr>
          <w:noProof/>
        </w:rPr>
        <w:t>6. pants</w:t>
      </w:r>
      <w:r>
        <w:rPr>
          <w:noProof/>
        </w:rPr>
        <w:br/>
      </w:r>
      <w:r>
        <w:rPr>
          <w:b/>
          <w:i w:val="0"/>
          <w:noProof/>
        </w:rPr>
        <w:t>Ražotāju pienākumi</w:t>
      </w:r>
    </w:p>
    <w:p>
      <w:pPr>
        <w:pStyle w:val="ManualNumPar1"/>
        <w:rPr>
          <w:noProof/>
        </w:rPr>
      </w:pPr>
      <w:r>
        <w:t>1.</w:t>
      </w:r>
      <w:r>
        <w:tab/>
      </w:r>
      <w:r>
        <w:rPr>
          <w:noProof/>
        </w:rPr>
        <w:t xml:space="preserve">Laižot savus </w:t>
      </w:r>
      <w:r>
        <w:rPr>
          <w:i/>
          <w:noProof/>
        </w:rPr>
        <w:t>CE</w:t>
      </w:r>
      <w:r>
        <w:rPr>
          <w:noProof/>
        </w:rPr>
        <w:t>-marķētos mēslošanas līdzekļus tirgū, ražotāji nodrošina, ka tie ir projektēti un ražoti atbilstoši prasībām, kas I pielikumā noteiktas attiecīgajai mēslošanas līdzekļa funkcionālajai kategorijai, un prasībām, kas II pielikumā noteiktas attiecīgajai komponentmateriāla kategorijai vai kategorijām.</w:t>
      </w:r>
    </w:p>
    <w:p>
      <w:pPr>
        <w:pStyle w:val="ManualNumPar1"/>
        <w:rPr>
          <w:noProof/>
        </w:rPr>
      </w:pPr>
      <w:r>
        <w:t>2.</w:t>
      </w:r>
      <w:r>
        <w:tab/>
      </w:r>
      <w:r>
        <w:rPr>
          <w:noProof/>
        </w:rPr>
        <w:t xml:space="preserve">Pirms </w:t>
      </w:r>
      <w:r>
        <w:rPr>
          <w:i/>
          <w:noProof/>
        </w:rPr>
        <w:t>CE</w:t>
      </w:r>
      <w:r>
        <w:rPr>
          <w:noProof/>
        </w:rPr>
        <w:t xml:space="preserve">-marķētus mēslošanas līdzekļus laist tirgū, ražotāji sagatavo tehnisko dokumentāciju un veic attiecīgo 14. pantā minēto atbilstības novērtēšanas procedūru vai nodrošina tās veikšanu. Ja ar šo procedūru ir pierādīta šāda mēslošanas līdzekļa atbilstība šajā regulā noteiktajām piemērojamajām prasībām, ražotāji uzliek </w:t>
      </w:r>
      <w:r>
        <w:rPr>
          <w:i/>
          <w:noProof/>
        </w:rPr>
        <w:t>CE</w:t>
      </w:r>
      <w:r>
        <w:rPr>
          <w:noProof/>
        </w:rPr>
        <w:t xml:space="preserve"> zīmi, sagatavo ES atbilstības deklarāciju un nodrošina, ka deklarācija tirgū laistajam mēslošanas līdzeklim ir dota līdzi, kad to laiž tirgū. </w:t>
      </w:r>
    </w:p>
    <w:p>
      <w:pPr>
        <w:pStyle w:val="ManualNumPar1"/>
        <w:rPr>
          <w:noProof/>
        </w:rPr>
      </w:pPr>
      <w:r>
        <w:t>3.</w:t>
      </w:r>
      <w:r>
        <w:tab/>
      </w:r>
      <w:r>
        <w:rPr>
          <w:noProof/>
        </w:rPr>
        <w:t xml:space="preserve">Ražotāji tehnisko dokumentāciju un ES atbilstības deklarāciju glabā 10 gadus pēc tam, kad tirgū laists </w:t>
      </w:r>
      <w:r>
        <w:rPr>
          <w:i/>
          <w:noProof/>
        </w:rPr>
        <w:t>CE</w:t>
      </w:r>
      <w:r>
        <w:rPr>
          <w:noProof/>
        </w:rPr>
        <w:t>-marķētais mēslošanas līdzeklis, uz ko attiecas šie dokumenti.</w:t>
      </w:r>
    </w:p>
    <w:p>
      <w:pPr>
        <w:pStyle w:val="ManualNumPar1"/>
        <w:rPr>
          <w:noProof/>
        </w:rPr>
      </w:pPr>
      <w:r>
        <w:t>4.</w:t>
      </w:r>
      <w:r>
        <w:tab/>
      </w:r>
      <w:r>
        <w:rPr>
          <w:noProof/>
        </w:rPr>
        <w:t xml:space="preserve">Ražotāji gādā, ka ir izveidotas procedūras, kas nodrošina sērijveidā ražotu </w:t>
      </w:r>
      <w:r>
        <w:rPr>
          <w:i/>
          <w:noProof/>
        </w:rPr>
        <w:t>CE</w:t>
      </w:r>
      <w:r>
        <w:rPr>
          <w:noProof/>
        </w:rPr>
        <w:t xml:space="preserve">-marķētu mēslošanas līdzekļu pastāvīgu atbilstību šai regulai. Pienācīgi ņem vērā tādu mēslošanas līdzekļu ražošanas metožu vai šo līdzekļu īpašību pārmaiņas un grozījumus saskaņotajos standartos, 13. pantā minētajās kopīgajās specifikācijās vai citās tehniskajās specifikācijās, uz kuriem atsaucoties deklarēta </w:t>
      </w:r>
      <w:r>
        <w:rPr>
          <w:i/>
          <w:noProof/>
        </w:rPr>
        <w:t>CE</w:t>
      </w:r>
      <w:r>
        <w:rPr>
          <w:noProof/>
        </w:rPr>
        <w:t xml:space="preserve">-marķēta mēslošanas līdzekļa atbilstība. </w:t>
      </w:r>
    </w:p>
    <w:p>
      <w:pPr>
        <w:pStyle w:val="Text1"/>
        <w:rPr>
          <w:noProof/>
        </w:rPr>
      </w:pPr>
      <w:r>
        <w:rPr>
          <w:noProof/>
        </w:rPr>
        <w:t xml:space="preserve">Ja attiecībā uz </w:t>
      </w:r>
      <w:r>
        <w:rPr>
          <w:i/>
          <w:noProof/>
        </w:rPr>
        <w:t>CE</w:t>
      </w:r>
      <w:r>
        <w:rPr>
          <w:noProof/>
        </w:rPr>
        <w:t xml:space="preserve">-marķēta mēslošanas līdzekļa veiktspēju vai līdzekļa radītajiem apdraudējumiem to uzskata par lietderīgu, ražotāji testē šādu tirgū pieejamu mēslošanas līdzekļu paraugus, izmeklē un, ja vajadzīgs, reģistrē sūdzības, neatbilstīgus </w:t>
      </w:r>
      <w:r>
        <w:rPr>
          <w:i/>
          <w:noProof/>
        </w:rPr>
        <w:t>CE</w:t>
      </w:r>
      <w:r>
        <w:rPr>
          <w:noProof/>
        </w:rPr>
        <w:t xml:space="preserve">-marķētus mēslošanas līdzekļus un atsauktus mēslošanas līdzekļus, kā arī par šo pārraudzību pastāvīgi informē izplatītājus. </w:t>
      </w:r>
    </w:p>
    <w:p>
      <w:pPr>
        <w:pStyle w:val="ManualNumPar1"/>
        <w:rPr>
          <w:noProof/>
        </w:rPr>
      </w:pPr>
      <w:r>
        <w:t>5.</w:t>
      </w:r>
      <w:r>
        <w:tab/>
      </w:r>
      <w:r>
        <w:rPr>
          <w:noProof/>
        </w:rPr>
        <w:t xml:space="preserve">Ražotāji gādā, lai </w:t>
      </w:r>
      <w:r>
        <w:rPr>
          <w:i/>
          <w:noProof/>
        </w:rPr>
        <w:t>CE</w:t>
      </w:r>
      <w:r>
        <w:rPr>
          <w:noProof/>
        </w:rPr>
        <w:t>-marķētiem mēslošanas līdzekļiem, kurus tie laiž tirgū, uz iepakojuma būtu tipa, partijas vai seriālais numurs vai cits identifikācijas elements vai, ja mēslošanas līdzekļi ir piegādāti bez iepakojuma, vajadzīgā informācija būtu sniegta dokumentā, kas ir līdzi katram mēslošanas līdzeklim.</w:t>
      </w:r>
    </w:p>
    <w:p>
      <w:pPr>
        <w:pStyle w:val="ManualNumPar1"/>
        <w:rPr>
          <w:noProof/>
        </w:rPr>
      </w:pPr>
      <w:r>
        <w:t>6.</w:t>
      </w:r>
      <w:r>
        <w:tab/>
      </w:r>
      <w:r>
        <w:rPr>
          <w:noProof/>
        </w:rPr>
        <w:t xml:space="preserve">Ražotāji uz </w:t>
      </w:r>
      <w:r>
        <w:rPr>
          <w:i/>
          <w:noProof/>
        </w:rPr>
        <w:t>CE</w:t>
      </w:r>
      <w:r>
        <w:rPr>
          <w:noProof/>
        </w:rPr>
        <w:t>-marķēta mēslošanas līdzekļa iepakojuma vai, ja mēslošanas līdzekli piegādā bez iepakojuma, dokumentā, kas ir līdzi mēslošanas līdzeklim, norāda savu nosaukumu, reģistrēto komercnosaukumu vai reģistrēto preču zīmi un pasta adresi, kur ar tiem var sazināties. Pasta adresē norāda vienu kontaktpunktu, kur var sazināties ar ražotāju. Kontaktinformācija ir galalietotājiem un tirgus uzraudzības iestādēm viegli saprotamā valodā.</w:t>
      </w:r>
    </w:p>
    <w:p>
      <w:pPr>
        <w:pStyle w:val="ManualNumPar1"/>
        <w:rPr>
          <w:noProof/>
        </w:rPr>
      </w:pPr>
      <w:r>
        <w:t>7.</w:t>
      </w:r>
      <w:r>
        <w:tab/>
      </w:r>
      <w:r>
        <w:rPr>
          <w:noProof/>
        </w:rPr>
        <w:t xml:space="preserve">Ražotāji nodrošina, ka, </w:t>
      </w:r>
      <w:r>
        <w:rPr>
          <w:i/>
          <w:noProof/>
        </w:rPr>
        <w:t>CE</w:t>
      </w:r>
      <w:r>
        <w:rPr>
          <w:noProof/>
        </w:rPr>
        <w:t>-marķēto mēslošanas līdzekli laižot tirgū, šis mēslošanas līdzeklis ir marķēts saskaņā ar III pielikumu vai, ja mēslošanas līdzekli piegādā bez iepakojuma, marķējuma informācija ir sniegta un inspicēšanas nolūkiem pieejama dokumentā, kas ir līdzi mēslošanas līdzeklim. Marķējuma informācija ir galalietotājiem viegli saprotamā valodā, ko nosaka attiecīgā dalībvalsts, un ir skaidra, saprotama un viegli uztverama.</w:t>
      </w:r>
    </w:p>
    <w:p>
      <w:pPr>
        <w:pStyle w:val="ManualNumPar1"/>
        <w:rPr>
          <w:noProof/>
        </w:rPr>
      </w:pPr>
      <w:r>
        <w:t>8.</w:t>
      </w:r>
      <w:r>
        <w:tab/>
      </w:r>
      <w:r>
        <w:rPr>
          <w:noProof/>
        </w:rPr>
        <w:t xml:space="preserve">Ražotāji, kas uzskata vai kam ir iemesls uzskatīt, ka </w:t>
      </w:r>
      <w:r>
        <w:rPr>
          <w:i/>
          <w:noProof/>
        </w:rPr>
        <w:t>CE</w:t>
      </w:r>
      <w:r>
        <w:rPr>
          <w:noProof/>
        </w:rPr>
        <w:t xml:space="preserve">-marķēts mēslošanas līdzeklis, kuru tie ir laiduši tirgū, neatbilst šai regulai, nekavējoties veic koriģējošos pasākumus, kas nepieciešami, lai panāktu mēslošanas līdzekļa atbilstību vai arī attiecīgā gadījumā to izņemtu no tirgus vai atsauktu. </w:t>
      </w:r>
    </w:p>
    <w:p>
      <w:pPr>
        <w:pStyle w:val="Text1"/>
        <w:rPr>
          <w:noProof/>
        </w:rPr>
      </w:pPr>
      <w:r>
        <w:rPr>
          <w:noProof/>
        </w:rPr>
        <w:t xml:space="preserve">Turklāt, ja ražotāji uzskata vai tiem ir iemesls uzskatīt, ka </w:t>
      </w:r>
      <w:r>
        <w:rPr>
          <w:i/>
          <w:noProof/>
        </w:rPr>
        <w:t>CE</w:t>
      </w:r>
      <w:r>
        <w:rPr>
          <w:noProof/>
        </w:rPr>
        <w:t>-marķēti mēslošanas līdzekļi, kurus tie ir laiduši tirgū, nepieņemami apdraud cilvēka, dzīvnieku vai augu veselību, drošību vai vidi, tie par to nekavējoties informē kompetentās valsts iestādes dalībvalstīs, kurās tie mēslošanas līdzekļus darījuši pieejamu tirgū, norādot sīku informāciju, jo īpaši par jebkādu neatbilstību un veiktajiem koriģējošajiem pasākumiem.</w:t>
      </w:r>
    </w:p>
    <w:p>
      <w:pPr>
        <w:pStyle w:val="ManualNumPar1"/>
        <w:rPr>
          <w:noProof/>
        </w:rPr>
      </w:pPr>
      <w:r>
        <w:t>9.</w:t>
      </w:r>
      <w:r>
        <w:tab/>
      </w:r>
      <w:r>
        <w:rPr>
          <w:noProof/>
        </w:rPr>
        <w:t xml:space="preserve">Pēc pamatota kompetentās valsts iestādes pieprasījuma ražotāji šai iestādei tai viegli saprotamā valodā papīra vai elektroniskā formātā sniedz visu informāciju un dokumentāciju, kas nepieciešama, lai pierādītu </w:t>
      </w:r>
      <w:r>
        <w:rPr>
          <w:i/>
          <w:noProof/>
        </w:rPr>
        <w:t>CE</w:t>
      </w:r>
      <w:r>
        <w:rPr>
          <w:noProof/>
        </w:rPr>
        <w:t xml:space="preserve">-marķētā mēslošanas līdzekļa atbilstību šai regulai. Pēc minētās iestādes pieprasījuma tie ar to sadarbojas visos pasākumos, kas veikti, lai nepieļautu apdraudējumus, ko rada </w:t>
      </w:r>
      <w:r>
        <w:rPr>
          <w:i/>
          <w:noProof/>
        </w:rPr>
        <w:t>CE</w:t>
      </w:r>
      <w:r>
        <w:rPr>
          <w:noProof/>
        </w:rPr>
        <w:t>-marķēti mēslošanas līdzekļi, kurus tie laiduši tirgū.</w:t>
      </w:r>
    </w:p>
    <w:p>
      <w:pPr>
        <w:pStyle w:val="ManualNumPar1"/>
        <w:rPr>
          <w:noProof/>
        </w:rPr>
      </w:pPr>
      <w:r>
        <w:t>10.</w:t>
      </w:r>
      <w:r>
        <w:tab/>
      </w:r>
      <w:r>
        <w:rPr>
          <w:noProof/>
        </w:rPr>
        <w:t xml:space="preserve">Ražotājs saņēmējas dalībvalsts kompetentajai iestādei iesniedz ziņojumu par detonācijnoturības testu, kas IV pielikumā noteikts šādiem </w:t>
      </w:r>
      <w:r>
        <w:rPr>
          <w:i/>
          <w:noProof/>
        </w:rPr>
        <w:t>CE</w:t>
      </w:r>
      <w:r>
        <w:rPr>
          <w:noProof/>
        </w:rPr>
        <w:t>-marķētiem mēslošanas līdzekļiem:</w:t>
      </w:r>
    </w:p>
    <w:p>
      <w:pPr>
        <w:pStyle w:val="Point1letter"/>
        <w:numPr>
          <w:ilvl w:val="3"/>
          <w:numId w:val="55"/>
        </w:numPr>
        <w:rPr>
          <w:noProof/>
        </w:rPr>
      </w:pPr>
      <w:r>
        <w:rPr>
          <w:noProof/>
        </w:rPr>
        <w:t>I pielikuma mēslošanas līdzekļu funkcionālajā kategorijā "1C)I)a)i-ii)A)" specificēti vienkārši vai salikti cieti neorganiskie amonija nitrāta makroelementu mēsli ar augstu slāpekļa saturu,</w:t>
      </w:r>
    </w:p>
    <w:p>
      <w:pPr>
        <w:pStyle w:val="Point1letter"/>
        <w:numPr>
          <w:ilvl w:val="3"/>
          <w:numId w:val="55"/>
        </w:numPr>
        <w:rPr>
          <w:noProof/>
        </w:rPr>
      </w:pPr>
      <w:r>
        <w:rPr>
          <w:noProof/>
        </w:rPr>
        <w:t>I pielikuma mēslošanas līdzekļu funkcionālajā kategorijā "7" specificēti mēslošanas līdzekļu samaisījumi, kas satur kādu no a) punktā minētajiem mēsliem.</w:t>
      </w:r>
    </w:p>
    <w:p>
      <w:pPr>
        <w:pStyle w:val="Text1"/>
        <w:rPr>
          <w:noProof/>
        </w:rPr>
      </w:pPr>
      <w:r>
        <w:rPr>
          <w:noProof/>
        </w:rPr>
        <w:t>Ziņojumu iesniedz vismaz piecas dienas pirms šo mēslošanas līdzekļu laišanas tirgū.</w:t>
      </w:r>
    </w:p>
    <w:p>
      <w:pPr>
        <w:pStyle w:val="Titrearticle"/>
        <w:rPr>
          <w:b/>
          <w:i w:val="0"/>
          <w:noProof/>
        </w:rPr>
      </w:pPr>
      <w:r>
        <w:rPr>
          <w:noProof/>
        </w:rPr>
        <w:t>7. pants</w:t>
      </w:r>
      <w:r>
        <w:rPr>
          <w:noProof/>
        </w:rPr>
        <w:br/>
      </w:r>
      <w:r>
        <w:rPr>
          <w:b/>
          <w:i w:val="0"/>
          <w:noProof/>
        </w:rPr>
        <w:t>Pilnvarotais pārstāvis</w:t>
      </w:r>
    </w:p>
    <w:p>
      <w:pPr>
        <w:pStyle w:val="ManualNumPar1"/>
        <w:rPr>
          <w:noProof/>
        </w:rPr>
      </w:pPr>
      <w:r>
        <w:t>1.</w:t>
      </w:r>
      <w:r>
        <w:tab/>
      </w:r>
      <w:r>
        <w:rPr>
          <w:noProof/>
        </w:rPr>
        <w:t xml:space="preserve">Ražotājs ar rakstisku pilnvarojumu var iecelt pilnvaroto pārstāvi. </w:t>
      </w:r>
    </w:p>
    <w:p>
      <w:pPr>
        <w:pStyle w:val="Text1"/>
        <w:rPr>
          <w:noProof/>
        </w:rPr>
      </w:pPr>
      <w:r>
        <w:rPr>
          <w:noProof/>
        </w:rPr>
        <w:t>Pilnvarotā pārstāvja pilnvarojumā neietilpst 6. panta 1. punktā noteiktie pienākumi un pienākums sagatavot 6. panta 2. punktā minēto tehnisko dokumentāciju.</w:t>
      </w:r>
    </w:p>
    <w:p>
      <w:pPr>
        <w:pStyle w:val="ManualNumPar1"/>
        <w:rPr>
          <w:noProof/>
        </w:rPr>
      </w:pPr>
      <w:r>
        <w:t>2.</w:t>
      </w:r>
      <w:r>
        <w:tab/>
      </w:r>
      <w:r>
        <w:rPr>
          <w:noProof/>
        </w:rPr>
        <w:t>Pilnvarotais pārstāvis veic uzdevumus, kas noteikti no ražotāja saņemtajā pilnvarojumā. Pilnvarojums pilnvarotajam pārstāvim dod iespēju veikt vismaz šādas darbības:</w:t>
      </w:r>
    </w:p>
    <w:p>
      <w:pPr>
        <w:pStyle w:val="Point1letter"/>
        <w:numPr>
          <w:ilvl w:val="3"/>
          <w:numId w:val="56"/>
        </w:numPr>
        <w:rPr>
          <w:noProof/>
        </w:rPr>
      </w:pPr>
      <w:r>
        <w:rPr>
          <w:noProof/>
        </w:rPr>
        <w:t xml:space="preserve">glabāt ES atbilstības deklarāciju un tehnisko dokumentāciju valsts tirgus uzraudzības iestādēm pieejamu vēl 10 gadus pēc tam, kad tirgū laists pēdējais </w:t>
      </w:r>
      <w:r>
        <w:rPr>
          <w:i/>
          <w:noProof/>
        </w:rPr>
        <w:t>CE</w:t>
      </w:r>
      <w:r>
        <w:rPr>
          <w:noProof/>
        </w:rPr>
        <w:t>-marķētais mēslošanas līdzeklis, ko aptver šie dokumenti,</w:t>
      </w:r>
    </w:p>
    <w:p>
      <w:pPr>
        <w:pStyle w:val="Point1letter"/>
        <w:rPr>
          <w:noProof/>
        </w:rPr>
      </w:pPr>
      <w:r>
        <w:rPr>
          <w:noProof/>
        </w:rPr>
        <w:t xml:space="preserve">pēc pamatota valsts kompetentās iestādes pieprasījuma sniegt tai visu informāciju un dokumentāciju, kas nepieciešama, lai pierādītu </w:t>
      </w:r>
      <w:r>
        <w:rPr>
          <w:i/>
          <w:noProof/>
        </w:rPr>
        <w:t>CE</w:t>
      </w:r>
      <w:r>
        <w:rPr>
          <w:noProof/>
        </w:rPr>
        <w:t>-marķēta mēslošanas līdzekļa atbilstību,</w:t>
      </w:r>
    </w:p>
    <w:p>
      <w:pPr>
        <w:pStyle w:val="Point1letter"/>
        <w:rPr>
          <w:noProof/>
        </w:rPr>
      </w:pPr>
      <w:r>
        <w:rPr>
          <w:noProof/>
        </w:rPr>
        <w:t xml:space="preserve">pēc kompetento valsts iestāžu pieprasījuma sadarboties ar tām visos pasākumos, kas veikti, lai nepieļautu apdraudējumus, ko var radīt </w:t>
      </w:r>
      <w:r>
        <w:rPr>
          <w:i/>
          <w:noProof/>
        </w:rPr>
        <w:t>CE</w:t>
      </w:r>
      <w:r>
        <w:rPr>
          <w:noProof/>
        </w:rPr>
        <w:t>-marķēti mēslošanas līdzekļi, kurus aptver pilnvarotā pārstāvja pilnvarojums.</w:t>
      </w:r>
    </w:p>
    <w:p>
      <w:pPr>
        <w:pStyle w:val="Titrearticle"/>
        <w:rPr>
          <w:b/>
          <w:i w:val="0"/>
          <w:noProof/>
        </w:rPr>
      </w:pPr>
      <w:r>
        <w:rPr>
          <w:noProof/>
        </w:rPr>
        <w:t>8. pants</w:t>
      </w:r>
      <w:r>
        <w:rPr>
          <w:noProof/>
        </w:rPr>
        <w:br/>
      </w:r>
      <w:r>
        <w:rPr>
          <w:b/>
          <w:i w:val="0"/>
          <w:noProof/>
        </w:rPr>
        <w:t>Importētāju pienākumi</w:t>
      </w:r>
    </w:p>
    <w:p>
      <w:pPr>
        <w:pStyle w:val="ManualNumPar1"/>
        <w:rPr>
          <w:noProof/>
        </w:rPr>
      </w:pPr>
      <w:r>
        <w:t>1.</w:t>
      </w:r>
      <w:r>
        <w:tab/>
      </w:r>
      <w:r>
        <w:rPr>
          <w:noProof/>
        </w:rPr>
        <w:t xml:space="preserve">Importētāji tirgū laiž tikai atbilstīgus </w:t>
      </w:r>
      <w:r>
        <w:rPr>
          <w:i/>
          <w:noProof/>
        </w:rPr>
        <w:t>CE</w:t>
      </w:r>
      <w:r>
        <w:rPr>
          <w:noProof/>
        </w:rPr>
        <w:t>-marķētus mēslošanas līdzekļus.</w:t>
      </w:r>
    </w:p>
    <w:p>
      <w:pPr>
        <w:pStyle w:val="ManualNumPar1"/>
        <w:rPr>
          <w:noProof/>
        </w:rPr>
      </w:pPr>
      <w:r>
        <w:t>2.</w:t>
      </w:r>
      <w:r>
        <w:tab/>
      </w:r>
      <w:r>
        <w:rPr>
          <w:noProof/>
        </w:rPr>
        <w:t xml:space="preserve">Pirms </w:t>
      </w:r>
      <w:r>
        <w:rPr>
          <w:i/>
          <w:noProof/>
        </w:rPr>
        <w:t>CE</w:t>
      </w:r>
      <w:r>
        <w:rPr>
          <w:noProof/>
        </w:rPr>
        <w:t xml:space="preserve">-marķēta mēslošanas līdzekļa laišanas tirgū importētāji nodrošina, ka ražotājs ir veicis attiecīgo 14. pantā minēto atbilstības novērtēšanas procedūru. Tie raugās, lai ražotājs būtu sagatavojis tehnisko dokumentāciju, lai </w:t>
      </w:r>
      <w:r>
        <w:rPr>
          <w:i/>
          <w:noProof/>
        </w:rPr>
        <w:t>CE</w:t>
      </w:r>
      <w:r>
        <w:rPr>
          <w:noProof/>
        </w:rPr>
        <w:t xml:space="preserve">-marķētajam mēslošanas līdzeklim līdzi būtu ES atbilstības deklarācija un vajadzīgie dokumenti, kā arī lai ražotājs būtu izpildījis 6. panta 5. un 6. punkta prasības. Ja importētājs uzskata vai tam ir iemesls uzskatīt, ka </w:t>
      </w:r>
      <w:r>
        <w:rPr>
          <w:i/>
          <w:noProof/>
        </w:rPr>
        <w:t>CE</w:t>
      </w:r>
      <w:r>
        <w:rPr>
          <w:noProof/>
        </w:rPr>
        <w:t xml:space="preserve">-marķētais mēslošanas līdzeklis neatbilst I, II vai III pielikumā noteiktajām piemērojamajām prasībām, tas mēslošanas līdzekli nelaiž tirgū, pirms nav panākta tā atbilstība. Turklāt, ja </w:t>
      </w:r>
      <w:r>
        <w:rPr>
          <w:i/>
          <w:noProof/>
        </w:rPr>
        <w:t>CE</w:t>
      </w:r>
      <w:r>
        <w:rPr>
          <w:noProof/>
        </w:rPr>
        <w:t>-marķētais mēslošanas līdzeklis nepieņemami apdraud cilvēka, dzīvnieku vai augu veselību, drošību vai vidi, importētājs par to informē ražotāju un tirgus uzraudzības iestādes.</w:t>
      </w:r>
    </w:p>
    <w:p>
      <w:pPr>
        <w:pStyle w:val="ManualNumPar1"/>
        <w:rPr>
          <w:noProof/>
        </w:rPr>
      </w:pPr>
      <w:r>
        <w:t>3.</w:t>
      </w:r>
      <w:r>
        <w:tab/>
      </w:r>
      <w:r>
        <w:rPr>
          <w:noProof/>
        </w:rPr>
        <w:t xml:space="preserve">Importētāji uz </w:t>
      </w:r>
      <w:r>
        <w:rPr>
          <w:i/>
          <w:noProof/>
        </w:rPr>
        <w:t>CE</w:t>
      </w:r>
      <w:r>
        <w:rPr>
          <w:noProof/>
        </w:rPr>
        <w:t xml:space="preserve">-marķēta mēslošanas līdzekļa iepakojuma vai, ja </w:t>
      </w:r>
      <w:r>
        <w:rPr>
          <w:i/>
          <w:noProof/>
        </w:rPr>
        <w:t>CE</w:t>
      </w:r>
      <w:r>
        <w:rPr>
          <w:noProof/>
        </w:rPr>
        <w:t>-marķēto mēslošanas līdzekli piegādā bez iepakojuma, dokumentā, kas ir līdzi mēslošanas līdzeklim, norāda savu nosaukumu, reģistrēto komercnosaukumu vai reģistrēto preču zīmi un pasta adresi, kur ar tiem var sazināties. Kontaktinformācija ir galalietotājiem un tirgus uzraudzības iestādēm viegli saprotamā valodā.</w:t>
      </w:r>
    </w:p>
    <w:p>
      <w:pPr>
        <w:pStyle w:val="ManualNumPar1"/>
        <w:rPr>
          <w:noProof/>
        </w:rPr>
      </w:pPr>
      <w:r>
        <w:t>4.</w:t>
      </w:r>
      <w:r>
        <w:tab/>
      </w:r>
      <w:r>
        <w:rPr>
          <w:noProof/>
        </w:rPr>
        <w:t xml:space="preserve">Importētāji nodrošina, ka </w:t>
      </w:r>
      <w:r>
        <w:rPr>
          <w:i/>
          <w:noProof/>
        </w:rPr>
        <w:t>CE</w:t>
      </w:r>
      <w:r>
        <w:rPr>
          <w:noProof/>
        </w:rPr>
        <w:t>-marķētais mēslošanas līdzeklis ir saskaņā ar III pielikumu marķēts galalietotājiem saprotamā valodā, ko nosaka attiecīgā dalībvalsts.</w:t>
      </w:r>
    </w:p>
    <w:p>
      <w:pPr>
        <w:pStyle w:val="ManualNumPar1"/>
        <w:rPr>
          <w:noProof/>
        </w:rPr>
      </w:pPr>
      <w:r>
        <w:t>5.</w:t>
      </w:r>
      <w:r>
        <w:tab/>
      </w:r>
      <w:r>
        <w:rPr>
          <w:noProof/>
        </w:rPr>
        <w:t>Importētāji nodrošina, ka laikā, kamēr tie atbildīgi par mēslošanas līdzekli, tā uzglabāšanas vai pārvadāšanas apstākļi negatīvi neietekmē nedz tā atbilstību I pielikumā noteiktajām drošuma un kvalitātes prasībām, nedz III pielikumā noteiktajām marķēšanas prasībām.</w:t>
      </w:r>
    </w:p>
    <w:p>
      <w:pPr>
        <w:pStyle w:val="ManualNumPar1"/>
        <w:rPr>
          <w:noProof/>
        </w:rPr>
      </w:pPr>
      <w:r>
        <w:t>6.</w:t>
      </w:r>
      <w:r>
        <w:tab/>
      </w:r>
      <w:r>
        <w:rPr>
          <w:noProof/>
        </w:rPr>
        <w:t xml:space="preserve">Ja attiecībā uz </w:t>
      </w:r>
      <w:r>
        <w:rPr>
          <w:i/>
          <w:noProof/>
        </w:rPr>
        <w:t>CE</w:t>
      </w:r>
      <w:r>
        <w:rPr>
          <w:noProof/>
        </w:rPr>
        <w:t xml:space="preserve">-marķēta mēslošanas līdzekļa veiktspēju vai līdzekļa radītajiem apdraudējumiem to uzskata par lietderīgu, importētāji testē šādu tirgū pieejamu mēslošanas līdzekļu paraugus, izmeklē un, ja vajadzīgs, reģistrē sūdzības, neatbilstīgus </w:t>
      </w:r>
      <w:r>
        <w:rPr>
          <w:i/>
          <w:noProof/>
        </w:rPr>
        <w:t>CE</w:t>
      </w:r>
      <w:r>
        <w:rPr>
          <w:noProof/>
        </w:rPr>
        <w:t xml:space="preserve">-marķētus mēslošanas līdzekļus un atsauktus mēslošanas līdzekļus, kā arī par šo pārraudzību pastāvīgi informē izplatītājus. </w:t>
      </w:r>
    </w:p>
    <w:p>
      <w:pPr>
        <w:pStyle w:val="ManualNumPar1"/>
        <w:rPr>
          <w:noProof/>
        </w:rPr>
      </w:pPr>
      <w:r>
        <w:t>7.</w:t>
      </w:r>
      <w:r>
        <w:tab/>
      </w:r>
      <w:r>
        <w:rPr>
          <w:noProof/>
        </w:rPr>
        <w:t xml:space="preserve">Importētāji, kas uzskata vai kam ir iemesls uzskatīt, ka </w:t>
      </w:r>
      <w:r>
        <w:rPr>
          <w:i/>
          <w:noProof/>
        </w:rPr>
        <w:t>CE</w:t>
      </w:r>
      <w:r>
        <w:rPr>
          <w:noProof/>
        </w:rPr>
        <w:t xml:space="preserve">-marķēts mēslošanas līdzeklis, kuru tie ir laiduši tirgū, neatbilst šai regulai, nekavējoties veic koriģējošos pasākumus, kas nepieciešami, lai panāktu mēslošanas līdzekļa atbilstību vai arī attiecīgā gadījumā to izņemtu no tirgus vai atsauktu. </w:t>
      </w:r>
    </w:p>
    <w:p>
      <w:pPr>
        <w:pStyle w:val="Text1"/>
        <w:rPr>
          <w:noProof/>
        </w:rPr>
      </w:pPr>
      <w:r>
        <w:rPr>
          <w:noProof/>
        </w:rPr>
        <w:t xml:space="preserve">Turklāt, ja importētāji uzskata vai tiem ir iemesls uzskatīt, ka </w:t>
      </w:r>
      <w:r>
        <w:rPr>
          <w:i/>
          <w:noProof/>
        </w:rPr>
        <w:t>CE</w:t>
      </w:r>
      <w:r>
        <w:rPr>
          <w:noProof/>
        </w:rPr>
        <w:t>-marķēti mēslošanas līdzekļi, kurus tie ir laiduši tirgū, nepieņemami apdraud cilvēka, dzīvnieku vai augu veselību, drošību vai vidi, tie par to nekavējoties informē kompetentās valsts iestādes dalībvalstīs, kurās tie mēslošanas līdzekli darījuši pieejamu tirgū, norādot sīku informāciju, jo īpaši par jebkādu neatbilstību un veiktajiem koriģējošajiem pasākumiem.</w:t>
      </w:r>
    </w:p>
    <w:p>
      <w:pPr>
        <w:pStyle w:val="ManualNumPar1"/>
        <w:rPr>
          <w:noProof/>
        </w:rPr>
      </w:pPr>
      <w:r>
        <w:t>8.</w:t>
      </w:r>
      <w:r>
        <w:tab/>
      </w:r>
      <w:r>
        <w:rPr>
          <w:noProof/>
        </w:rPr>
        <w:t xml:space="preserve">Importētāji 10 gadus pēc tam, kad tirgū laists </w:t>
      </w:r>
      <w:r>
        <w:rPr>
          <w:i/>
          <w:noProof/>
        </w:rPr>
        <w:t>CE</w:t>
      </w:r>
      <w:r>
        <w:rPr>
          <w:noProof/>
        </w:rPr>
        <w:t>-marķētais mēslošanas līdzeklis, glabā ES atbilstības deklarācijas kopiju pieejamu tirgus uzraudzības iestādēm un nodrošina, lai šīm iestādēm pēc pieprasījuma būtu pieejama tehniskā dokumentācija.</w:t>
      </w:r>
    </w:p>
    <w:p>
      <w:pPr>
        <w:pStyle w:val="ManualNumPar1"/>
        <w:rPr>
          <w:noProof/>
        </w:rPr>
      </w:pPr>
      <w:r>
        <w:t>9.</w:t>
      </w:r>
      <w:r>
        <w:tab/>
      </w:r>
      <w:r>
        <w:rPr>
          <w:noProof/>
        </w:rPr>
        <w:t xml:space="preserve">Pēc pamatota kompetentās valsts iestādes pieprasījuma importētāji šai iestādei tai viegli saprotamā valodā papīra vai elektroniskā formātā sniedz visu informāciju un dokumentāciju, kas nepieciešama, lai pierādītu </w:t>
      </w:r>
      <w:r>
        <w:rPr>
          <w:i/>
          <w:noProof/>
        </w:rPr>
        <w:t>CE</w:t>
      </w:r>
      <w:r>
        <w:rPr>
          <w:noProof/>
        </w:rPr>
        <w:t xml:space="preserve">-marķētā mēslošanas līdzekļa atbilstību. Pēc minētās iestādes pieprasījuma tie ar to sadarbojas visos pasākumos, kas veikti, lai nepieļautu apdraudējumus, ko rada </w:t>
      </w:r>
      <w:r>
        <w:rPr>
          <w:i/>
          <w:noProof/>
        </w:rPr>
        <w:t>CE</w:t>
      </w:r>
      <w:r>
        <w:rPr>
          <w:noProof/>
        </w:rPr>
        <w:t>-marķēti mēslošanas līdzekļi, kurus tie laiduši tirgū.</w:t>
      </w:r>
    </w:p>
    <w:p>
      <w:pPr>
        <w:pStyle w:val="ManualNumPar1"/>
        <w:rPr>
          <w:noProof/>
        </w:rPr>
      </w:pPr>
      <w:r>
        <w:t>10.</w:t>
      </w:r>
      <w:r>
        <w:tab/>
      </w:r>
      <w:r>
        <w:rPr>
          <w:noProof/>
        </w:rPr>
        <w:t xml:space="preserve">Importētājs saņēmējas dalībvalsts kompetentajai iestādei iesniedz ziņojumu par detonācijnoturības testu, kas IV pielikumā noteikts šādiem </w:t>
      </w:r>
      <w:r>
        <w:rPr>
          <w:i/>
          <w:noProof/>
        </w:rPr>
        <w:t>CE</w:t>
      </w:r>
      <w:r>
        <w:rPr>
          <w:noProof/>
        </w:rPr>
        <w:t>-marķētiem mēslošanas līdzekļiem:</w:t>
      </w:r>
    </w:p>
    <w:p>
      <w:pPr>
        <w:pStyle w:val="Point1letter"/>
        <w:numPr>
          <w:ilvl w:val="3"/>
          <w:numId w:val="57"/>
        </w:numPr>
        <w:rPr>
          <w:noProof/>
        </w:rPr>
      </w:pPr>
      <w:r>
        <w:rPr>
          <w:noProof/>
        </w:rPr>
        <w:t>I pielikuma mēslošanas līdzekļu funkcionālajā kategorijā "1C)I)a)i-ii)A)" specificēti vienkārši vai salikti cieti neorganiskie amonija nitrāta makroelementu mēsli ar augstu slāpekļa saturu,</w:t>
      </w:r>
    </w:p>
    <w:p>
      <w:pPr>
        <w:pStyle w:val="Point1letter"/>
        <w:numPr>
          <w:ilvl w:val="3"/>
          <w:numId w:val="55"/>
        </w:numPr>
        <w:rPr>
          <w:noProof/>
        </w:rPr>
      </w:pPr>
      <w:r>
        <w:rPr>
          <w:noProof/>
        </w:rPr>
        <w:t>I pielikuma mēslošanas līdzekļu funkcionālajā kategorijā "7" specificēti mēslošanas līdzekļu samaisījumi, kas satur kādu no a) punktā minētajiem mēsliem.</w:t>
      </w:r>
    </w:p>
    <w:p>
      <w:pPr>
        <w:pStyle w:val="Text1"/>
        <w:rPr>
          <w:noProof/>
        </w:rPr>
      </w:pPr>
      <w:r>
        <w:rPr>
          <w:noProof/>
        </w:rPr>
        <w:t>Ziņojumu iesniedz vismaz piecas dienas pirms šo mēslošanas līdzekļu laišanas tirgū.</w:t>
      </w:r>
    </w:p>
    <w:p>
      <w:pPr>
        <w:pStyle w:val="Titrearticle"/>
        <w:rPr>
          <w:b/>
          <w:i w:val="0"/>
          <w:noProof/>
        </w:rPr>
      </w:pPr>
      <w:r>
        <w:rPr>
          <w:noProof/>
        </w:rPr>
        <w:t>9. pants</w:t>
      </w:r>
      <w:r>
        <w:rPr>
          <w:noProof/>
        </w:rPr>
        <w:br/>
      </w:r>
      <w:r>
        <w:rPr>
          <w:b/>
          <w:i w:val="0"/>
          <w:noProof/>
        </w:rPr>
        <w:t>Izplatītāju pienākumi</w:t>
      </w:r>
    </w:p>
    <w:p>
      <w:pPr>
        <w:pStyle w:val="ManualNumPar1"/>
        <w:rPr>
          <w:noProof/>
        </w:rPr>
      </w:pPr>
      <w:r>
        <w:t>1.</w:t>
      </w:r>
      <w:r>
        <w:tab/>
      </w:r>
      <w:r>
        <w:rPr>
          <w:noProof/>
        </w:rPr>
        <w:t xml:space="preserve">Darot </w:t>
      </w:r>
      <w:r>
        <w:rPr>
          <w:i/>
          <w:noProof/>
        </w:rPr>
        <w:t>CE</w:t>
      </w:r>
      <w:r>
        <w:rPr>
          <w:noProof/>
        </w:rPr>
        <w:t>-marķētu mēslošanas līdzekli pieejamu tirgū, izplatītāji pietiekami rūpīgi ievēro šīs regulas prasības.</w:t>
      </w:r>
    </w:p>
    <w:p>
      <w:pPr>
        <w:pStyle w:val="ManualNumPar1"/>
        <w:rPr>
          <w:noProof/>
        </w:rPr>
      </w:pPr>
      <w:r>
        <w:t>2.</w:t>
      </w:r>
      <w:r>
        <w:tab/>
      </w:r>
      <w:r>
        <w:rPr>
          <w:noProof/>
        </w:rPr>
        <w:t xml:space="preserve">Pirms </w:t>
      </w:r>
      <w:r>
        <w:rPr>
          <w:i/>
          <w:noProof/>
        </w:rPr>
        <w:t>CE</w:t>
      </w:r>
      <w:r>
        <w:rPr>
          <w:noProof/>
        </w:rPr>
        <w:t xml:space="preserve">-marķēts mēslošanas līdzeklis tiek darīts pieejams tirgū, izplatītāji pārliecinās, ka tam ir līdzi ES atbilstības deklarācija un vajadzīgie dokumenti, ka tas ir marķēts saskaņā ar III pantu un valodā, kas viegli saprotama galalietotājiem dalībvalstī, kurā </w:t>
      </w:r>
      <w:r>
        <w:rPr>
          <w:i/>
          <w:noProof/>
        </w:rPr>
        <w:t>CE</w:t>
      </w:r>
      <w:r>
        <w:rPr>
          <w:noProof/>
        </w:rPr>
        <w:t xml:space="preserve">-marķētais mēslošanas līdzeklis tiks darīts pieejams tirgū, un ka ražotājs un importētājs ir izpildījuši attiecīgi 6. panta 5. un 6. punkta un 8. panta 3. punkta prasības. </w:t>
      </w:r>
    </w:p>
    <w:p>
      <w:pPr>
        <w:pStyle w:val="Text1"/>
        <w:rPr>
          <w:noProof/>
        </w:rPr>
      </w:pPr>
      <w:r>
        <w:rPr>
          <w:noProof/>
        </w:rPr>
        <w:t xml:space="preserve">Ja izplatītājs uzskata vai tam ir iemesls uzskatīt, ka </w:t>
      </w:r>
      <w:r>
        <w:rPr>
          <w:i/>
          <w:noProof/>
        </w:rPr>
        <w:t>CE</w:t>
      </w:r>
      <w:r>
        <w:rPr>
          <w:noProof/>
        </w:rPr>
        <w:t xml:space="preserve">-marķētais mēslošanas līdzeklis neatbilst I, II vai III pielikumā noteiktajām piemērojamajām prasībām, tas mēslošanas līdzekli nedara pieejamu tirgū, pirms nav panākta tā atbilstība. Turklāt, ja </w:t>
      </w:r>
      <w:r>
        <w:rPr>
          <w:i/>
          <w:noProof/>
        </w:rPr>
        <w:t>CE</w:t>
      </w:r>
      <w:r>
        <w:rPr>
          <w:noProof/>
        </w:rPr>
        <w:t>-marķētais mēslošanas līdzeklis nepieņemami apdraud cilvēka, dzīvnieku vai augu veselību, drošību vai vidi, izplatītājs par to informē ražotāju vai importētāju, kā arī tirgus uzraudzības iestādes.</w:t>
      </w:r>
    </w:p>
    <w:p>
      <w:pPr>
        <w:pStyle w:val="ManualNumPar1"/>
        <w:rPr>
          <w:noProof/>
        </w:rPr>
      </w:pPr>
      <w:r>
        <w:t>3.</w:t>
      </w:r>
      <w:r>
        <w:tab/>
      </w:r>
      <w:r>
        <w:rPr>
          <w:noProof/>
        </w:rPr>
        <w:t xml:space="preserve">Izplatītāji nodrošina, ka laikā, kamēr tie atbildīgi par </w:t>
      </w:r>
      <w:r>
        <w:rPr>
          <w:i/>
          <w:noProof/>
        </w:rPr>
        <w:t>CE</w:t>
      </w:r>
      <w:r>
        <w:rPr>
          <w:noProof/>
        </w:rPr>
        <w:t>-marķētu mēslošanas līdzekli, tā uzglabāšanas vai pārvadāšanas apstākļi negatīvi neietekmē nedz tā atbilstību I pielikumā noteiktajām drošuma un kvalitātes prasībām, nedz III pielikumā noteiktajām marķēšanas prasībām.</w:t>
      </w:r>
    </w:p>
    <w:p>
      <w:pPr>
        <w:pStyle w:val="ManualNumPar1"/>
        <w:rPr>
          <w:noProof/>
        </w:rPr>
      </w:pPr>
      <w:r>
        <w:t>4.</w:t>
      </w:r>
      <w:r>
        <w:tab/>
      </w:r>
      <w:r>
        <w:rPr>
          <w:noProof/>
        </w:rPr>
        <w:t xml:space="preserve">Izplatītāji, kas uzskata vai kam ir iemesls uzskatīt, ka </w:t>
      </w:r>
      <w:r>
        <w:rPr>
          <w:i/>
          <w:noProof/>
        </w:rPr>
        <w:t>CE</w:t>
      </w:r>
      <w:r>
        <w:rPr>
          <w:noProof/>
        </w:rPr>
        <w:t xml:space="preserve">-marķēts mēslošanas līdzeklis, kuru tie ir darījuši pieejamu tirgū, neatbilst šai regulai, nodrošina, ka ir veikti koriģējošie pasākumi, kas nepieciešami, lai panāktu mēslošanas līdzekļa atbilstību vai arī vajadzības gadījumā to izņemtu no tirgus vai atsauktu. </w:t>
      </w:r>
    </w:p>
    <w:p>
      <w:pPr>
        <w:pStyle w:val="Text1"/>
        <w:rPr>
          <w:noProof/>
        </w:rPr>
      </w:pPr>
      <w:r>
        <w:rPr>
          <w:noProof/>
        </w:rPr>
        <w:t xml:space="preserve">Turklāt, ja izplatītāji uzskata vai tiem ir iemesls uzskatīt, ka </w:t>
      </w:r>
      <w:r>
        <w:rPr>
          <w:i/>
          <w:noProof/>
        </w:rPr>
        <w:t>CE</w:t>
      </w:r>
      <w:r>
        <w:rPr>
          <w:noProof/>
        </w:rPr>
        <w:t xml:space="preserve">-marķēti mēslošanas līdzekļi, kurus tie ir darījuši pieejamus tirgū, nepieņemami apdraud cilvēka, dzīvnieku vai augu veselību, drošību vai vidi, tie par to nekavējoties informē kompetentās valsts iestādes dalībvalstīs, kurās tie </w:t>
      </w:r>
      <w:r>
        <w:rPr>
          <w:i/>
          <w:noProof/>
        </w:rPr>
        <w:t>CE</w:t>
      </w:r>
      <w:r>
        <w:rPr>
          <w:noProof/>
        </w:rPr>
        <w:t>-marķēto mēslošanas līdzekli darījuši pieejamu tirgū, norādot sīku informāciju, jo īpaši par jebkādu neatbilstību un veiktajiem koriģējošajiem pasākumiem.</w:t>
      </w:r>
    </w:p>
    <w:p>
      <w:pPr>
        <w:pStyle w:val="ManualNumPar1"/>
        <w:rPr>
          <w:noProof/>
        </w:rPr>
      </w:pPr>
      <w:r>
        <w:t>5.</w:t>
      </w:r>
      <w:r>
        <w:tab/>
      </w:r>
      <w:r>
        <w:rPr>
          <w:noProof/>
        </w:rPr>
        <w:t xml:space="preserve">Pēc pamatota kompetentās valsts iestādes pieprasījuma izplatītāji šai iestādei papīra formā vai elektroniski sniedz visu informāciju un dokumentāciju, kas nepieciešama, lai pierādītu </w:t>
      </w:r>
      <w:r>
        <w:rPr>
          <w:i/>
          <w:noProof/>
        </w:rPr>
        <w:t>CE</w:t>
      </w:r>
      <w:r>
        <w:rPr>
          <w:noProof/>
        </w:rPr>
        <w:t xml:space="preserve">-marķēta mēslošanas līdzekļa atbilstību. Pēc minētās iestādes pieprasījuma tie ar to sadarbojas visos pasākumos, kas veikti, lai nepieļautu apdraudējumus, ko rada </w:t>
      </w:r>
      <w:r>
        <w:rPr>
          <w:i/>
          <w:noProof/>
        </w:rPr>
        <w:t>CE</w:t>
      </w:r>
      <w:r>
        <w:rPr>
          <w:noProof/>
        </w:rPr>
        <w:t>-marķēti mēslošanas līdzekļi, kurus tie darījuši pieejamus tirgū.</w:t>
      </w:r>
    </w:p>
    <w:p>
      <w:pPr>
        <w:pStyle w:val="Titrearticle"/>
        <w:rPr>
          <w:b/>
          <w:i w:val="0"/>
          <w:noProof/>
        </w:rPr>
      </w:pPr>
      <w:r>
        <w:rPr>
          <w:noProof/>
        </w:rPr>
        <w:t>10. pants</w:t>
      </w:r>
      <w:r>
        <w:rPr>
          <w:noProof/>
        </w:rPr>
        <w:br/>
      </w:r>
      <w:r>
        <w:rPr>
          <w:b/>
          <w:i w:val="0"/>
          <w:noProof/>
        </w:rPr>
        <w:t>Gadījumi, kad ražotāju pienākumi attiecas uz importētājiem un izplatītājiem</w:t>
      </w:r>
    </w:p>
    <w:p>
      <w:pPr>
        <w:pStyle w:val="Text1"/>
        <w:rPr>
          <w:noProof/>
        </w:rPr>
      </w:pPr>
      <w:r>
        <w:rPr>
          <w:noProof/>
        </w:rPr>
        <w:t xml:space="preserve">Ja importētājs vai izplatītājs laiž tirgū kādu </w:t>
      </w:r>
      <w:r>
        <w:rPr>
          <w:i/>
          <w:noProof/>
        </w:rPr>
        <w:t>CE</w:t>
      </w:r>
      <w:r>
        <w:rPr>
          <w:noProof/>
        </w:rPr>
        <w:t xml:space="preserve">-marķētu mēslošanas līdzekli ar savu nosaukumu, vārdu vai preču zīmi vai maina jau tirgū laistu </w:t>
      </w:r>
      <w:r>
        <w:rPr>
          <w:i/>
          <w:noProof/>
        </w:rPr>
        <w:t>CE</w:t>
      </w:r>
      <w:r>
        <w:rPr>
          <w:noProof/>
        </w:rPr>
        <w:t>-marķētu mēslošanas līdzekli tā, ka maiņa var ietekmēt atbilstību šai regulai, viņu šajā regulā uzskata par ražotāju un viņam ir tādi paši pienākumi, kādi ražotājam noteikti 6. pantā.</w:t>
      </w:r>
    </w:p>
    <w:p>
      <w:pPr>
        <w:pStyle w:val="Titrearticle"/>
        <w:rPr>
          <w:b/>
          <w:i w:val="0"/>
          <w:noProof/>
        </w:rPr>
      </w:pPr>
      <w:r>
        <w:rPr>
          <w:noProof/>
        </w:rPr>
        <w:t>11. pants</w:t>
      </w:r>
      <w:r>
        <w:rPr>
          <w:noProof/>
        </w:rPr>
        <w:br/>
      </w:r>
      <w:r>
        <w:rPr>
          <w:b/>
          <w:i w:val="0"/>
          <w:noProof/>
        </w:rPr>
        <w:t>Uzņēmēju identifikācija</w:t>
      </w:r>
    </w:p>
    <w:p>
      <w:pPr>
        <w:pStyle w:val="ManualNumPar1"/>
        <w:rPr>
          <w:noProof/>
        </w:rPr>
      </w:pPr>
      <w:r>
        <w:t>1.</w:t>
      </w:r>
      <w:r>
        <w:tab/>
      </w:r>
      <w:r>
        <w:rPr>
          <w:noProof/>
        </w:rPr>
        <w:t>Uzņēmēji tirgus uzraudzības iestādēm pēc pieprasījuma identificē jebkuru uzņēmēju:</w:t>
      </w:r>
    </w:p>
    <w:p>
      <w:pPr>
        <w:pStyle w:val="Point1letter"/>
        <w:numPr>
          <w:ilvl w:val="3"/>
          <w:numId w:val="41"/>
        </w:numPr>
        <w:rPr>
          <w:noProof/>
        </w:rPr>
      </w:pPr>
      <w:r>
        <w:rPr>
          <w:noProof/>
        </w:rPr>
        <w:t xml:space="preserve">kas tiem piegādājis </w:t>
      </w:r>
      <w:r>
        <w:rPr>
          <w:i/>
          <w:noProof/>
        </w:rPr>
        <w:t>CE</w:t>
      </w:r>
      <w:r>
        <w:rPr>
          <w:noProof/>
        </w:rPr>
        <w:t xml:space="preserve">-marķētu mēslošanas līdzekli; </w:t>
      </w:r>
    </w:p>
    <w:p>
      <w:pPr>
        <w:pStyle w:val="Point1letter"/>
        <w:rPr>
          <w:noProof/>
        </w:rPr>
      </w:pPr>
      <w:r>
        <w:rPr>
          <w:noProof/>
        </w:rPr>
        <w:t xml:space="preserve">kam tie piegādājuši </w:t>
      </w:r>
      <w:r>
        <w:rPr>
          <w:i/>
          <w:noProof/>
        </w:rPr>
        <w:t>CE</w:t>
      </w:r>
      <w:r>
        <w:rPr>
          <w:noProof/>
        </w:rPr>
        <w:t xml:space="preserve">-marķētu mēslošanas līdzekli. </w:t>
      </w:r>
    </w:p>
    <w:p>
      <w:pPr>
        <w:pStyle w:val="ManualNumPar1"/>
        <w:rPr>
          <w:noProof/>
        </w:rPr>
      </w:pPr>
      <w:r>
        <w:t>2.</w:t>
      </w:r>
      <w:r>
        <w:tab/>
      </w:r>
      <w:r>
        <w:rPr>
          <w:noProof/>
        </w:rPr>
        <w:t xml:space="preserve">Uzņēmēji pirmajā punktā minēto informāciju spēj sniegt 10 gadus no laika, kad tiem piegādāts </w:t>
      </w:r>
      <w:r>
        <w:rPr>
          <w:i/>
          <w:noProof/>
        </w:rPr>
        <w:t>CE</w:t>
      </w:r>
      <w:r>
        <w:rPr>
          <w:noProof/>
        </w:rPr>
        <w:t xml:space="preserve">-marķētais mēslošanas līdzeklis, un 10 gadus no laika, kad tie ir piegādājuši </w:t>
      </w:r>
      <w:r>
        <w:rPr>
          <w:i/>
          <w:noProof/>
        </w:rPr>
        <w:t>CE</w:t>
      </w:r>
      <w:r>
        <w:rPr>
          <w:noProof/>
        </w:rPr>
        <w:t>-marķēto mēslošanas līdzekli.</w:t>
      </w:r>
    </w:p>
    <w:p>
      <w:pPr>
        <w:pStyle w:val="ChapterTitle"/>
        <w:rPr>
          <w:noProof/>
        </w:rPr>
      </w:pPr>
      <w:r>
        <w:rPr>
          <w:b w:val="0"/>
          <w:caps/>
          <w:noProof/>
        </w:rPr>
        <w:t>3. nodaļa</w:t>
      </w:r>
      <w:r>
        <w:rPr>
          <w:noProof/>
        </w:rPr>
        <w:br/>
      </w:r>
      <w:r>
        <w:rPr>
          <w:i/>
          <w:caps/>
          <w:noProof/>
        </w:rPr>
        <w:t>CE</w:t>
      </w:r>
      <w:r>
        <w:rPr>
          <w:caps/>
          <w:noProof/>
        </w:rPr>
        <w:t>-marķēto mēslošanas līdzekļu atbilstība</w:t>
      </w:r>
    </w:p>
    <w:p>
      <w:pPr>
        <w:pStyle w:val="Titrearticle"/>
        <w:rPr>
          <w:b/>
          <w:i w:val="0"/>
          <w:noProof/>
        </w:rPr>
      </w:pPr>
      <w:r>
        <w:rPr>
          <w:noProof/>
        </w:rPr>
        <w:t>12. pants</w:t>
      </w:r>
      <w:r>
        <w:rPr>
          <w:noProof/>
        </w:rPr>
        <w:br/>
      </w:r>
      <w:r>
        <w:rPr>
          <w:b/>
          <w:i w:val="0"/>
          <w:noProof/>
        </w:rPr>
        <w:t>Pieņēmums par atbilstību</w:t>
      </w:r>
    </w:p>
    <w:p>
      <w:pPr>
        <w:pStyle w:val="Text1"/>
        <w:rPr>
          <w:noProof/>
        </w:rPr>
      </w:pPr>
      <w:r>
        <w:rPr>
          <w:noProof/>
        </w:rPr>
        <w:t xml:space="preserve">Neskarot 13. pantā minētās kopīgās specifikācijas, </w:t>
      </w:r>
      <w:r>
        <w:rPr>
          <w:i/>
          <w:noProof/>
        </w:rPr>
        <w:t>CE</w:t>
      </w:r>
      <w:r>
        <w:rPr>
          <w:noProof/>
        </w:rPr>
        <w:t xml:space="preserve">-marķētus mēslošanas līdzekļus, kas atbilst tādiem saskaņotajiem standartiem vai to daļām, uz kuriem ir publicētas atsauces </w:t>
      </w:r>
      <w:r>
        <w:rPr>
          <w:i/>
          <w:noProof/>
        </w:rPr>
        <w:t>Eiropas Savienības Oficiālajā Vēstnesī</w:t>
      </w:r>
      <w:r>
        <w:rPr>
          <w:noProof/>
        </w:rPr>
        <w:t>, uzskata par atbilstīgiem I, II un III pielikumā noteiktajām prasībām, uz kurām attiecas minētie standarti vai to daļas.</w:t>
      </w:r>
    </w:p>
    <w:p>
      <w:pPr>
        <w:pStyle w:val="Titrearticle"/>
        <w:rPr>
          <w:b/>
          <w:i w:val="0"/>
          <w:noProof/>
        </w:rPr>
      </w:pPr>
      <w:r>
        <w:rPr>
          <w:noProof/>
        </w:rPr>
        <w:t>13. pants</w:t>
      </w:r>
      <w:r>
        <w:rPr>
          <w:noProof/>
        </w:rPr>
        <w:br/>
      </w:r>
      <w:r>
        <w:rPr>
          <w:b/>
          <w:i w:val="0"/>
          <w:noProof/>
        </w:rPr>
        <w:t xml:space="preserve">Kopīgās specifikācijas </w:t>
      </w:r>
    </w:p>
    <w:p>
      <w:pPr>
        <w:pStyle w:val="Text1"/>
        <w:rPr>
          <w:noProof/>
        </w:rPr>
      </w:pPr>
      <w:r>
        <w:rPr>
          <w:noProof/>
        </w:rPr>
        <w:t>Komisija var pieņemt īstenošanas aktus, ar ko nosaka tādas kopīgas specifikācijas, ka atbilstība tām nodrošina atbilstību šo specifikāciju vai to daļu aptvertajām I, II un III pielikuma prasībām. Minētos īstenošanas aktus pieņem saskaņā ar 41. panta 3. punktā minēto pārbaudes procedūru.</w:t>
      </w:r>
    </w:p>
    <w:p>
      <w:pPr>
        <w:pStyle w:val="Titrearticle"/>
        <w:rPr>
          <w:b/>
          <w:i w:val="0"/>
          <w:noProof/>
        </w:rPr>
      </w:pPr>
      <w:r>
        <w:rPr>
          <w:noProof/>
        </w:rPr>
        <w:t>14. pants</w:t>
      </w:r>
      <w:r>
        <w:rPr>
          <w:noProof/>
        </w:rPr>
        <w:br/>
      </w:r>
      <w:r>
        <w:rPr>
          <w:b/>
          <w:i w:val="0"/>
          <w:noProof/>
        </w:rPr>
        <w:t>Atbilstības novērtēšanas procedūras</w:t>
      </w:r>
    </w:p>
    <w:p>
      <w:pPr>
        <w:pStyle w:val="ManualNumPar1"/>
        <w:rPr>
          <w:noProof/>
        </w:rPr>
      </w:pPr>
      <w:r>
        <w:t>1.</w:t>
      </w:r>
      <w:r>
        <w:tab/>
      </w:r>
      <w:r>
        <w:rPr>
          <w:i/>
          <w:noProof/>
        </w:rPr>
        <w:t>CE</w:t>
      </w:r>
      <w:r>
        <w:rPr>
          <w:noProof/>
        </w:rPr>
        <w:t>-marķēta mēslošanas līdzekļa atbilstību šīs regulas prasībām novērtē, piemērojot IV pielikumā specificēto atbilstības novērtēšanas procedūru.</w:t>
      </w:r>
    </w:p>
    <w:p>
      <w:pPr>
        <w:pStyle w:val="ManualNumPar1"/>
        <w:rPr>
          <w:noProof/>
        </w:rPr>
      </w:pPr>
      <w:r>
        <w:t>2.</w:t>
      </w:r>
      <w:r>
        <w:tab/>
      </w:r>
      <w:r>
        <w:rPr>
          <w:noProof/>
        </w:rPr>
        <w:t>Ar atbilstības novērtēšanas procedūrām saistīto dokumentu sagatavošanu un saraksti veic tās dalībvalsts valsts valodā(-ās), kurā atbilstības novērtēšanas procedūru veicēja paziņotā struktūra veic uzņēmējdarbību, vai citā šai struktūrai pieņemamā valodā.</w:t>
      </w:r>
    </w:p>
    <w:p>
      <w:pPr>
        <w:pStyle w:val="Titrearticle"/>
        <w:rPr>
          <w:b/>
          <w:i w:val="0"/>
          <w:noProof/>
        </w:rPr>
      </w:pPr>
      <w:r>
        <w:rPr>
          <w:noProof/>
        </w:rPr>
        <w:t>15. pants</w:t>
      </w:r>
      <w:r>
        <w:rPr>
          <w:noProof/>
        </w:rPr>
        <w:br/>
      </w:r>
      <w:r>
        <w:rPr>
          <w:b/>
          <w:i w:val="0"/>
          <w:noProof/>
        </w:rPr>
        <w:t>ES atbilstības deklarācija</w:t>
      </w:r>
    </w:p>
    <w:p>
      <w:pPr>
        <w:pStyle w:val="ManualNumPar1"/>
        <w:rPr>
          <w:noProof/>
        </w:rPr>
      </w:pPr>
      <w:r>
        <w:t>1.</w:t>
      </w:r>
      <w:r>
        <w:tab/>
      </w:r>
      <w:r>
        <w:rPr>
          <w:noProof/>
        </w:rPr>
        <w:t>ES atbilstības deklarācija norāda, ka ir pierādīta atbilstība I, II un III pielikumā noteiktajām prasībām.</w:t>
      </w:r>
    </w:p>
    <w:p>
      <w:pPr>
        <w:pStyle w:val="ManualNumPar1"/>
        <w:rPr>
          <w:noProof/>
        </w:rPr>
      </w:pPr>
      <w:r>
        <w:t>2.</w:t>
      </w:r>
      <w:r>
        <w:tab/>
      </w:r>
      <w:r>
        <w:rPr>
          <w:noProof/>
        </w:rPr>
        <w:t xml:space="preserve">ES atbilstības deklarācijai ir V pielikumā sniegtā parauga struktūra, tajā ir IV pielikumā dotajos attiecīgajos moduļos norādītie elementi, un to pastāvīgi atjaunina. To tulko valodā vai valodās, ko nosaka dalībvalsts, kurā </w:t>
      </w:r>
      <w:r>
        <w:rPr>
          <w:i/>
          <w:noProof/>
        </w:rPr>
        <w:t>CE</w:t>
      </w:r>
      <w:r>
        <w:rPr>
          <w:noProof/>
        </w:rPr>
        <w:t>-marķēto mēslošanas līdzekli laiž vai dara pieejamu tirgū.</w:t>
      </w:r>
    </w:p>
    <w:p>
      <w:pPr>
        <w:pStyle w:val="ManualNumPar1"/>
        <w:rPr>
          <w:noProof/>
        </w:rPr>
      </w:pPr>
      <w:r>
        <w:t>3.</w:t>
      </w:r>
      <w:r>
        <w:tab/>
      </w:r>
      <w:r>
        <w:rPr>
          <w:noProof/>
        </w:rPr>
        <w:t xml:space="preserve">Ja uz </w:t>
      </w:r>
      <w:r>
        <w:rPr>
          <w:i/>
          <w:noProof/>
        </w:rPr>
        <w:t>CE</w:t>
      </w:r>
      <w:r>
        <w:rPr>
          <w:noProof/>
        </w:rPr>
        <w:t>-marķēto mēslošanas līdzekli attiecas vairāk nekā viens Savienības tiesību akts, kurš prasa ES atbilstības deklarāciju, attiecībā uz visiem šādiem Savienības tiesību aktiem tiek sagatavota vienota ES atbilstības deklarācija. Minētajā deklarācijā norāda attiecīgos Savienības tiesību aktus, arī atsauces uz to publikācijām. Šī deklarācija var būt dosjē, kas sastāv no atsevišķām atbilstības deklarācijām.</w:t>
      </w:r>
    </w:p>
    <w:p>
      <w:pPr>
        <w:pStyle w:val="ManualNumPar1"/>
        <w:rPr>
          <w:noProof/>
        </w:rPr>
      </w:pPr>
      <w:r>
        <w:t>4.</w:t>
      </w:r>
      <w:r>
        <w:tab/>
      </w:r>
      <w:r>
        <w:rPr>
          <w:noProof/>
        </w:rPr>
        <w:t>Sagatavojot ES atbilstības deklarāciju, ražotājs uzņemas atbildību par mēslošanas līdzekļa atbilstību šīs regulas prasībām.</w:t>
      </w:r>
    </w:p>
    <w:p>
      <w:pPr>
        <w:pStyle w:val="Titrearticle"/>
        <w:rPr>
          <w:b/>
          <w:i w:val="0"/>
          <w:noProof/>
        </w:rPr>
      </w:pPr>
      <w:r>
        <w:rPr>
          <w:noProof/>
        </w:rPr>
        <w:t>16. pants</w:t>
      </w:r>
      <w:r>
        <w:rPr>
          <w:noProof/>
        </w:rPr>
        <w:br/>
      </w:r>
      <w:r>
        <w:rPr>
          <w:b/>
          <w:noProof/>
        </w:rPr>
        <w:t>CE</w:t>
      </w:r>
      <w:r>
        <w:rPr>
          <w:b/>
          <w:i w:val="0"/>
          <w:noProof/>
        </w:rPr>
        <w:t xml:space="preserve"> zīmes vispārīgie principi</w:t>
      </w:r>
    </w:p>
    <w:p>
      <w:pPr>
        <w:pStyle w:val="Text1"/>
        <w:rPr>
          <w:noProof/>
        </w:rPr>
      </w:pPr>
      <w:r>
        <w:rPr>
          <w:noProof/>
        </w:rPr>
        <w:t xml:space="preserve">Uz </w:t>
      </w:r>
      <w:r>
        <w:rPr>
          <w:i/>
          <w:noProof/>
        </w:rPr>
        <w:t xml:space="preserve">CE </w:t>
      </w:r>
      <w:r>
        <w:rPr>
          <w:noProof/>
        </w:rPr>
        <w:t xml:space="preserve">zīmi attiecas vispārīgie principi, kas izklāstīti Regulas (EK) Nr. 765/2008 30. pantā. </w:t>
      </w:r>
    </w:p>
    <w:p>
      <w:pPr>
        <w:pStyle w:val="Titrearticle"/>
        <w:rPr>
          <w:b/>
          <w:i w:val="0"/>
          <w:noProof/>
        </w:rPr>
      </w:pPr>
      <w:r>
        <w:rPr>
          <w:noProof/>
        </w:rPr>
        <w:t>17. pants</w:t>
      </w:r>
      <w:r>
        <w:rPr>
          <w:noProof/>
        </w:rPr>
        <w:br/>
      </w:r>
      <w:r>
        <w:rPr>
          <w:b/>
          <w:noProof/>
        </w:rPr>
        <w:t>CE</w:t>
      </w:r>
      <w:r>
        <w:rPr>
          <w:b/>
          <w:i w:val="0"/>
          <w:noProof/>
        </w:rPr>
        <w:t xml:space="preserve"> zīmes uzlikšanas noteikumi un nosacījumi</w:t>
      </w:r>
    </w:p>
    <w:p>
      <w:pPr>
        <w:pStyle w:val="ManualNumPar1"/>
        <w:rPr>
          <w:noProof/>
        </w:rPr>
      </w:pPr>
      <w:r>
        <w:t>1.</w:t>
      </w:r>
      <w:r>
        <w:tab/>
      </w:r>
      <w:r>
        <w:rPr>
          <w:i/>
          <w:noProof/>
        </w:rPr>
        <w:t>CE</w:t>
      </w:r>
      <w:r>
        <w:rPr>
          <w:noProof/>
        </w:rPr>
        <w:t xml:space="preserve"> zīmi redzami, salasāmi un neizdzēšami uzliek pavaddokumentiem un, ja </w:t>
      </w:r>
      <w:r>
        <w:rPr>
          <w:i/>
          <w:noProof/>
        </w:rPr>
        <w:t>CE</w:t>
      </w:r>
      <w:r>
        <w:rPr>
          <w:noProof/>
        </w:rPr>
        <w:t xml:space="preserve">-marķēto mēslošanas līdzekli piegādā iepakotu, — iepakojumam. </w:t>
      </w:r>
    </w:p>
    <w:p>
      <w:pPr>
        <w:pStyle w:val="ManualNumPar1"/>
        <w:rPr>
          <w:noProof/>
        </w:rPr>
      </w:pPr>
      <w:r>
        <w:t>2.</w:t>
      </w:r>
      <w:r>
        <w:tab/>
      </w:r>
      <w:r>
        <w:rPr>
          <w:i/>
          <w:noProof/>
        </w:rPr>
        <w:t>CE</w:t>
      </w:r>
      <w:r>
        <w:rPr>
          <w:noProof/>
        </w:rPr>
        <w:t xml:space="preserve"> zīmi uzliek, pirms </w:t>
      </w:r>
      <w:r>
        <w:rPr>
          <w:i/>
          <w:noProof/>
        </w:rPr>
        <w:t>CE</w:t>
      </w:r>
      <w:r>
        <w:rPr>
          <w:noProof/>
        </w:rPr>
        <w:t>-marķēto mēslošanas līdzekli laiž tirgū.</w:t>
      </w:r>
    </w:p>
    <w:p>
      <w:pPr>
        <w:pStyle w:val="ManualNumPar1"/>
        <w:rPr>
          <w:noProof/>
        </w:rPr>
      </w:pPr>
      <w:r>
        <w:t>3.</w:t>
      </w:r>
      <w:r>
        <w:tab/>
      </w:r>
      <w:r>
        <w:rPr>
          <w:noProof/>
        </w:rPr>
        <w:t xml:space="preserve">Aiz </w:t>
      </w:r>
      <w:r>
        <w:rPr>
          <w:i/>
          <w:noProof/>
        </w:rPr>
        <w:t>CE</w:t>
      </w:r>
      <w:r>
        <w:rPr>
          <w:noProof/>
        </w:rPr>
        <w:t xml:space="preserve"> zīmes ir tās paziņotās struktūras identifikācijas numurs, kas piedalās atbilstības novērtēšanas procedūrā, kura IV pielikumā nosaukta par moduli D1.</w:t>
      </w:r>
    </w:p>
    <w:p>
      <w:pPr>
        <w:pStyle w:val="Text1"/>
        <w:rPr>
          <w:noProof/>
        </w:rPr>
      </w:pPr>
      <w:r>
        <w:rPr>
          <w:noProof/>
        </w:rPr>
        <w:t>Paziņotās struktūras identifikācijas numuru uzliek pati struktūra, vai pēc tās norādījuma to uzliek ražotājs vai tā pilnvarotais pārstāvis.</w:t>
      </w:r>
    </w:p>
    <w:p>
      <w:pPr>
        <w:pStyle w:val="ManualNumPar1"/>
        <w:rPr>
          <w:noProof/>
        </w:rPr>
      </w:pPr>
      <w:r>
        <w:t>4.</w:t>
      </w:r>
      <w:r>
        <w:tab/>
      </w:r>
      <w:r>
        <w:rPr>
          <w:noProof/>
        </w:rPr>
        <w:t xml:space="preserve">Dalībvalstis izmanto spēkā esošos mehānismus, lai nodrošinātu </w:t>
      </w:r>
      <w:r>
        <w:rPr>
          <w:i/>
          <w:noProof/>
        </w:rPr>
        <w:t>CE</w:t>
      </w:r>
      <w:r>
        <w:rPr>
          <w:noProof/>
        </w:rPr>
        <w:t xml:space="preserve"> zīmes izmantošanas kārtības pareizu piemērošanu, un attiecīgi rīkojas minētās zīmes neatbilstīgas izmantošanas gadījumā.</w:t>
      </w:r>
    </w:p>
    <w:p>
      <w:pPr>
        <w:pStyle w:val="Titrearticle"/>
        <w:rPr>
          <w:b/>
          <w:i w:val="0"/>
          <w:noProof/>
        </w:rPr>
      </w:pPr>
      <w:r>
        <w:rPr>
          <w:noProof/>
        </w:rPr>
        <w:t>18. pants</w:t>
      </w:r>
      <w:r>
        <w:rPr>
          <w:noProof/>
        </w:rPr>
        <w:br/>
      </w:r>
      <w:r>
        <w:rPr>
          <w:b/>
          <w:i w:val="0"/>
          <w:noProof/>
        </w:rPr>
        <w:t>Statuss "atkritums vairs nav atkritums"</w:t>
      </w:r>
    </w:p>
    <w:p>
      <w:pPr>
        <w:pStyle w:val="Text1"/>
        <w:rPr>
          <w:noProof/>
        </w:rPr>
      </w:pPr>
      <w:r>
        <w:rPr>
          <w:noProof/>
        </w:rPr>
        <w:t xml:space="preserve">Tiek uzskatīts, ka </w:t>
      </w:r>
      <w:r>
        <w:rPr>
          <w:i/>
          <w:noProof/>
        </w:rPr>
        <w:t>CE</w:t>
      </w:r>
      <w:r>
        <w:rPr>
          <w:noProof/>
        </w:rPr>
        <w:t>-marķēts mēslošanas līdzeklis, ar ko ir veikta reģenerācijas darbība un kas atbilst šīs regulas prasībām, atbilst Direktīvas 2008/98/EK 6. panta 1. punkta nosacījumiem, un tāpēc tiek uzskatīts, ka tas vairs nav atkritums.</w:t>
      </w:r>
    </w:p>
    <w:p>
      <w:pPr>
        <w:pStyle w:val="ChapterTitle"/>
        <w:rPr>
          <w:noProof/>
        </w:rPr>
      </w:pPr>
      <w:r>
        <w:rPr>
          <w:b w:val="0"/>
          <w:caps/>
          <w:noProof/>
        </w:rPr>
        <w:t>4. nodaļa</w:t>
      </w:r>
      <w:r>
        <w:rPr>
          <w:noProof/>
        </w:rPr>
        <w:br/>
      </w:r>
      <w:r>
        <w:rPr>
          <w:caps/>
          <w:noProof/>
        </w:rPr>
        <w:t>Atbilstības novērtēšanas struktūru paziņošana</w:t>
      </w:r>
    </w:p>
    <w:p>
      <w:pPr>
        <w:pStyle w:val="Titrearticle"/>
        <w:rPr>
          <w:b/>
          <w:i w:val="0"/>
          <w:noProof/>
        </w:rPr>
      </w:pPr>
      <w:r>
        <w:rPr>
          <w:noProof/>
        </w:rPr>
        <w:t>19. pants</w:t>
      </w:r>
      <w:r>
        <w:rPr>
          <w:noProof/>
        </w:rPr>
        <w:br/>
      </w:r>
      <w:r>
        <w:rPr>
          <w:b/>
          <w:i w:val="0"/>
          <w:noProof/>
        </w:rPr>
        <w:t>Paziņošana</w:t>
      </w:r>
    </w:p>
    <w:p>
      <w:pPr>
        <w:pStyle w:val="Text1"/>
        <w:rPr>
          <w:noProof/>
        </w:rPr>
      </w:pPr>
      <w:r>
        <w:rPr>
          <w:noProof/>
        </w:rPr>
        <w:t xml:space="preserve">Dalībvalstis Komisijai un pārējām dalībvalstīm paziņo struktūras, kas pilnvarotas veikt trešo personu atbilstības novērtēšanas uzdevumus saskaņā ar šo regulu. </w:t>
      </w:r>
    </w:p>
    <w:p>
      <w:pPr>
        <w:pStyle w:val="Titrearticle"/>
        <w:rPr>
          <w:b/>
          <w:i w:val="0"/>
          <w:noProof/>
        </w:rPr>
      </w:pPr>
      <w:r>
        <w:rPr>
          <w:noProof/>
        </w:rPr>
        <w:t>20. pants</w:t>
      </w:r>
      <w:r>
        <w:rPr>
          <w:noProof/>
        </w:rPr>
        <w:br/>
      </w:r>
      <w:r>
        <w:rPr>
          <w:b/>
          <w:i w:val="0"/>
          <w:noProof/>
        </w:rPr>
        <w:t>Paziņojošās iestādes</w:t>
      </w:r>
    </w:p>
    <w:p>
      <w:pPr>
        <w:pStyle w:val="ManualNumPar1"/>
        <w:rPr>
          <w:noProof/>
        </w:rPr>
      </w:pPr>
      <w:r>
        <w:t>1.</w:t>
      </w:r>
      <w:r>
        <w:tab/>
      </w:r>
      <w:r>
        <w:rPr>
          <w:noProof/>
        </w:rPr>
        <w:t>Dalībvalstis izraugās paziņojošo iestādi, kas ir atbildīga par tādu procedūru izveidi un veikšanu, kuras nepieciešamas, lai novērtētu un paziņotu atbilstības novērtēšanas struktūras un pārraudzītu paziņotās struktūras, tostarp to atbilstību 25. pantam.</w:t>
      </w:r>
    </w:p>
    <w:p>
      <w:pPr>
        <w:pStyle w:val="ManualNumPar1"/>
        <w:rPr>
          <w:noProof/>
        </w:rPr>
      </w:pPr>
      <w:r>
        <w:t>2.</w:t>
      </w:r>
      <w:r>
        <w:tab/>
      </w:r>
      <w:r>
        <w:rPr>
          <w:noProof/>
        </w:rPr>
        <w:t>Dalībvalstis var nolemt, ka 1. punktā minēto novērtēšanu un pārraudzību veic kāda valsts akreditācijas struktūra Regulas (EK) Nr. 765/2008 nozīmē un saskaņā ar to.</w:t>
      </w:r>
    </w:p>
    <w:p>
      <w:pPr>
        <w:pStyle w:val="ManualNumPar1"/>
        <w:rPr>
          <w:noProof/>
        </w:rPr>
      </w:pPr>
      <w:r>
        <w:t>3.</w:t>
      </w:r>
      <w:r>
        <w:tab/>
      </w:r>
      <w:r>
        <w:rPr>
          <w:noProof/>
        </w:rPr>
        <w:t xml:space="preserve">Ja paziņojošā iestāde 1. punktā minēto novērtēšanu, paziņošanu vai pārraudzīšanu deleģē vai kā citādi uztic veikt kādai struktūrai, kas nav valsts pārvaldes iestāde, šī iestāde ir juridiska persona un </w:t>
      </w:r>
      <w:r>
        <w:rPr>
          <w:i/>
          <w:noProof/>
        </w:rPr>
        <w:t>mutatis mutandis</w:t>
      </w:r>
      <w:r>
        <w:rPr>
          <w:noProof/>
        </w:rPr>
        <w:t xml:space="preserve"> atbilst 21. pantā noteiktajām prasībām. Turklāt šai struktūrai ir jābūt spējīgai uzņemties no tās darbībām izrietošās saistības.</w:t>
      </w:r>
    </w:p>
    <w:p>
      <w:pPr>
        <w:pStyle w:val="ManualNumPar1"/>
        <w:rPr>
          <w:noProof/>
        </w:rPr>
      </w:pPr>
      <w:r>
        <w:t>4.</w:t>
      </w:r>
      <w:r>
        <w:tab/>
      </w:r>
      <w:r>
        <w:rPr>
          <w:noProof/>
        </w:rPr>
        <w:t>Paziņojošā iestāde uzņemas pilnu atbildību par 3. punktā minētās struktūras veiktajiem uzdevumiem.</w:t>
      </w:r>
    </w:p>
    <w:p>
      <w:pPr>
        <w:pStyle w:val="Titrearticle"/>
        <w:rPr>
          <w:b/>
          <w:i w:val="0"/>
          <w:noProof/>
        </w:rPr>
      </w:pPr>
      <w:r>
        <w:rPr>
          <w:noProof/>
        </w:rPr>
        <w:t>21. pants</w:t>
      </w:r>
      <w:r>
        <w:rPr>
          <w:noProof/>
        </w:rPr>
        <w:br/>
      </w:r>
      <w:r>
        <w:rPr>
          <w:b/>
          <w:i w:val="0"/>
          <w:noProof/>
        </w:rPr>
        <w:t>Prasības paziņojošajām iestādēm</w:t>
      </w:r>
    </w:p>
    <w:p>
      <w:pPr>
        <w:pStyle w:val="ManualNumPar1"/>
        <w:rPr>
          <w:noProof/>
        </w:rPr>
      </w:pPr>
      <w:r>
        <w:t>1.</w:t>
      </w:r>
      <w:r>
        <w:tab/>
      </w:r>
      <w:r>
        <w:rPr>
          <w:noProof/>
        </w:rPr>
        <w:t>Paziņojošo iestādi dibina tā, lai nebūtu nekādu interešu konfliktu ar atbilstības novērtēšanas struktūrām.</w:t>
      </w:r>
    </w:p>
    <w:p>
      <w:pPr>
        <w:pStyle w:val="ManualNumPar1"/>
        <w:rPr>
          <w:noProof/>
        </w:rPr>
      </w:pPr>
      <w:r>
        <w:t>2.</w:t>
      </w:r>
      <w:r>
        <w:tab/>
      </w:r>
      <w:r>
        <w:rPr>
          <w:noProof/>
        </w:rPr>
        <w:t>Paziņojošā iestāde ir veidota un darbojas tā, lai nodrošinātu tās darbības objektivitāti un taisnīgumu.</w:t>
      </w:r>
    </w:p>
    <w:p>
      <w:pPr>
        <w:pStyle w:val="ManualNumPar1"/>
        <w:rPr>
          <w:noProof/>
        </w:rPr>
      </w:pPr>
      <w:r>
        <w:t>3.</w:t>
      </w:r>
      <w:r>
        <w:tab/>
      </w:r>
      <w:r>
        <w:rPr>
          <w:noProof/>
        </w:rPr>
        <w:t>Paziņojošā iestāde ir veidota tā, lai visus lēmumus par atbilstības novērtēšanas struktūras paziņošanu pieņemtu kompetentas personas, kas nav tās pašas personas, kuras veikušas novērtēšanu.</w:t>
      </w:r>
    </w:p>
    <w:p>
      <w:pPr>
        <w:pStyle w:val="ManualNumPar1"/>
        <w:rPr>
          <w:noProof/>
        </w:rPr>
      </w:pPr>
      <w:r>
        <w:t>4.</w:t>
      </w:r>
      <w:r>
        <w:tab/>
      </w:r>
      <w:r>
        <w:rPr>
          <w:noProof/>
        </w:rPr>
        <w:t>Paziņojošā iestāde nepiedāvā un neveic nekādas darbības, ko komerciāli vai uz konkursa pamata veic atbilstības novērtēšanas struktūras vai konsultāciju dienesti.</w:t>
      </w:r>
    </w:p>
    <w:p>
      <w:pPr>
        <w:pStyle w:val="ManualNumPar1"/>
        <w:rPr>
          <w:noProof/>
        </w:rPr>
      </w:pPr>
      <w:r>
        <w:t>5.</w:t>
      </w:r>
      <w:r>
        <w:tab/>
      </w:r>
      <w:r>
        <w:rPr>
          <w:noProof/>
        </w:rPr>
        <w:t>Paziņojošā iestāde nodrošina iegūtās informācijas konfidencialitāti.</w:t>
      </w:r>
    </w:p>
    <w:p>
      <w:pPr>
        <w:pStyle w:val="ManualNumPar1"/>
        <w:rPr>
          <w:noProof/>
        </w:rPr>
      </w:pPr>
      <w:r>
        <w:t>6.</w:t>
      </w:r>
      <w:r>
        <w:tab/>
      </w:r>
      <w:r>
        <w:rPr>
          <w:noProof/>
        </w:rPr>
        <w:t>Paziņojošās iestādes rīcībā ir pietiekams skaits kompetentu darbinieku tās pienākumu pienācīgai izpildei.</w:t>
      </w:r>
    </w:p>
    <w:p>
      <w:pPr>
        <w:pStyle w:val="Titrearticle"/>
        <w:rPr>
          <w:b/>
          <w:i w:val="0"/>
          <w:noProof/>
        </w:rPr>
      </w:pPr>
      <w:r>
        <w:rPr>
          <w:noProof/>
        </w:rPr>
        <w:t>22. pants</w:t>
      </w:r>
      <w:r>
        <w:rPr>
          <w:noProof/>
        </w:rPr>
        <w:br/>
      </w:r>
      <w:r>
        <w:rPr>
          <w:b/>
          <w:i w:val="0"/>
          <w:noProof/>
        </w:rPr>
        <w:t>Informēšanas pienākums attiecībā uz paziņojošajām iestādēm</w:t>
      </w:r>
    </w:p>
    <w:p>
      <w:pPr>
        <w:rPr>
          <w:noProof/>
        </w:rPr>
      </w:pPr>
      <w:r>
        <w:rPr>
          <w:noProof/>
        </w:rPr>
        <w:t>Dalībvalstis informē Komisiju par savām atbilstības novērtēšanas struktūru novērtēšanas un paziņošanas procedūrām un paziņoto struktūru pārraudzīšanas procedūrām, kā arī par jebkādām pārmaiņām šajās procedūrās.</w:t>
      </w:r>
    </w:p>
    <w:p>
      <w:pPr>
        <w:rPr>
          <w:noProof/>
        </w:rPr>
      </w:pPr>
      <w:r>
        <w:rPr>
          <w:noProof/>
        </w:rPr>
        <w:t>Komisija šo informāciju dara publiski pieejamu.</w:t>
      </w:r>
    </w:p>
    <w:p>
      <w:pPr>
        <w:pStyle w:val="Titrearticle"/>
        <w:rPr>
          <w:b/>
          <w:i w:val="0"/>
          <w:noProof/>
        </w:rPr>
      </w:pPr>
      <w:r>
        <w:rPr>
          <w:noProof/>
        </w:rPr>
        <w:t>23. pants</w:t>
      </w:r>
      <w:r>
        <w:rPr>
          <w:noProof/>
        </w:rPr>
        <w:br/>
      </w:r>
      <w:r>
        <w:rPr>
          <w:b/>
          <w:i w:val="0"/>
          <w:noProof/>
        </w:rPr>
        <w:t>Prasības paziņotajām struktūrām</w:t>
      </w:r>
    </w:p>
    <w:p>
      <w:pPr>
        <w:pStyle w:val="ManualNumPar1"/>
        <w:rPr>
          <w:noProof/>
        </w:rPr>
      </w:pPr>
      <w:r>
        <w:t>1.</w:t>
      </w:r>
      <w:r>
        <w:tab/>
      </w:r>
      <w:r>
        <w:rPr>
          <w:noProof/>
        </w:rPr>
        <w:t>Attiecībā uz paziņošanu atbilstības novērtēšanas struktūra atbilst 2. līdz 11. punkta prasībām.</w:t>
      </w:r>
    </w:p>
    <w:p>
      <w:pPr>
        <w:pStyle w:val="ManualNumPar1"/>
        <w:rPr>
          <w:noProof/>
        </w:rPr>
      </w:pPr>
      <w:r>
        <w:t>2.</w:t>
      </w:r>
      <w:r>
        <w:tab/>
      </w:r>
      <w:r>
        <w:rPr>
          <w:noProof/>
        </w:rPr>
        <w:t>Atbilstības novērtēšanas struktūru izveido saskaņā ar kādas dalībvalsts tiesību aktiem, un tā ir juridiska persona.</w:t>
      </w:r>
    </w:p>
    <w:p>
      <w:pPr>
        <w:pStyle w:val="ManualNumPar1"/>
        <w:rPr>
          <w:noProof/>
        </w:rPr>
      </w:pPr>
      <w:r>
        <w:t>3.</w:t>
      </w:r>
      <w:r>
        <w:tab/>
      </w:r>
      <w:r>
        <w:rPr>
          <w:noProof/>
        </w:rPr>
        <w:t xml:space="preserve">Atbilstības novērtēšanas struktūra ir trešā persona, kas ir neatkarīga no organizācijas vai mēslošanas līdzekļa, kuru tā novērtē. </w:t>
      </w:r>
    </w:p>
    <w:p>
      <w:pPr>
        <w:pStyle w:val="Text1"/>
        <w:rPr>
          <w:noProof/>
        </w:rPr>
      </w:pPr>
      <w:r>
        <w:rPr>
          <w:noProof/>
        </w:rPr>
        <w:t xml:space="preserve">Struktūru, kas pieder pie uzņēmēju asociācijas vai profesionālas federācijas, kura pārstāv uzņēmumus, kas iesaistīti tās novērtējamo </w:t>
      </w:r>
      <w:r>
        <w:rPr>
          <w:i/>
          <w:noProof/>
        </w:rPr>
        <w:t>CE</w:t>
      </w:r>
      <w:r>
        <w:rPr>
          <w:noProof/>
        </w:rPr>
        <w:t>-marķēto mēslošanas līdzekļu projektēšanā, ražošanā, piegādē vai lietošanā, var uzskatīt par šādu struktūru, ja ir pierādīta tās neatkarība un interešu konflikta neesība.</w:t>
      </w:r>
    </w:p>
    <w:p>
      <w:pPr>
        <w:pStyle w:val="ManualNumPar1"/>
        <w:rPr>
          <w:noProof/>
        </w:rPr>
      </w:pPr>
      <w:r>
        <w:t>4.</w:t>
      </w:r>
      <w:r>
        <w:tab/>
      </w:r>
      <w:r>
        <w:rPr>
          <w:noProof/>
        </w:rPr>
        <w:t xml:space="preserve">Atbilstības novērtēšanas struktūra, tās augstākā vadība un darbinieki, kas atbild par atbilstības novērtēšanas uzdevumiem, nav nedz mēslošanas līdzekļu projektētāji, ražotāji, piegādātāji, iepircēji, īpašnieki, īpašnieki vai lietotāji, nedz minēto pušu pārstāvji. Tas neliedz lietot mēslošanas līdzekļus, kas vajadzīgi atbilstības novērtēšanas struktūras darbībai vai lietot mēslošanas līdzekļus personīgām vajadzībām. </w:t>
      </w:r>
    </w:p>
    <w:p>
      <w:pPr>
        <w:pStyle w:val="Text1"/>
        <w:rPr>
          <w:noProof/>
        </w:rPr>
      </w:pPr>
      <w:r>
        <w:rPr>
          <w:noProof/>
        </w:rPr>
        <w:t xml:space="preserve">Atbilstības novērtēšanas struktūra, tās augstākā vadība un darbinieki, kas ir atbildīgi par atbilstības novērtēšanas uzdevumu izpildi, nav tieši iesaistīti mēslošanas līdzekļu projektēšanā, ražošanā, tirdzniecībā vai lietošanā, kā arī nepārstāv minētajās darbībās iesaistītas personas. Viņi neiesaistās darbībās, kas var būt pretrunā viņu lēmumu neatkarībai vai godīgumam attiecībā uz atbilstības novērtēšanas darbībām, attiecībā uz kurām viņi ir paziņotā struktūra. Tas jo īpaši attiecas uz konsultāciju pakalpojumiem. </w:t>
      </w:r>
    </w:p>
    <w:p>
      <w:pPr>
        <w:pStyle w:val="Text1"/>
        <w:rPr>
          <w:noProof/>
        </w:rPr>
      </w:pPr>
      <w:r>
        <w:rPr>
          <w:noProof/>
        </w:rPr>
        <w:t xml:space="preserve">Atbilstības novērtēšanas struktūras gādā, ka to filiāļu vai apakšlīgumu slēdzēju darbības neietekmē to veikto atbilstības novērtēšanas darbību konfidencialitāti, objektivitāti vai taisnīgumu. </w:t>
      </w:r>
    </w:p>
    <w:p>
      <w:pPr>
        <w:pStyle w:val="ManualNumPar1"/>
        <w:rPr>
          <w:noProof/>
        </w:rPr>
      </w:pPr>
      <w:r>
        <w:t>5.</w:t>
      </w:r>
      <w:r>
        <w:tab/>
      </w:r>
      <w:r>
        <w:rPr>
          <w:noProof/>
        </w:rPr>
        <w:t>Atbilstības novērtēšanas struktūras un to darbinieki veic atbilstības novērtēšanas darbības ar visaugstāko profesionālo godprātību un ar vajadzīgo tehnisko kompetenci konkrētajā jomā, un tās ir brīvas no jebkāda jo īpaši finansiāla spiediena un pamudinājumiem, kas varētu ietekmēt to lēmumus vai to veikto atbilstības novērtēšanas darbību rezultātus, jo īpaši attiecībā uz tādām personām vai personu grupām, kuras ir ieinteresētas šo darbību rezultātos.</w:t>
      </w:r>
    </w:p>
    <w:p>
      <w:pPr>
        <w:pStyle w:val="ManualNumPar1"/>
        <w:rPr>
          <w:noProof/>
        </w:rPr>
      </w:pPr>
      <w:r>
        <w:t>6.</w:t>
      </w:r>
      <w:r>
        <w:tab/>
      </w:r>
      <w:r>
        <w:rPr>
          <w:noProof/>
        </w:rPr>
        <w:t>Atbilstības novērtēšanas struktūra ir spējīga veikt visus atbilstības novērtēšanas uzdevumus, kuri tai noteikti IV pielikumā un attiecībā uz kuriem tā ir paziņota, neatkarīgi no tā, vai šos uzdevumus veic pati atbilstības novērtēšanas struktūra, vai tie tiek veikti tās vārdā un uz tās atbildību.</w:t>
      </w:r>
    </w:p>
    <w:p>
      <w:pPr>
        <w:pStyle w:val="Text1"/>
        <w:rPr>
          <w:noProof/>
        </w:rPr>
      </w:pPr>
      <w:r>
        <w:rPr>
          <w:noProof/>
        </w:rPr>
        <w:t xml:space="preserve">Visos gadījumos un katrai atbilstības novērtēšanas procedūrai un katram </w:t>
      </w:r>
      <w:r>
        <w:rPr>
          <w:i/>
          <w:noProof/>
        </w:rPr>
        <w:t>CE</w:t>
      </w:r>
      <w:r>
        <w:rPr>
          <w:noProof/>
        </w:rPr>
        <w:t>-marķētu mēslošanas līdzekļu veidam vai kategorijai, attiecībā uz kuru atbilstības novērtēšanas struktūra ir paziņota, šīs struktūras rīcībā ir vajadzīgie:</w:t>
      </w:r>
    </w:p>
    <w:p>
      <w:pPr>
        <w:pStyle w:val="Point1letter"/>
        <w:numPr>
          <w:ilvl w:val="3"/>
          <w:numId w:val="42"/>
        </w:numPr>
        <w:rPr>
          <w:noProof/>
        </w:rPr>
      </w:pPr>
      <w:r>
        <w:rPr>
          <w:noProof/>
        </w:rPr>
        <w:t>darbinieki ar tehniskajām zināšanām un pietiekamu un piemērotu pieredzi atbilstības novērtēšanas uzdevumu veikšanā,</w:t>
      </w:r>
    </w:p>
    <w:p>
      <w:pPr>
        <w:pStyle w:val="Point1letter"/>
        <w:rPr>
          <w:noProof/>
        </w:rPr>
      </w:pPr>
      <w:r>
        <w:rPr>
          <w:noProof/>
        </w:rPr>
        <w:t>to procedūru apraksti, ar kurām veic atbilstības novērtēšanu, nodrošinot šo procedūru pārredzamību un reproducējamību. Tai ir ieviesta pienācīga politika un procedūras, ar ko uzdevumi, kurus struktūra veic kā paziņotā struktūra, ir nodalīti no pārējās darbības,</w:t>
      </w:r>
    </w:p>
    <w:p>
      <w:pPr>
        <w:pStyle w:val="Point1letter"/>
        <w:rPr>
          <w:noProof/>
        </w:rPr>
      </w:pPr>
      <w:r>
        <w:rPr>
          <w:noProof/>
        </w:rPr>
        <w:t>tādas darbību procedūras, kurās pienācīgi ņem vērā uzņēmuma lielumu, nozari, kur tas darbojas, struktūru, attiecīgās tehnoloģijas sarežģītības pakāpi un to, vai attiecīgajos uzņēmumos ir masveida vai sērijveida ražošana.</w:t>
      </w:r>
    </w:p>
    <w:p>
      <w:pPr>
        <w:pStyle w:val="Text1"/>
        <w:rPr>
          <w:noProof/>
        </w:rPr>
      </w:pPr>
      <w:r>
        <w:rPr>
          <w:noProof/>
        </w:rPr>
        <w:t>Atbilstības novērtēšanas struktūrai ir līdzekļi, kas nepieciešami, lai pienācīgi veiktu ar atbildības novērtēšanas darbībām saistītos tehniskos un administratīvos uzdevumus, un ir piekļuve visam nepieciešamajam aprīkojumam vai iekārtām.</w:t>
      </w:r>
    </w:p>
    <w:p>
      <w:pPr>
        <w:pStyle w:val="ManualNumPar1"/>
        <w:rPr>
          <w:noProof/>
        </w:rPr>
      </w:pPr>
      <w:r>
        <w:t>7.</w:t>
      </w:r>
      <w:r>
        <w:tab/>
      </w:r>
      <w:r>
        <w:rPr>
          <w:noProof/>
        </w:rPr>
        <w:t>Par atbilstības novērtēšanas uzdevumu veikšanu atbildīgajiem darbiniekiem ir:</w:t>
      </w:r>
    </w:p>
    <w:p>
      <w:pPr>
        <w:pStyle w:val="Point1letter"/>
        <w:numPr>
          <w:ilvl w:val="3"/>
          <w:numId w:val="43"/>
        </w:numPr>
        <w:rPr>
          <w:noProof/>
        </w:rPr>
      </w:pPr>
      <w:r>
        <w:rPr>
          <w:noProof/>
        </w:rPr>
        <w:t>pienācīga tehniskā un profesionālā apmācība, kas aptver visas atbilstības novērtēšanas darbības, attiecībā uz kurām atbilstības novērtēšanas struktūra ir tikusi paziņota,</w:t>
      </w:r>
    </w:p>
    <w:p>
      <w:pPr>
        <w:pStyle w:val="Point1letter"/>
        <w:numPr>
          <w:ilvl w:val="3"/>
          <w:numId w:val="43"/>
        </w:numPr>
        <w:rPr>
          <w:noProof/>
        </w:rPr>
      </w:pPr>
      <w:r>
        <w:rPr>
          <w:noProof/>
        </w:rPr>
        <w:t xml:space="preserve">pietiekamas zināšanas par prasībām attiecībā uz veicamo novērtēšanu un pietiekams pilnvarojums veikt šo novērtēšanu, </w:t>
      </w:r>
    </w:p>
    <w:p>
      <w:pPr>
        <w:pStyle w:val="Point1letter"/>
        <w:numPr>
          <w:ilvl w:val="3"/>
          <w:numId w:val="43"/>
        </w:numPr>
        <w:rPr>
          <w:noProof/>
        </w:rPr>
      </w:pPr>
      <w:r>
        <w:rPr>
          <w:noProof/>
        </w:rPr>
        <w:t xml:space="preserve">attiecīgas zināšanas un izpratne par I, II un III pielikumā norādītajām prasībām, par piemērojamajiem saskaņotajiem standartiem un par Savienības saskaņošanas tiesību aktu un valsts tiesību aktu attiecīgajiem noteikumiem, </w:t>
      </w:r>
    </w:p>
    <w:p>
      <w:pPr>
        <w:pStyle w:val="Point1letter"/>
        <w:numPr>
          <w:ilvl w:val="3"/>
          <w:numId w:val="43"/>
        </w:numPr>
        <w:rPr>
          <w:noProof/>
        </w:rPr>
      </w:pPr>
      <w:r>
        <w:rPr>
          <w:noProof/>
        </w:rPr>
        <w:t>spēja sagatavot sertifikātus, dokumentāciju un ziņojumus, kas pierāda, ka novērtēšana ir veikta.</w:t>
      </w:r>
    </w:p>
    <w:p>
      <w:pPr>
        <w:pStyle w:val="ManualNumPar1"/>
        <w:rPr>
          <w:noProof/>
        </w:rPr>
      </w:pPr>
      <w:r>
        <w:t>8.</w:t>
      </w:r>
      <w:r>
        <w:tab/>
      </w:r>
      <w:r>
        <w:rPr>
          <w:noProof/>
        </w:rPr>
        <w:t xml:space="preserve">Tiek garantēta atbilstības novērtēšanas struktūru, to augstākās vadības un par atbilstības novērtēšanas uzdevumu veikšanu atbildīgo darbinieku objektivitāte. </w:t>
      </w:r>
    </w:p>
    <w:p>
      <w:pPr>
        <w:pStyle w:val="Text1"/>
        <w:rPr>
          <w:noProof/>
        </w:rPr>
      </w:pPr>
      <w:r>
        <w:rPr>
          <w:noProof/>
        </w:rPr>
        <w:t>Atalgojums, ko saņem atbilstības novērtēšanas struktūras augstākā līmeņa vadība un darbinieki, kas ir atbildīgi par atbilstības novērtēšanas uzdevumu veikšanu, nav atkarīgs no veikto novērtējumu skaita vai to rezultātiem.</w:t>
      </w:r>
    </w:p>
    <w:p>
      <w:pPr>
        <w:pStyle w:val="ManualNumPar1"/>
        <w:rPr>
          <w:noProof/>
        </w:rPr>
      </w:pPr>
      <w:r>
        <w:t>9.</w:t>
      </w:r>
      <w:r>
        <w:tab/>
      </w:r>
      <w:r>
        <w:rPr>
          <w:noProof/>
        </w:rPr>
        <w:t>Atbilstības novērtēšanas struktūras apdrošina civiltiesisko atbildību, ja vien atbildību neuzņemas valsts saskaņā ar valsts tiesību aktiem vai ja par atbilstības novērtēšanu nav tieši atbildīga pati dalībvalsts.</w:t>
      </w:r>
    </w:p>
    <w:p>
      <w:pPr>
        <w:pStyle w:val="ManualNumPar1"/>
        <w:rPr>
          <w:noProof/>
        </w:rPr>
      </w:pPr>
      <w:r>
        <w:t>10.</w:t>
      </w:r>
      <w:r>
        <w:tab/>
      </w:r>
      <w:r>
        <w:rPr>
          <w:noProof/>
        </w:rPr>
        <w:t>Atbilstības novērtēšanas struktūras darbinieki glabā dienesta noslēpumus attiecībā uz visu informāciju, kas iegūta, veicot pienākumus saskaņā ar IV pielikumu, izņemot attiecībā uz tās dalībvalsts kompetentajām iestādēm, kurā darbības tiek veiktas. Īpašumtiesības ir aizsargātas.</w:t>
      </w:r>
    </w:p>
    <w:p>
      <w:pPr>
        <w:pStyle w:val="ManualNumPar1"/>
        <w:rPr>
          <w:noProof/>
        </w:rPr>
      </w:pPr>
      <w:r>
        <w:t>11.</w:t>
      </w:r>
      <w:r>
        <w:tab/>
      </w:r>
      <w:r>
        <w:rPr>
          <w:noProof/>
        </w:rPr>
        <w:t>Atbilstības novērtēšanas struktūras piedalās attiecīgajās standartizācijas darbībās un darbībās, ko veic saskaņā ar 35. pantu izveidotā paziņoto struktūru koordinācijas grupa, vai nodrošina, lai par atbilstības novērtēšanas uzdevumu veikšanu atbildīgie darbinieki būtu par šādām darbībām informēti, un par vispārīgām pamatnostādnēm izmanto šīs grupas darbā izstrādātos administratīvos lēmumus un dokumentus.</w:t>
      </w:r>
    </w:p>
    <w:p>
      <w:pPr>
        <w:pStyle w:val="Titrearticle"/>
        <w:rPr>
          <w:b/>
          <w:i w:val="0"/>
          <w:noProof/>
        </w:rPr>
      </w:pPr>
      <w:r>
        <w:rPr>
          <w:noProof/>
        </w:rPr>
        <w:t>24. pants</w:t>
      </w:r>
      <w:r>
        <w:rPr>
          <w:noProof/>
        </w:rPr>
        <w:br/>
      </w:r>
      <w:r>
        <w:rPr>
          <w:b/>
          <w:i w:val="0"/>
          <w:noProof/>
        </w:rPr>
        <w:t>Pieņēmums par paziņoto struktūru atbilstību</w:t>
      </w:r>
    </w:p>
    <w:p>
      <w:pPr>
        <w:rPr>
          <w:noProof/>
        </w:rPr>
      </w:pPr>
      <w:r>
        <w:rPr>
          <w:noProof/>
        </w:rPr>
        <w:t xml:space="preserve">Ja atbilstības novērtēšanas struktūra pierāda savu atbilstību kritērijiem, kas noteikti attiecīgajos saskaņotajos standartos vai to daļās, uz kuriem atsauces publicētas </w:t>
      </w:r>
      <w:r>
        <w:rPr>
          <w:i/>
          <w:noProof/>
        </w:rPr>
        <w:t>Eiropas Savienības Oficiālajā Vēstnesī</w:t>
      </w:r>
      <w:r>
        <w:rPr>
          <w:noProof/>
        </w:rPr>
        <w:t>, to uzskata par atbilstīgu 23. panta prasībām, ciktāl piemērojamie saskaņotie standarti attiecas uz šīm prasībām.</w:t>
      </w:r>
    </w:p>
    <w:p>
      <w:pPr>
        <w:pStyle w:val="Titrearticle"/>
        <w:rPr>
          <w:b/>
          <w:i w:val="0"/>
          <w:noProof/>
        </w:rPr>
      </w:pPr>
      <w:r>
        <w:rPr>
          <w:noProof/>
        </w:rPr>
        <w:t>25. pants</w:t>
      </w:r>
      <w:r>
        <w:rPr>
          <w:noProof/>
        </w:rPr>
        <w:br/>
      </w:r>
      <w:r>
        <w:rPr>
          <w:b/>
          <w:i w:val="0"/>
          <w:noProof/>
        </w:rPr>
        <w:t>Paziņoto struktūru fililāles un apakšlīgumu slēgšana</w:t>
      </w:r>
    </w:p>
    <w:p>
      <w:pPr>
        <w:pStyle w:val="ManualNumPar1"/>
        <w:rPr>
          <w:noProof/>
        </w:rPr>
      </w:pPr>
      <w:r>
        <w:t>1.</w:t>
      </w:r>
      <w:r>
        <w:tab/>
      </w:r>
      <w:r>
        <w:rPr>
          <w:noProof/>
        </w:rPr>
        <w:t>Ja paziņotā struktūra par konkrētu ar atbilstības novērtēšanu saistītu uzdevumu veikšanu slēdz apakšlīgumus vai tiem izmanto filiāli, tā pārliecinās, ka apakšlīguma slēdzējs vai filiāle atbilst 23. panta prasībām, un attiecīgi informē pilnvarojošo iestādi.</w:t>
      </w:r>
    </w:p>
    <w:p>
      <w:pPr>
        <w:pStyle w:val="ManualNumPar1"/>
        <w:rPr>
          <w:noProof/>
        </w:rPr>
      </w:pPr>
      <w:r>
        <w:t>2.</w:t>
      </w:r>
      <w:r>
        <w:tab/>
      </w:r>
      <w:r>
        <w:rPr>
          <w:noProof/>
        </w:rPr>
        <w:t>Paziņotās struktūras uzņemas pilnu atbildību par apakšuzņēmēju vai filiāļu veiktajiem uzdevumiem neatkarīgi no tā, kur tie veic uzņēmējdarbību.</w:t>
      </w:r>
    </w:p>
    <w:p>
      <w:pPr>
        <w:pStyle w:val="ManualNumPar1"/>
        <w:rPr>
          <w:noProof/>
        </w:rPr>
      </w:pPr>
      <w:r>
        <w:t>3.</w:t>
      </w:r>
      <w:r>
        <w:tab/>
      </w:r>
      <w:r>
        <w:rPr>
          <w:noProof/>
        </w:rPr>
        <w:t>Par kādām darbībām slēgt apakšlīgumu vai tās veikt filiāle var tikai tad, ja klients tam piekrīt.</w:t>
      </w:r>
    </w:p>
    <w:p>
      <w:pPr>
        <w:pStyle w:val="ManualNumPar1"/>
        <w:rPr>
          <w:noProof/>
        </w:rPr>
      </w:pPr>
      <w:r>
        <w:t>4.</w:t>
      </w:r>
      <w:r>
        <w:tab/>
      </w:r>
      <w:r>
        <w:rPr>
          <w:noProof/>
        </w:rPr>
        <w:t>Attiecīgos dokumentus par apakšlīguma slēdzēja vai filiāles kvalifikāciju novērtēšanu un par darbu, ko tie veikuši saskaņā ar IV pielikumu, paziņotās struktūras glabā paziņojošajai iestādei pieejamus.</w:t>
      </w:r>
    </w:p>
    <w:p>
      <w:pPr>
        <w:pStyle w:val="Titrearticle"/>
        <w:rPr>
          <w:b/>
          <w:i w:val="0"/>
          <w:noProof/>
        </w:rPr>
      </w:pPr>
      <w:r>
        <w:rPr>
          <w:noProof/>
        </w:rPr>
        <w:t>26. pants</w:t>
      </w:r>
      <w:r>
        <w:rPr>
          <w:noProof/>
        </w:rPr>
        <w:br/>
      </w:r>
      <w:r>
        <w:rPr>
          <w:b/>
          <w:i w:val="0"/>
          <w:noProof/>
        </w:rPr>
        <w:t>Paziņošanas pieteikums</w:t>
      </w:r>
    </w:p>
    <w:p>
      <w:pPr>
        <w:pStyle w:val="ManualNumPar1"/>
        <w:rPr>
          <w:noProof/>
        </w:rPr>
      </w:pPr>
      <w:r>
        <w:t>1.</w:t>
      </w:r>
      <w:r>
        <w:tab/>
      </w:r>
      <w:r>
        <w:rPr>
          <w:noProof/>
        </w:rPr>
        <w:t>Atbilstības novērtēšanas struktūra iesniedz paziņošanas pieteikumu paziņojošajai iestādei tajā dalībvalstī, kur tā veic uzņēmējdarbību.</w:t>
      </w:r>
    </w:p>
    <w:p>
      <w:pPr>
        <w:pStyle w:val="ManualNumPar1"/>
        <w:rPr>
          <w:noProof/>
        </w:rPr>
      </w:pPr>
      <w:r>
        <w:t>2.</w:t>
      </w:r>
      <w:r>
        <w:tab/>
      </w:r>
      <w:r>
        <w:rPr>
          <w:noProof/>
        </w:rPr>
        <w:t xml:space="preserve">Paziņošanas pieteikumam pievieno atbilstības novērtēšanas darbību aprakstu, atbilstības novērtēšanas moduli vai moduļus un </w:t>
      </w:r>
      <w:r>
        <w:rPr>
          <w:i/>
          <w:noProof/>
        </w:rPr>
        <w:t>CE</w:t>
      </w:r>
      <w:r>
        <w:rPr>
          <w:noProof/>
        </w:rPr>
        <w:t>-marķēto mēslošanas līdzekli vai līdzekļus, attiecībā uz kuriem struktūra sevi paziņo par kompetentu, kā arī valsts akreditācijas struktūras izsniegtu akreditācijas sertifikātu, kas apliecina, ka atbilstības novērtēšanas struktūra atbilst 23. panta prasībām.</w:t>
      </w:r>
    </w:p>
    <w:p>
      <w:pPr>
        <w:pStyle w:val="Titrearticle"/>
        <w:rPr>
          <w:b/>
          <w:i w:val="0"/>
          <w:noProof/>
        </w:rPr>
      </w:pPr>
      <w:r>
        <w:rPr>
          <w:noProof/>
        </w:rPr>
        <w:t>27. pants</w:t>
      </w:r>
      <w:r>
        <w:rPr>
          <w:noProof/>
        </w:rPr>
        <w:br/>
      </w:r>
      <w:r>
        <w:rPr>
          <w:b/>
          <w:i w:val="0"/>
          <w:noProof/>
        </w:rPr>
        <w:t>Paziņošanas procedūra</w:t>
      </w:r>
    </w:p>
    <w:p>
      <w:pPr>
        <w:pStyle w:val="ManualNumPar1"/>
        <w:rPr>
          <w:noProof/>
        </w:rPr>
      </w:pPr>
      <w:r>
        <w:t>1.</w:t>
      </w:r>
      <w:r>
        <w:tab/>
      </w:r>
      <w:r>
        <w:rPr>
          <w:noProof/>
        </w:rPr>
        <w:t>Paziņojošās iestādes var paziņot tikai tādas atbilstības novērtēšanas struktūras, kuras atbilst 23. panta prasībām.</w:t>
      </w:r>
    </w:p>
    <w:p>
      <w:pPr>
        <w:pStyle w:val="ManualNumPar1"/>
        <w:rPr>
          <w:noProof/>
        </w:rPr>
      </w:pPr>
      <w:r>
        <w:t>2.</w:t>
      </w:r>
      <w:r>
        <w:tab/>
      </w:r>
      <w:r>
        <w:rPr>
          <w:noProof/>
        </w:rPr>
        <w:t>Paziņošanu Komisijai un pārējām dalībvalstīm tās izdara, izmantojot Komisijas izstrādāto un pārvaldīto elektronisko paziņošanas sistēmu.</w:t>
      </w:r>
    </w:p>
    <w:p>
      <w:pPr>
        <w:pStyle w:val="ManualNumPar1"/>
        <w:rPr>
          <w:noProof/>
        </w:rPr>
      </w:pPr>
      <w:r>
        <w:t>3.</w:t>
      </w:r>
      <w:r>
        <w:tab/>
      </w:r>
      <w:r>
        <w:rPr>
          <w:noProof/>
        </w:rPr>
        <w:t xml:space="preserve">Paziņojumā iekļauj sīku informāciju par atbilstības novērtēšanas darbībām, atbilstības novērtēšanas moduli vai moduļiem, attiecīgo </w:t>
      </w:r>
      <w:r>
        <w:rPr>
          <w:i/>
          <w:noProof/>
        </w:rPr>
        <w:t>CE</w:t>
      </w:r>
      <w:r>
        <w:rPr>
          <w:noProof/>
        </w:rPr>
        <w:t>-marķēto mēslošanas līdzekli vai līdzekļiem un par 26. panta 2. punktā minēto akreditācijas sertifikātu.</w:t>
      </w:r>
    </w:p>
    <w:p>
      <w:pPr>
        <w:pStyle w:val="ManualNumPar1"/>
        <w:rPr>
          <w:noProof/>
        </w:rPr>
      </w:pPr>
      <w:r>
        <w:t>4.</w:t>
      </w:r>
      <w:r>
        <w:tab/>
      </w:r>
      <w:r>
        <w:rPr>
          <w:noProof/>
        </w:rPr>
        <w:t>Attiecīgā struktūra paziņotās struktūras darbības var veikt tikai tad, ja Komisija vai pārējās dalībvalstis divu nedēļu laikā no paziņošanas nav iebildušas.</w:t>
      </w:r>
    </w:p>
    <w:p>
      <w:pPr>
        <w:pStyle w:val="Text1"/>
        <w:rPr>
          <w:noProof/>
        </w:rPr>
      </w:pPr>
      <w:r>
        <w:rPr>
          <w:noProof/>
        </w:rPr>
        <w:t>Šajā regulā par paziņotu struktūru uzskata tikai šādu struktūru.</w:t>
      </w:r>
    </w:p>
    <w:p>
      <w:pPr>
        <w:pStyle w:val="ManualNumPar1"/>
        <w:rPr>
          <w:noProof/>
        </w:rPr>
      </w:pPr>
      <w:r>
        <w:t>5.</w:t>
      </w:r>
      <w:r>
        <w:tab/>
      </w:r>
      <w:r>
        <w:rPr>
          <w:noProof/>
        </w:rPr>
        <w:t>Paziņojošā iestāde Komisijai un pārējām dalībvalstīm paziņo par jebkādiem attiecīgiem turpmākiem grozījumiem paziņojumā.</w:t>
      </w:r>
    </w:p>
    <w:p>
      <w:pPr>
        <w:pStyle w:val="Titrearticle"/>
        <w:rPr>
          <w:b/>
          <w:i w:val="0"/>
          <w:noProof/>
        </w:rPr>
      </w:pPr>
      <w:r>
        <w:rPr>
          <w:noProof/>
        </w:rPr>
        <w:t>28. pants</w:t>
      </w:r>
      <w:r>
        <w:rPr>
          <w:noProof/>
        </w:rPr>
        <w:br/>
      </w:r>
      <w:r>
        <w:rPr>
          <w:b/>
          <w:i w:val="0"/>
          <w:noProof/>
        </w:rPr>
        <w:t>Paziņoto struktūru identifikācijas numuri un saraksti</w:t>
      </w:r>
    </w:p>
    <w:p>
      <w:pPr>
        <w:pStyle w:val="ManualNumPar1"/>
        <w:rPr>
          <w:noProof/>
        </w:rPr>
      </w:pPr>
      <w:r>
        <w:t>1.</w:t>
      </w:r>
      <w:r>
        <w:tab/>
      </w:r>
      <w:r>
        <w:rPr>
          <w:noProof/>
        </w:rPr>
        <w:t>Komisija katrai paziņotajai struktūrai piešķir identifikācijas numuru.</w:t>
      </w:r>
    </w:p>
    <w:p>
      <w:pPr>
        <w:pStyle w:val="Text1"/>
        <w:rPr>
          <w:noProof/>
        </w:rPr>
      </w:pPr>
      <w:r>
        <w:rPr>
          <w:noProof/>
        </w:rPr>
        <w:t>Tikai vienu šādu numuru tā piešķir arī tad, ja struktūra ir paziņota saskaņā ar vairākiem Savienības tiesību aktiem.</w:t>
      </w:r>
    </w:p>
    <w:p>
      <w:pPr>
        <w:pStyle w:val="ManualNumPar1"/>
        <w:rPr>
          <w:noProof/>
        </w:rPr>
      </w:pPr>
      <w:r>
        <w:t>2.</w:t>
      </w:r>
      <w:r>
        <w:tab/>
      </w:r>
      <w:r>
        <w:rPr>
          <w:noProof/>
        </w:rPr>
        <w:t>Komisija dara publiski pieejamu to struktūru sarakstu, kas paziņotas saskaņā ar šo regulu, tostarp tām piešķirtos identifikācijas numurus un darbības, attiecībā uz kurām tās ir paziņotas.</w:t>
      </w:r>
    </w:p>
    <w:p>
      <w:pPr>
        <w:pStyle w:val="Text1"/>
        <w:rPr>
          <w:noProof/>
        </w:rPr>
      </w:pPr>
      <w:r>
        <w:rPr>
          <w:noProof/>
        </w:rPr>
        <w:t>Komisija nodrošina saraksta atjaunināšanu.</w:t>
      </w:r>
    </w:p>
    <w:p>
      <w:pPr>
        <w:pStyle w:val="Titrearticle"/>
        <w:rPr>
          <w:b/>
          <w:i w:val="0"/>
          <w:noProof/>
        </w:rPr>
      </w:pPr>
      <w:r>
        <w:rPr>
          <w:noProof/>
        </w:rPr>
        <w:t>29. pants</w:t>
      </w:r>
      <w:r>
        <w:rPr>
          <w:noProof/>
        </w:rPr>
        <w:br/>
      </w:r>
      <w:r>
        <w:rPr>
          <w:b/>
          <w:i w:val="0"/>
          <w:noProof/>
        </w:rPr>
        <w:t>Grozījumi paziņojumos</w:t>
      </w:r>
    </w:p>
    <w:p>
      <w:pPr>
        <w:pStyle w:val="ManualNumPar1"/>
        <w:rPr>
          <w:noProof/>
        </w:rPr>
      </w:pPr>
      <w:r>
        <w:t>1.</w:t>
      </w:r>
      <w:r>
        <w:tab/>
      </w:r>
      <w:r>
        <w:rPr>
          <w:noProof/>
        </w:rPr>
        <w:t>Ja paziņojošā iestāde ir noskaidrojusi vai tikusi informēta, ka paziņotā struktūra vairs neatbilst 23. panta prasībām vai nepilda savus pienākumus, paziņojošā iestāde attiecīgi ierobežo, aptur vai anulē paziņojumu, atkarībā no tā, kādā mērā attiecīgā struktūra nav spējusi nodrošināt atbilstību prasībām vai pildīt savus pienākumus. Tā nekavējoties attiecīgi informē Komisiju un pārējās dalībvalstis.</w:t>
      </w:r>
    </w:p>
    <w:p>
      <w:pPr>
        <w:pStyle w:val="ManualNumPar1"/>
        <w:rPr>
          <w:noProof/>
        </w:rPr>
      </w:pPr>
      <w:r>
        <w:t>2.</w:t>
      </w:r>
      <w:r>
        <w:tab/>
      </w:r>
      <w:r>
        <w:rPr>
          <w:noProof/>
        </w:rPr>
        <w:t>Ja paziņojums ir ierobežots, apturēts vai anulēts vai ja paziņotā struktūra ir beigusi darbību, paziņotāja dalībvalsts veic tādus pasākumus, kas nodrošinātu, ka minētās struktūras dokumentus apstrādā cita paziņotā struktūra vai arī tie pēc pieprasījuma tiek glabāti pieejami atbildīgajām paziņojošajām iestādēm un tirgus uzraudzības iestādēm.</w:t>
      </w:r>
    </w:p>
    <w:p>
      <w:pPr>
        <w:pStyle w:val="Titrearticle"/>
        <w:rPr>
          <w:b/>
          <w:i w:val="0"/>
          <w:noProof/>
        </w:rPr>
      </w:pPr>
      <w:r>
        <w:rPr>
          <w:noProof/>
        </w:rPr>
        <w:t>30. pants</w:t>
      </w:r>
      <w:r>
        <w:rPr>
          <w:noProof/>
        </w:rPr>
        <w:br/>
      </w:r>
      <w:r>
        <w:rPr>
          <w:b/>
          <w:i w:val="0"/>
          <w:noProof/>
        </w:rPr>
        <w:t>Paziņoto struktūru kompetences apstrīdēšana</w:t>
      </w:r>
    </w:p>
    <w:p>
      <w:pPr>
        <w:pStyle w:val="ManualNumPar1"/>
        <w:rPr>
          <w:noProof/>
        </w:rPr>
      </w:pPr>
      <w:r>
        <w:t>1.</w:t>
      </w:r>
      <w:r>
        <w:tab/>
      </w:r>
      <w:r>
        <w:rPr>
          <w:noProof/>
        </w:rPr>
        <w:t>Komisija izmeklē visus gadījumus, kur tai ir radušās šaubas vai tai ir ziņots par šaubām attiecībā uz kādas paziņotās struktūras kompetenci vai tās spēju joprojām pildīt uz to attiecinātās prasības un pienākumus.</w:t>
      </w:r>
    </w:p>
    <w:p>
      <w:pPr>
        <w:pStyle w:val="ManualNumPar1"/>
        <w:rPr>
          <w:noProof/>
        </w:rPr>
      </w:pPr>
      <w:r>
        <w:t>2.</w:t>
      </w:r>
      <w:r>
        <w:tab/>
      </w:r>
      <w:r>
        <w:rPr>
          <w:noProof/>
        </w:rPr>
        <w:t>Paziņotāja dalībvalsts pēc pieprasījuma sniedz Komisijai visu informāciju, kas attiecas uz attiecīgās struktūras paziņošanas pamatojumu vai šīs struktūras kompetences saglabāšanu.</w:t>
      </w:r>
    </w:p>
    <w:p>
      <w:pPr>
        <w:pStyle w:val="ManualNumPar1"/>
        <w:rPr>
          <w:noProof/>
        </w:rPr>
      </w:pPr>
      <w:r>
        <w:t>3.</w:t>
      </w:r>
      <w:r>
        <w:tab/>
      </w:r>
      <w:r>
        <w:rPr>
          <w:noProof/>
        </w:rPr>
        <w:t>Komisija gādā, ka visa izmeklēšanas gaitā saņemtā sensitīvā informācija tiek apstrādāta konfidenciāli.</w:t>
      </w:r>
    </w:p>
    <w:p>
      <w:pPr>
        <w:pStyle w:val="ManualNumPar1"/>
        <w:rPr>
          <w:noProof/>
        </w:rPr>
      </w:pPr>
      <w:r>
        <w:t>4.</w:t>
      </w:r>
      <w:r>
        <w:tab/>
      </w:r>
      <w:r>
        <w:rPr>
          <w:noProof/>
        </w:rPr>
        <w:t>Ja Komisija pārliecinās, ka paziņotā struktūra neatbilst vai vairs neatbilst paziņošanas prasībām, tā pieņem īstenošanas aktu, kurā pieprasa, lai paziņojušā dalībvalsts veic nepieciešamos koriģējošos pasākumus, tostarp, ja tas ir nepieciešams, paziņojuma atsaukšanu.</w:t>
      </w:r>
    </w:p>
    <w:p>
      <w:pPr>
        <w:pStyle w:val="Text1"/>
        <w:rPr>
          <w:noProof/>
        </w:rPr>
      </w:pPr>
      <w:r>
        <w:rPr>
          <w:noProof/>
        </w:rPr>
        <w:t>Minēto īstenošanas aktu pieņem saskaņā ar 41. panta 2. punktā minēto konsultēšanās procedūru.</w:t>
      </w:r>
    </w:p>
    <w:p>
      <w:pPr>
        <w:pStyle w:val="Titrearticle"/>
        <w:rPr>
          <w:b/>
          <w:i w:val="0"/>
          <w:noProof/>
        </w:rPr>
      </w:pPr>
      <w:r>
        <w:rPr>
          <w:noProof/>
        </w:rPr>
        <w:t>31. pants</w:t>
      </w:r>
      <w:r>
        <w:rPr>
          <w:noProof/>
        </w:rPr>
        <w:br/>
      </w:r>
      <w:r>
        <w:rPr>
          <w:b/>
          <w:i w:val="0"/>
          <w:noProof/>
        </w:rPr>
        <w:t>Paziņoto struktūru darba pienākumi</w:t>
      </w:r>
    </w:p>
    <w:p>
      <w:pPr>
        <w:pStyle w:val="ManualNumPar1"/>
        <w:rPr>
          <w:noProof/>
        </w:rPr>
      </w:pPr>
      <w:r>
        <w:t>1.</w:t>
      </w:r>
      <w:r>
        <w:tab/>
      </w:r>
      <w:r>
        <w:rPr>
          <w:noProof/>
        </w:rPr>
        <w:t>Paziņotās struktūras atbilstības novērtēšanu veic saskaņā ar IV pielikumā paredzētajām atbilstības novērtēšanas procedūrām.</w:t>
      </w:r>
    </w:p>
    <w:p>
      <w:pPr>
        <w:pStyle w:val="ManualNumPar1"/>
        <w:rPr>
          <w:noProof/>
        </w:rPr>
      </w:pPr>
      <w:r>
        <w:t>2.</w:t>
      </w:r>
      <w:r>
        <w:tab/>
      </w:r>
      <w:r>
        <w:rPr>
          <w:noProof/>
        </w:rPr>
        <w:t>Atbilstības novērtēšanu veic samērīgi, neradot uzņēmējiem lieku slogu. Paziņotās struktūras, īstenojot savu darbību, pienācīgi ņem vērā uzņēmuma lielumu, nozari, kurā tas darbojas, tā struktūru, attiecīgās mēslošanas līdzekļa tehnoloģijas sarežģītības pakāpi un to, vai ražošanas process ir masveida vai sērijveida.</w:t>
      </w:r>
    </w:p>
    <w:p>
      <w:pPr>
        <w:pStyle w:val="Text1"/>
        <w:rPr>
          <w:noProof/>
        </w:rPr>
      </w:pPr>
      <w:r>
        <w:rPr>
          <w:noProof/>
        </w:rPr>
        <w:t xml:space="preserve">To darot, tās tomēr ievēro tādu stingrību un aizsardzības līmeni, kas ir vajadzīgs, lai </w:t>
      </w:r>
      <w:r>
        <w:rPr>
          <w:i/>
          <w:noProof/>
        </w:rPr>
        <w:t>CE</w:t>
      </w:r>
      <w:r>
        <w:rPr>
          <w:noProof/>
        </w:rPr>
        <w:t>-marķētais mēslošanas līdzeklis atbilstu šai regulai.</w:t>
      </w:r>
    </w:p>
    <w:p>
      <w:pPr>
        <w:pStyle w:val="ManualNumPar1"/>
        <w:rPr>
          <w:noProof/>
        </w:rPr>
      </w:pPr>
      <w:r>
        <w:t>3.</w:t>
      </w:r>
      <w:r>
        <w:tab/>
      </w:r>
      <w:r>
        <w:rPr>
          <w:noProof/>
        </w:rPr>
        <w:t>Ja paziņotā struktūra konstatē, ka ražotājs nav izpildījis I, II vai III pielikuma, attiecīgo saskaņoto standartu, 13. pantā minēto kopīgo specifikāciju vai citu tehnisko specifikāciju prasības, tā pieprasa, lai ražotājs veic attiecīgus koriģējošus pasākumus, un sertifikātu neizsniedz.</w:t>
      </w:r>
    </w:p>
    <w:p>
      <w:pPr>
        <w:pStyle w:val="ManualNumPar1"/>
        <w:rPr>
          <w:noProof/>
        </w:rPr>
      </w:pPr>
      <w:r>
        <w:t>4.</w:t>
      </w:r>
      <w:r>
        <w:tab/>
      </w:r>
      <w:r>
        <w:rPr>
          <w:noProof/>
        </w:rPr>
        <w:t xml:space="preserve">Ja, pārraugot atbilstību pēc sertifikāta izdošanas, paziņotā struktūra konstatē, ka </w:t>
      </w:r>
      <w:r>
        <w:rPr>
          <w:i/>
          <w:noProof/>
        </w:rPr>
        <w:t>CE</w:t>
      </w:r>
      <w:r>
        <w:rPr>
          <w:noProof/>
        </w:rPr>
        <w:t>-marķēts mēslošanas līdzeklis vairs nav atbilstīgs, tā pieprasa, lai ražotājs veic attiecīgus koriģējošus pasākumus, un vajadzības gadījumā sertifikātu aptur vai anulē.</w:t>
      </w:r>
    </w:p>
    <w:p>
      <w:pPr>
        <w:pStyle w:val="ManualNumPar1"/>
        <w:rPr>
          <w:noProof/>
        </w:rPr>
      </w:pPr>
      <w:r>
        <w:t>5.</w:t>
      </w:r>
      <w:r>
        <w:tab/>
      </w:r>
      <w:r>
        <w:rPr>
          <w:noProof/>
        </w:rPr>
        <w:t>Ja koriģējošie pasākumi netiek veikti vai nedod vēlamo rezultātu, paziņotā struktūra attiecīgi ierobežo, aptur vai anulē jebkādus sertifikātus.</w:t>
      </w:r>
    </w:p>
    <w:p>
      <w:pPr>
        <w:pStyle w:val="Titrearticle"/>
        <w:rPr>
          <w:b/>
          <w:i w:val="0"/>
          <w:noProof/>
        </w:rPr>
      </w:pPr>
      <w:r>
        <w:rPr>
          <w:noProof/>
        </w:rPr>
        <w:t>32. pants</w:t>
      </w:r>
      <w:r>
        <w:rPr>
          <w:noProof/>
        </w:rPr>
        <w:br/>
      </w:r>
      <w:r>
        <w:rPr>
          <w:b/>
          <w:i w:val="0"/>
          <w:noProof/>
        </w:rPr>
        <w:t>Paziņoto struktūru lēmumu pārsūdzēšana</w:t>
      </w:r>
    </w:p>
    <w:p>
      <w:pPr>
        <w:pStyle w:val="Text1"/>
        <w:rPr>
          <w:noProof/>
        </w:rPr>
      </w:pPr>
      <w:r>
        <w:rPr>
          <w:noProof/>
        </w:rPr>
        <w:t>Dalībvalstis nodrošina, lai attiecībā uz paziņotās struktūras lēmumiem būtu pieejama pārsūdzības procedūra.</w:t>
      </w:r>
    </w:p>
    <w:p>
      <w:pPr>
        <w:pStyle w:val="Titrearticle"/>
        <w:rPr>
          <w:b/>
          <w:i w:val="0"/>
          <w:noProof/>
        </w:rPr>
      </w:pPr>
      <w:r>
        <w:rPr>
          <w:noProof/>
        </w:rPr>
        <w:t>33. pants</w:t>
      </w:r>
      <w:r>
        <w:rPr>
          <w:noProof/>
        </w:rPr>
        <w:br/>
      </w:r>
      <w:r>
        <w:rPr>
          <w:b/>
          <w:i w:val="0"/>
          <w:noProof/>
        </w:rPr>
        <w:t>Paziņoto struktūru pienākumi informācijas sniegšanā</w:t>
      </w:r>
    </w:p>
    <w:p>
      <w:pPr>
        <w:pStyle w:val="ManualNumPar1"/>
        <w:rPr>
          <w:noProof/>
        </w:rPr>
      </w:pPr>
      <w:r>
        <w:t>1.</w:t>
      </w:r>
      <w:r>
        <w:tab/>
      </w:r>
      <w:r>
        <w:rPr>
          <w:noProof/>
        </w:rPr>
        <w:t>Paziņotās struktūras informē paziņojošo iestādi par:</w:t>
      </w:r>
    </w:p>
    <w:p>
      <w:pPr>
        <w:pStyle w:val="Point1letter"/>
        <w:numPr>
          <w:ilvl w:val="3"/>
          <w:numId w:val="44"/>
        </w:numPr>
        <w:rPr>
          <w:noProof/>
        </w:rPr>
      </w:pPr>
      <w:r>
        <w:rPr>
          <w:noProof/>
        </w:rPr>
        <w:t>sertifikātu atteikšanu, ierobežošanu, apturēšanu vai anulēšanu,</w:t>
      </w:r>
    </w:p>
    <w:p>
      <w:pPr>
        <w:pStyle w:val="Point1letter"/>
        <w:rPr>
          <w:noProof/>
        </w:rPr>
      </w:pPr>
      <w:r>
        <w:rPr>
          <w:noProof/>
        </w:rPr>
        <w:t>apstākļiem, kas skar paziņojuma tvērumu vai nosacījumus,</w:t>
      </w:r>
    </w:p>
    <w:p>
      <w:pPr>
        <w:pStyle w:val="Point1letter"/>
        <w:rPr>
          <w:noProof/>
        </w:rPr>
      </w:pPr>
      <w:r>
        <w:rPr>
          <w:noProof/>
        </w:rPr>
        <w:t>no tirgus uzraudzības iestādēm saņemtiem pieprasījumiem pēc informācijas par atbilstības novērtēšanas darbībām,</w:t>
      </w:r>
    </w:p>
    <w:p>
      <w:pPr>
        <w:pStyle w:val="Point1letter"/>
        <w:rPr>
          <w:noProof/>
        </w:rPr>
      </w:pPr>
      <w:r>
        <w:rPr>
          <w:noProof/>
        </w:rPr>
        <w:t>to paziņošanas tvērumā veiktajām atbilstības novērtēšanas darbībām un jebkādām citām darbībām, arī pārrobežu darbībām un apakšuzņēmumu līgumu slēgšanu (pēc pieprasījuma).</w:t>
      </w:r>
    </w:p>
    <w:p>
      <w:pPr>
        <w:pStyle w:val="ManualNumPar1"/>
        <w:rPr>
          <w:noProof/>
        </w:rPr>
      </w:pPr>
      <w:r>
        <w:t>2.</w:t>
      </w:r>
      <w:r>
        <w:tab/>
      </w:r>
      <w:r>
        <w:rPr>
          <w:noProof/>
        </w:rPr>
        <w:t xml:space="preserve">Pārējām saskaņā ar šo regulu paziņotajām struktūrām, kas veic līdzīgas atbilstības novērtēšanas darbības, kuras attiecas uz tiem pašiem </w:t>
      </w:r>
      <w:r>
        <w:rPr>
          <w:i/>
          <w:noProof/>
        </w:rPr>
        <w:t>CE</w:t>
      </w:r>
      <w:r>
        <w:rPr>
          <w:noProof/>
        </w:rPr>
        <w:t>-marķētajiem mēslošanas līdzekļiem, paziņotās struktūras sniedz attiecīgu informāciju par jautājumiem, kas saistīti ar negatīviem un, pēc pieprasījuma, arī pozitīviem atbilstības novērtēšanas rezultātiem.</w:t>
      </w:r>
    </w:p>
    <w:p>
      <w:pPr>
        <w:pStyle w:val="Titrearticle"/>
        <w:rPr>
          <w:b/>
          <w:i w:val="0"/>
          <w:noProof/>
        </w:rPr>
      </w:pPr>
      <w:r>
        <w:rPr>
          <w:noProof/>
        </w:rPr>
        <w:t>34. pants</w:t>
      </w:r>
      <w:r>
        <w:rPr>
          <w:noProof/>
        </w:rPr>
        <w:br/>
      </w:r>
      <w:r>
        <w:rPr>
          <w:b/>
          <w:i w:val="0"/>
          <w:noProof/>
        </w:rPr>
        <w:t>Pieredzes apmaiņa</w:t>
      </w:r>
    </w:p>
    <w:p>
      <w:pPr>
        <w:rPr>
          <w:noProof/>
        </w:rPr>
      </w:pPr>
      <w:r>
        <w:rPr>
          <w:noProof/>
        </w:rPr>
        <w:t>Komisija gādā, lai tiktu organizēta pieredzes apmaiņa starp dalībvalstu iestādēm, kas ir atbildīgas par paziņošanas politiku.</w:t>
      </w:r>
    </w:p>
    <w:p>
      <w:pPr>
        <w:pStyle w:val="Titrearticle"/>
        <w:rPr>
          <w:b/>
          <w:i w:val="0"/>
          <w:noProof/>
        </w:rPr>
      </w:pPr>
      <w:r>
        <w:rPr>
          <w:noProof/>
        </w:rPr>
        <w:t>35. pants</w:t>
      </w:r>
      <w:r>
        <w:rPr>
          <w:noProof/>
        </w:rPr>
        <w:br/>
      </w:r>
      <w:r>
        <w:rPr>
          <w:b/>
          <w:i w:val="0"/>
          <w:noProof/>
        </w:rPr>
        <w:t>Paziņoto struktūru koordinācija</w:t>
      </w:r>
    </w:p>
    <w:p>
      <w:pPr>
        <w:rPr>
          <w:noProof/>
        </w:rPr>
      </w:pPr>
      <w:r>
        <w:rPr>
          <w:noProof/>
        </w:rPr>
        <w:t>Komisija nodrošina, lai starp saskaņā ar šo regulu paziņotām struktūrām tiek ieviesta un pienācīgi īstenota attiecīga koordinācija un sadarbība, kas notiek nozarē paziņoto struktūru grupas veidā.</w:t>
      </w:r>
    </w:p>
    <w:p>
      <w:pPr>
        <w:rPr>
          <w:noProof/>
        </w:rPr>
      </w:pPr>
      <w:r>
        <w:rPr>
          <w:noProof/>
        </w:rPr>
        <w:t>Dalībvalstis nodrošina, lai to paziņotās struktūras tieši vai ar ieceltu pārstāvju starpniecību piedalītos šīs grupas darbā.</w:t>
      </w:r>
    </w:p>
    <w:p>
      <w:pPr>
        <w:pStyle w:val="ChapterTitle"/>
        <w:rPr>
          <w:noProof/>
        </w:rPr>
      </w:pPr>
      <w:r>
        <w:rPr>
          <w:b w:val="0"/>
          <w:caps/>
          <w:noProof/>
        </w:rPr>
        <w:t>5. nodaļa</w:t>
      </w:r>
      <w:r>
        <w:rPr>
          <w:noProof/>
        </w:rPr>
        <w:br/>
      </w:r>
      <w:r>
        <w:rPr>
          <w:caps/>
          <w:noProof/>
        </w:rPr>
        <w:t xml:space="preserve">Savienības tirgus uzraudzība, kontrole pār Savienības tirgū ievestajiem </w:t>
      </w:r>
      <w:r>
        <w:rPr>
          <w:i/>
          <w:caps/>
          <w:noProof/>
        </w:rPr>
        <w:t>CE</w:t>
      </w:r>
      <w:r>
        <w:rPr>
          <w:caps/>
          <w:noProof/>
        </w:rPr>
        <w:t>-marķētajiem mēslošanas līdzekļiem un Savienības drošības procedūra</w:t>
      </w:r>
    </w:p>
    <w:p>
      <w:pPr>
        <w:pStyle w:val="Titrearticle"/>
        <w:rPr>
          <w:b/>
          <w:i w:val="0"/>
          <w:noProof/>
        </w:rPr>
      </w:pPr>
      <w:r>
        <w:rPr>
          <w:noProof/>
        </w:rPr>
        <w:t>36. pants</w:t>
      </w:r>
      <w:r>
        <w:rPr>
          <w:noProof/>
        </w:rPr>
        <w:br/>
      </w:r>
      <w:r>
        <w:rPr>
          <w:b/>
          <w:i w:val="0"/>
          <w:noProof/>
        </w:rPr>
        <w:t xml:space="preserve">Savienības tirgus uzraudzība un kontrole pār Savienības tirgū ievestajiem </w:t>
      </w:r>
      <w:r>
        <w:rPr>
          <w:b/>
          <w:noProof/>
        </w:rPr>
        <w:t>CE</w:t>
      </w:r>
      <w:r>
        <w:rPr>
          <w:b/>
          <w:i w:val="0"/>
          <w:noProof/>
        </w:rPr>
        <w:t>-marķētajiem mēslošanas līdzekļiem</w:t>
      </w:r>
    </w:p>
    <w:p>
      <w:pPr>
        <w:pStyle w:val="Text1"/>
        <w:rPr>
          <w:noProof/>
        </w:rPr>
      </w:pPr>
      <w:r>
        <w:rPr>
          <w:i/>
          <w:noProof/>
        </w:rPr>
        <w:t>CE</w:t>
      </w:r>
      <w:r>
        <w:rPr>
          <w:noProof/>
        </w:rPr>
        <w:t>-marķētajiem mēslošanas līdzekļiem piemēro Regulas (EK) Nr. 765/2008 16. līdz 29. pantu.</w:t>
      </w:r>
    </w:p>
    <w:p>
      <w:pPr>
        <w:pStyle w:val="Titrearticle"/>
        <w:rPr>
          <w:b/>
          <w:i w:val="0"/>
          <w:noProof/>
        </w:rPr>
      </w:pPr>
      <w:r>
        <w:rPr>
          <w:noProof/>
        </w:rPr>
        <w:t>37. pants</w:t>
      </w:r>
      <w:r>
        <w:rPr>
          <w:noProof/>
        </w:rPr>
        <w:br/>
      </w:r>
      <w:r>
        <w:rPr>
          <w:b/>
          <w:i w:val="0"/>
          <w:noProof/>
        </w:rPr>
        <w:t xml:space="preserve">Procedūra darbībām ar </w:t>
      </w:r>
      <w:r>
        <w:rPr>
          <w:b/>
          <w:noProof/>
        </w:rPr>
        <w:t>CE</w:t>
      </w:r>
      <w:r>
        <w:rPr>
          <w:b/>
          <w:i w:val="0"/>
          <w:noProof/>
        </w:rPr>
        <w:t>-marķētiem mēslošanas līdzekļiem, kuri rada apdraudējumu valsts līmenī</w:t>
      </w:r>
    </w:p>
    <w:p>
      <w:pPr>
        <w:pStyle w:val="ManualNumPar1"/>
        <w:rPr>
          <w:noProof/>
        </w:rPr>
      </w:pPr>
      <w:r>
        <w:t>1.</w:t>
      </w:r>
      <w:r>
        <w:tab/>
      </w:r>
      <w:r>
        <w:rPr>
          <w:noProof/>
        </w:rPr>
        <w:t xml:space="preserve">Ja kādas dalībvalsts tirgus uzraudzības iestādēm ir pietiekams iemesls uzskatīt, ka </w:t>
      </w:r>
      <w:r>
        <w:rPr>
          <w:i/>
          <w:noProof/>
        </w:rPr>
        <w:t>CE</w:t>
      </w:r>
      <w:r>
        <w:rPr>
          <w:noProof/>
        </w:rPr>
        <w:t xml:space="preserve">-marķēts mēslošanas līdzeklis nepieņemami apdraud cilvēka, dzīvnieku vai augu veselību, drošību vai vidi, tās attiecībā uz attiecīgo mēslošanas līdzekli veic izvērtēšanu, kas aptver šīs regulas prasības. Attiecīgie uzņēmēji minētajā nolūkā pēc vajadzības sadarbojas ar tirgus uzraudzības iestādēm. </w:t>
      </w:r>
    </w:p>
    <w:p>
      <w:pPr>
        <w:pStyle w:val="Text1"/>
        <w:rPr>
          <w:noProof/>
        </w:rPr>
      </w:pPr>
      <w:r>
        <w:rPr>
          <w:noProof/>
        </w:rPr>
        <w:t xml:space="preserve">Ja šajā izvērtēšanā tirgus uzraudzības iestādes atklāj, ka </w:t>
      </w:r>
      <w:r>
        <w:rPr>
          <w:i/>
          <w:noProof/>
        </w:rPr>
        <w:t>CE</w:t>
      </w:r>
      <w:r>
        <w:rPr>
          <w:noProof/>
        </w:rPr>
        <w:t xml:space="preserve">-marķēts mēslošanas līdzeklis neatbilst šīs regulas prasībām, tās šim uzņēmējam nekavējoties pieprasa saprātīgā periodā veikt visus koriģējošos pasākumus, kas nepieciešami, lai panāktu mēslošanas līdzekļa atbilstību minētajām prasībām vai lai to izņemtu no tirgus, atsauktu vai noņemtu </w:t>
      </w:r>
      <w:r>
        <w:rPr>
          <w:i/>
          <w:noProof/>
        </w:rPr>
        <w:t>CE</w:t>
      </w:r>
      <w:r>
        <w:rPr>
          <w:noProof/>
        </w:rPr>
        <w:t xml:space="preserve"> zīmi.</w:t>
      </w:r>
    </w:p>
    <w:p>
      <w:pPr>
        <w:pStyle w:val="Text1"/>
        <w:rPr>
          <w:noProof/>
        </w:rPr>
      </w:pPr>
      <w:r>
        <w:rPr>
          <w:noProof/>
        </w:rPr>
        <w:t>Tirgus uzraudzības iestādes attiecīgi informē attiecīgo paziņoto struktūru.</w:t>
      </w:r>
    </w:p>
    <w:p>
      <w:pPr>
        <w:pStyle w:val="Text1"/>
        <w:rPr>
          <w:noProof/>
        </w:rPr>
      </w:pPr>
      <w:r>
        <w:rPr>
          <w:noProof/>
        </w:rPr>
        <w:t>Uz otrajā daļā minētajiem pasākumiem attiecas Regulas (EK) Nr. 765/2008 21. pants.</w:t>
      </w:r>
    </w:p>
    <w:p>
      <w:pPr>
        <w:pStyle w:val="ManualNumPar1"/>
        <w:rPr>
          <w:noProof/>
        </w:rPr>
      </w:pPr>
      <w:r>
        <w:t>2.</w:t>
      </w:r>
      <w:r>
        <w:tab/>
      </w:r>
      <w:r>
        <w:rPr>
          <w:noProof/>
        </w:rPr>
        <w:t>Ja tirgus uzraudzības iestādes uzskata, ka neatbilstība nav vērojama tikai to valsts teritorijā, tās Komisiju un pārējās dalībvalstis informē par izvērtēšanas rezultātiem un par darbībām, ko tās pieprasījušas uzņēmējam veikt.</w:t>
      </w:r>
    </w:p>
    <w:p>
      <w:pPr>
        <w:pStyle w:val="ManualNumPar1"/>
        <w:rPr>
          <w:noProof/>
        </w:rPr>
      </w:pPr>
      <w:r>
        <w:t>3.</w:t>
      </w:r>
      <w:r>
        <w:tab/>
      </w:r>
      <w:r>
        <w:rPr>
          <w:noProof/>
        </w:rPr>
        <w:t xml:space="preserve">Uzņēmējs nodrošina, ka tiek veikti visi attiecīgie koriģējošie pasākumi attiecībā uz visiem attiecīgajiem </w:t>
      </w:r>
      <w:r>
        <w:rPr>
          <w:i/>
          <w:noProof/>
        </w:rPr>
        <w:t>CE</w:t>
      </w:r>
      <w:r>
        <w:rPr>
          <w:noProof/>
        </w:rPr>
        <w:t xml:space="preserve">-marķētajiem mēslošanas līdzekļiem, ko tas darījis pieejamus tirgū visā Savienībā. </w:t>
      </w:r>
    </w:p>
    <w:p>
      <w:pPr>
        <w:pStyle w:val="ManualNumPar1"/>
        <w:rPr>
          <w:noProof/>
        </w:rPr>
      </w:pPr>
      <w:r>
        <w:t>4.</w:t>
      </w:r>
      <w:r>
        <w:tab/>
      </w:r>
      <w:r>
        <w:rPr>
          <w:noProof/>
        </w:rPr>
        <w:t xml:space="preserve">Ja attiecīgais uzņēmējs 1. punkta otrajā daļā noteiktajā termiņā neveic pietiekamus koriģējošus pasākumus, tirgus uzraudzības iestādes veic visus attiecīgos pagaidu pasākumus, lai aizliegtu vai ierobežotu to, ka </w:t>
      </w:r>
      <w:r>
        <w:rPr>
          <w:i/>
          <w:noProof/>
        </w:rPr>
        <w:t>CE</w:t>
      </w:r>
      <w:r>
        <w:rPr>
          <w:noProof/>
        </w:rPr>
        <w:t>-marķētais mēslošanas līdzeklis tiek darīts pieejams to valsts tirgū, mēslošanas līdzekli no minētā tirgus izņemtu vai atsauktu.</w:t>
      </w:r>
    </w:p>
    <w:p>
      <w:pPr>
        <w:pStyle w:val="Text1"/>
        <w:rPr>
          <w:noProof/>
        </w:rPr>
      </w:pPr>
      <w:r>
        <w:rPr>
          <w:noProof/>
        </w:rPr>
        <w:t>Par šiem pasākumiem tirgus uzraudzības iestādes nekavējoties informē Komisiju un pārējās dalībvalstis.</w:t>
      </w:r>
    </w:p>
    <w:p>
      <w:pPr>
        <w:pStyle w:val="ManualNumPar1"/>
        <w:rPr>
          <w:noProof/>
        </w:rPr>
      </w:pPr>
      <w:r>
        <w:t>5.</w:t>
      </w:r>
      <w:r>
        <w:tab/>
      </w:r>
      <w:r>
        <w:rPr>
          <w:noProof/>
        </w:rPr>
        <w:t xml:space="preserve">Šā panta 4. punkta otrajā daļā minētajā informācijā ietilpst visas pieejamās ziņas, jo īpaši neatbilstīgā mēslošanas līdzekļa identificēšanai nepieciešamie dati, </w:t>
      </w:r>
      <w:r>
        <w:rPr>
          <w:i/>
          <w:noProof/>
        </w:rPr>
        <w:t>CE</w:t>
      </w:r>
      <w:r>
        <w:rPr>
          <w:noProof/>
        </w:rPr>
        <w:t>-marķētā mēslošanas līdzekļa izcelsme, domājamās neatbilstības un ar to saistītā apdraudējuma veids, veikto valsts pasākumu veids un ilgums, kā arī attiecīgā uzņēmēja viedoklis. Tirgus uzraudzības iestādes jo īpaši norāda, vai neatbilstība nav saistīta ar kādu no šādiem cēloņiem:</w:t>
      </w:r>
    </w:p>
    <w:p>
      <w:pPr>
        <w:pStyle w:val="Point1letter"/>
        <w:numPr>
          <w:ilvl w:val="3"/>
          <w:numId w:val="45"/>
        </w:numPr>
        <w:rPr>
          <w:noProof/>
        </w:rPr>
      </w:pPr>
      <w:r>
        <w:rPr>
          <w:i/>
          <w:noProof/>
        </w:rPr>
        <w:t>CE</w:t>
      </w:r>
      <w:r>
        <w:rPr>
          <w:noProof/>
        </w:rPr>
        <w:t xml:space="preserve">-marķētais mēslošanas līdzeklis neapmierina I, II vai III pielikuma prasības, </w:t>
      </w:r>
    </w:p>
    <w:p>
      <w:pPr>
        <w:pStyle w:val="Point1letter"/>
        <w:rPr>
          <w:noProof/>
        </w:rPr>
      </w:pPr>
      <w:r>
        <w:rPr>
          <w:noProof/>
        </w:rPr>
        <w:t>trūkumi 12. pantā minētajos saskaņotajos standartos, kurus ievērojot var pieņemt, ka ir nodrošināta atbilstība.</w:t>
      </w:r>
    </w:p>
    <w:p>
      <w:pPr>
        <w:pStyle w:val="ManualNumPar1"/>
        <w:rPr>
          <w:noProof/>
        </w:rPr>
      </w:pPr>
      <w:r>
        <w:t>6.</w:t>
      </w:r>
      <w:r>
        <w:tab/>
      </w:r>
      <w:r>
        <w:rPr>
          <w:noProof/>
        </w:rPr>
        <w:t xml:space="preserve">Citas dalībvalstis, izņemot dalībvalsti, kura uzsākusi šajā pantā minēto procedūru, Komisiju un pārējās dalībvalstis nekavējoties informē par jebkādiem pieņemtiem pasākumiem un sniedz jebkādu to rīcībā esošu papildu informāciju, kas attiecas uz attiecīgā </w:t>
      </w:r>
      <w:r>
        <w:rPr>
          <w:i/>
          <w:noProof/>
        </w:rPr>
        <w:t>CE</w:t>
      </w:r>
      <w:r>
        <w:rPr>
          <w:noProof/>
        </w:rPr>
        <w:t>-marķētā mēslošanas līdzekļa neatbilstību, un, ja tās nepiekrīt pieņemtajam valsts pasākumam, informē par saviem iebildumiem.</w:t>
      </w:r>
    </w:p>
    <w:p>
      <w:pPr>
        <w:pStyle w:val="ManualNumPar1"/>
        <w:rPr>
          <w:noProof/>
        </w:rPr>
      </w:pPr>
      <w:r>
        <w:t>7.</w:t>
      </w:r>
      <w:r>
        <w:tab/>
      </w:r>
      <w:r>
        <w:rPr>
          <w:noProof/>
        </w:rPr>
        <w:t>Ja triju mēnešu laikā pēc 4. punkta otrajā daļā minētās informācijas saņemšanas neviena dalībvalsts vai Komisija nav izteikusi iebildumus pret kādas dalībvalsts veikto pagaidu pasākumu, šo pasākumu uzskata par pamatotu.</w:t>
      </w:r>
    </w:p>
    <w:p>
      <w:pPr>
        <w:pStyle w:val="ManualNumPar1"/>
        <w:rPr>
          <w:noProof/>
        </w:rPr>
      </w:pPr>
      <w:r>
        <w:t>8.</w:t>
      </w:r>
      <w:r>
        <w:tab/>
      </w:r>
      <w:r>
        <w:rPr>
          <w:noProof/>
        </w:rPr>
        <w:t>Dalībvalstis gādā, ka attiecīgi ierobežojoši pasākumi, piemēram, izņemšana no tirgus, attiecībā uz attiecīgo CE-marķēto mēslošanas līdzekli tiek veikti nekavējoties.</w:t>
      </w:r>
    </w:p>
    <w:p>
      <w:pPr>
        <w:pStyle w:val="Titrearticle"/>
        <w:rPr>
          <w:b/>
          <w:i w:val="0"/>
          <w:noProof/>
        </w:rPr>
      </w:pPr>
      <w:r>
        <w:rPr>
          <w:noProof/>
        </w:rPr>
        <w:t>38. pants</w:t>
      </w:r>
      <w:r>
        <w:rPr>
          <w:noProof/>
        </w:rPr>
        <w:br/>
      </w:r>
      <w:r>
        <w:rPr>
          <w:b/>
          <w:i w:val="0"/>
          <w:noProof/>
        </w:rPr>
        <w:t>Savienības drošības procedūra</w:t>
      </w:r>
    </w:p>
    <w:p>
      <w:pPr>
        <w:pStyle w:val="ManualNumPar1"/>
        <w:rPr>
          <w:noProof/>
        </w:rPr>
      </w:pPr>
      <w:r>
        <w:t>1.</w:t>
      </w:r>
      <w:r>
        <w:tab/>
      </w:r>
      <w:r>
        <w:rPr>
          <w:noProof/>
        </w:rPr>
        <w:t>Ja, pabeidzot 37. panta 3. un 4. punktā aprakstīto procedūru, pret kādas dalībvalsts veiktu pasākumu ir izteikti iebildumi vai ja Komisija uzskata, ka kāds valsts pasākums ir pretrunā Savienības tiesību aktiem, Komisija nekavējoties sāk apspriešanos ar dalībvalstīm un attiecīgo uzņēmēju vai uzņēmējiem un valsts pasākumu izvērtē. Pamatojoties uz minētās izvērtēšanas rezultātiem, Komisija lēmuma formā pieņem īstenošanas aktu, kurā nosaka, vai valsts pasākums ir pamatots.</w:t>
      </w:r>
    </w:p>
    <w:p>
      <w:pPr>
        <w:pStyle w:val="Text1"/>
        <w:rPr>
          <w:noProof/>
        </w:rPr>
      </w:pPr>
      <w:r>
        <w:rPr>
          <w:noProof/>
        </w:rPr>
        <w:t xml:space="preserve">Ja valsts pasākums tiek uzskatīts par pamatotu, lēmumā tiek noteikts, ka visas dalībvalstis veic nepieciešamos pasākumus, kas nodrošinātu neatbilstīgā </w:t>
      </w:r>
      <w:r>
        <w:rPr>
          <w:i/>
          <w:noProof/>
        </w:rPr>
        <w:t>CE</w:t>
      </w:r>
      <w:r>
        <w:rPr>
          <w:noProof/>
        </w:rPr>
        <w:t xml:space="preserve">-marķētā mēslošanas līdzekļa izņemšanu no to tirgus, un par to attiecīgi informē Komisiju. </w:t>
      </w:r>
    </w:p>
    <w:p>
      <w:pPr>
        <w:pStyle w:val="Text1"/>
        <w:rPr>
          <w:noProof/>
        </w:rPr>
      </w:pPr>
      <w:r>
        <w:rPr>
          <w:noProof/>
        </w:rPr>
        <w:t>Ja valsts pasākums tiek uzskatīts par nepamatotu, lēmumā tiek noteikts, ka attiecīgā dalībvalsts to atceļ.</w:t>
      </w:r>
    </w:p>
    <w:p>
      <w:pPr>
        <w:pStyle w:val="Text1"/>
        <w:rPr>
          <w:noProof/>
        </w:rPr>
      </w:pPr>
      <w:r>
        <w:rPr>
          <w:noProof/>
        </w:rPr>
        <w:t>Komisija savu lēmumu adresē visām dalībvalstīm un to nekavējoties paziņo gan tām, gan attiecīgajam uzņēmējam vai uzņēmējiem.</w:t>
      </w:r>
    </w:p>
    <w:p>
      <w:pPr>
        <w:pStyle w:val="ManualNumPar1"/>
        <w:rPr>
          <w:noProof/>
        </w:rPr>
      </w:pPr>
      <w:r>
        <w:t>2.</w:t>
      </w:r>
      <w:r>
        <w:tab/>
      </w:r>
      <w:r>
        <w:rPr>
          <w:noProof/>
        </w:rPr>
        <w:t xml:space="preserve">Ja valsts pasākumu uzskata par pamatotu un </w:t>
      </w:r>
      <w:r>
        <w:rPr>
          <w:i/>
          <w:noProof/>
        </w:rPr>
        <w:t>CE</w:t>
      </w:r>
      <w:r>
        <w:rPr>
          <w:noProof/>
        </w:rPr>
        <w:t>-marķētā mēslošanas līdzekļa neatbilstība ir attiecināma uz trūkumiem saskaņotajos standartos, kas minēti šīs direktīvas 37. panta 5. punkta b) apakšpunktā, Komisija piemēro Regulas (ES) Nr. 1025/2012 11. pantā paredzēto procedūru.</w:t>
      </w:r>
    </w:p>
    <w:p>
      <w:pPr>
        <w:pStyle w:val="Titrearticle"/>
        <w:rPr>
          <w:b/>
          <w:i w:val="0"/>
          <w:noProof/>
        </w:rPr>
      </w:pPr>
      <w:r>
        <w:rPr>
          <w:noProof/>
        </w:rPr>
        <w:t>39. pants</w:t>
      </w:r>
      <w:r>
        <w:rPr>
          <w:noProof/>
        </w:rPr>
        <w:br/>
      </w:r>
      <w:r>
        <w:rPr>
          <w:b/>
          <w:i w:val="0"/>
          <w:noProof/>
        </w:rPr>
        <w:t xml:space="preserve">Atbilstīgi </w:t>
      </w:r>
      <w:r>
        <w:rPr>
          <w:b/>
          <w:noProof/>
        </w:rPr>
        <w:t>CE</w:t>
      </w:r>
      <w:r>
        <w:rPr>
          <w:b/>
          <w:i w:val="0"/>
          <w:noProof/>
        </w:rPr>
        <w:t>-marķēti mēslošanas līdzekļi, kas rada apdraudējumu</w:t>
      </w:r>
    </w:p>
    <w:p>
      <w:pPr>
        <w:pStyle w:val="ManualNumPar1"/>
        <w:rPr>
          <w:noProof/>
        </w:rPr>
      </w:pPr>
      <w:r>
        <w:t>1.</w:t>
      </w:r>
      <w:r>
        <w:tab/>
      </w:r>
      <w:r>
        <w:rPr>
          <w:noProof/>
        </w:rPr>
        <w:t xml:space="preserve">Ja dalībvalsts pēc izvērtēšanas saskaņā ar 37. panta 1. punktu konstatē, ka </w:t>
      </w:r>
      <w:r>
        <w:rPr>
          <w:i/>
          <w:noProof/>
        </w:rPr>
        <w:t>CE</w:t>
      </w:r>
      <w:r>
        <w:rPr>
          <w:noProof/>
        </w:rPr>
        <w:t>-marķēts mēslošanas līdzeklis gan atbilst šai regulai, tomēr nepieņemami apdraud cilvēka, dzīvnieku vai augu veselību, drošību vai vidi, tā attiecīgajam uzņēmējam pieprasa saprātīgā periodā veikt visus pasākumus, kas nepieciešami, lai nodrošinātu, ka attiecīgais mēslošanas līdzeklis, tirgū laists, minēto apdraudējumu vairs nerada, vai lai mēslošanas līdzekli izņemtu no tirgus vai atsauktu.</w:t>
      </w:r>
    </w:p>
    <w:p>
      <w:pPr>
        <w:pStyle w:val="ManualNumPar1"/>
        <w:rPr>
          <w:noProof/>
        </w:rPr>
      </w:pPr>
      <w:r>
        <w:t>2.</w:t>
      </w:r>
      <w:r>
        <w:tab/>
      </w:r>
      <w:r>
        <w:rPr>
          <w:noProof/>
        </w:rPr>
        <w:t xml:space="preserve">Uzņēmējs nodrošina, ka koriģējošie pasākumi tiek veikti attiecībā uz visiem attiecīgajiem </w:t>
      </w:r>
      <w:r>
        <w:rPr>
          <w:i/>
          <w:noProof/>
        </w:rPr>
        <w:t>CE</w:t>
      </w:r>
      <w:r>
        <w:rPr>
          <w:noProof/>
        </w:rPr>
        <w:t>-marķētajiem mēslošanas līdzekļiem, ko tas darījis pieejamus Savienības tirgū.</w:t>
      </w:r>
    </w:p>
    <w:p>
      <w:pPr>
        <w:pStyle w:val="ManualNumPar1"/>
        <w:rPr>
          <w:noProof/>
        </w:rPr>
      </w:pPr>
      <w:r>
        <w:t>3.</w:t>
      </w:r>
      <w:r>
        <w:tab/>
      </w:r>
      <w:r>
        <w:rPr>
          <w:noProof/>
        </w:rPr>
        <w:t xml:space="preserve">Dalībvalsts nekavējoties informē Komisiju un pārējās dalībvalstis. Šajā informācijā ietilpst visas pieejamās ziņas, jo īpaši attiecīgā </w:t>
      </w:r>
      <w:r>
        <w:rPr>
          <w:i/>
          <w:noProof/>
        </w:rPr>
        <w:t>CE</w:t>
      </w:r>
      <w:r>
        <w:rPr>
          <w:noProof/>
        </w:rPr>
        <w:t>-marķētā mēslošanas līdzekļa identificēšanai nepieciešamie dati, tā izcelsme un piegādes ķēde, attiecīgā apdraudējuma daba un veikto valsts pasākumu veids un ilgums.</w:t>
      </w:r>
    </w:p>
    <w:p>
      <w:pPr>
        <w:pStyle w:val="ManualNumPar1"/>
        <w:rPr>
          <w:noProof/>
        </w:rPr>
      </w:pPr>
      <w:r>
        <w:t>4.</w:t>
      </w:r>
      <w:r>
        <w:tab/>
      </w:r>
      <w:r>
        <w:rPr>
          <w:noProof/>
        </w:rPr>
        <w:t>Komisija nekavējoties sāk apspriešanos ar dalībvalstīm un attiecīgo uzņēmēju vai uzņēmējiem un izvērtē veiktos valsts pasākumus. Pamatojoties uz minētās izvērtēšanas rezultātiem, Komisija lēmuma formā pieņem īstenošanas aktu, kurā nosaka, vai valsts pasākums ir pamatots, un, ja nepieciešams, pieprasa attiecīgus pasākumus.</w:t>
      </w:r>
    </w:p>
    <w:p>
      <w:pPr>
        <w:pStyle w:val="Text1"/>
        <w:rPr>
          <w:noProof/>
        </w:rPr>
      </w:pPr>
      <w:r>
        <w:rPr>
          <w:noProof/>
        </w:rPr>
        <w:t>Minētos īstenošanas aktus pieņem saskaņā ar 41. panta 3. punktā minēto pārbaudes procedūru.</w:t>
      </w:r>
    </w:p>
    <w:p>
      <w:pPr>
        <w:pStyle w:val="Text1"/>
        <w:rPr>
          <w:noProof/>
        </w:rPr>
      </w:pPr>
      <w:r>
        <w:rPr>
          <w:noProof/>
        </w:rPr>
        <w:t>Pienācīgi pamatotu ar cilvēka, dzīvnieku vai augu veselības, drošības vai vides aizsardzību saistītu nenovēršamu un steidzamu iemeslu dēļ Komisija saskaņā ar 41. panta 4. punktā minēto procedūru pieņem īstenošanas aktus, kas jāpiemēro nekavējoties.</w:t>
      </w:r>
    </w:p>
    <w:p>
      <w:pPr>
        <w:pStyle w:val="ManualNumPar1"/>
        <w:rPr>
          <w:noProof/>
        </w:rPr>
      </w:pPr>
      <w:r>
        <w:t>5.</w:t>
      </w:r>
      <w:r>
        <w:tab/>
      </w:r>
      <w:r>
        <w:rPr>
          <w:noProof/>
        </w:rPr>
        <w:t>Komisija savu lēmumu adresē visām dalībvalstīm un to nekavējoties paziņo gan tām, gan attiecīgajam uzņēmējam vai uzņēmējiem.</w:t>
      </w:r>
    </w:p>
    <w:p>
      <w:pPr>
        <w:pStyle w:val="Titrearticle"/>
        <w:rPr>
          <w:b/>
          <w:i w:val="0"/>
          <w:noProof/>
        </w:rPr>
      </w:pPr>
      <w:r>
        <w:rPr>
          <w:noProof/>
        </w:rPr>
        <w:t>40. pants</w:t>
      </w:r>
      <w:r>
        <w:rPr>
          <w:noProof/>
        </w:rPr>
        <w:br/>
      </w:r>
      <w:r>
        <w:rPr>
          <w:b/>
          <w:i w:val="0"/>
          <w:noProof/>
        </w:rPr>
        <w:t>Formāla neatbilstība</w:t>
      </w:r>
    </w:p>
    <w:p>
      <w:pPr>
        <w:pStyle w:val="ManualNumPar1"/>
        <w:rPr>
          <w:noProof/>
        </w:rPr>
      </w:pPr>
      <w:r>
        <w:t>1.</w:t>
      </w:r>
      <w:r>
        <w:tab/>
      </w:r>
      <w:r>
        <w:rPr>
          <w:noProof/>
        </w:rPr>
        <w:t xml:space="preserve">Neskarot 37. pantu, ja dalībvalsts attiecībā uz </w:t>
      </w:r>
      <w:r>
        <w:rPr>
          <w:i/>
          <w:noProof/>
        </w:rPr>
        <w:t>CE</w:t>
      </w:r>
      <w:r>
        <w:rPr>
          <w:noProof/>
        </w:rPr>
        <w:t>-marķētu mēslošanas līdzekli konstatē kaut ko no turpmāk norādītā, tā pieprasa, lai attiecīgais uzņēmējs attiecīgo neatbilstību novērš:</w:t>
      </w:r>
    </w:p>
    <w:p>
      <w:pPr>
        <w:pStyle w:val="Point1letter"/>
        <w:numPr>
          <w:ilvl w:val="3"/>
          <w:numId w:val="47"/>
        </w:numPr>
        <w:rPr>
          <w:noProof/>
        </w:rPr>
      </w:pPr>
      <w:r>
        <w:rPr>
          <w:i/>
          <w:noProof/>
        </w:rPr>
        <w:t>CE</w:t>
      </w:r>
      <w:r>
        <w:rPr>
          <w:noProof/>
        </w:rPr>
        <w:t xml:space="preserve"> zīme ir uzlikta, pārkāpjot Regulas (EK) Nr. 765/2008 30. pantu vai šīs regulas 17. pantu,</w:t>
      </w:r>
    </w:p>
    <w:p>
      <w:pPr>
        <w:pStyle w:val="Point1letter"/>
        <w:rPr>
          <w:noProof/>
        </w:rPr>
      </w:pPr>
      <w:r>
        <w:rPr>
          <w:noProof/>
        </w:rPr>
        <w:t>paziņotās struktūras identifikācijas numurs ir uzlikts, pārkāpjot 17. pantu, vai, ja 17. pants to prasa, tas nav uzlikts,</w:t>
      </w:r>
    </w:p>
    <w:p>
      <w:pPr>
        <w:pStyle w:val="Point1letter"/>
        <w:rPr>
          <w:noProof/>
        </w:rPr>
      </w:pPr>
      <w:r>
        <w:rPr>
          <w:i/>
          <w:noProof/>
        </w:rPr>
        <w:t>CE</w:t>
      </w:r>
      <w:r>
        <w:rPr>
          <w:noProof/>
        </w:rPr>
        <w:t>-marķētajam mēslošanas līdzeklim nav pievienota ES atbilstības deklarācija,</w:t>
      </w:r>
    </w:p>
    <w:p>
      <w:pPr>
        <w:pStyle w:val="Point1letter"/>
        <w:rPr>
          <w:noProof/>
        </w:rPr>
      </w:pPr>
      <w:r>
        <w:rPr>
          <w:noProof/>
        </w:rPr>
        <w:t>ES atbilstības deklarācija nav pareizi sagatavota,</w:t>
      </w:r>
    </w:p>
    <w:p>
      <w:pPr>
        <w:pStyle w:val="Point1letter"/>
        <w:rPr>
          <w:noProof/>
        </w:rPr>
      </w:pPr>
      <w:r>
        <w:rPr>
          <w:noProof/>
        </w:rPr>
        <w:t>tehniskā dokumentācija nav pieejama vai ir nepilnīga,</w:t>
      </w:r>
    </w:p>
    <w:p>
      <w:pPr>
        <w:pStyle w:val="Point1letter"/>
        <w:rPr>
          <w:noProof/>
        </w:rPr>
      </w:pPr>
      <w:r>
        <w:rPr>
          <w:noProof/>
        </w:rPr>
        <w:t>informācija, kas minēta 6. panta 6. punktā vai 8. panta 3. punktā, nav sniegta, ir nepatiesa vai nepilnīga,</w:t>
      </w:r>
    </w:p>
    <w:p>
      <w:pPr>
        <w:pStyle w:val="Point1letter"/>
        <w:rPr>
          <w:noProof/>
        </w:rPr>
      </w:pPr>
      <w:r>
        <w:rPr>
          <w:noProof/>
        </w:rPr>
        <w:t>nav izpildīta kāda cita 6. vai 8. pantā noteikta administratīvā prasība.</w:t>
      </w:r>
    </w:p>
    <w:p>
      <w:pPr>
        <w:pStyle w:val="ManualNumPar1"/>
        <w:rPr>
          <w:noProof/>
        </w:rPr>
      </w:pPr>
      <w:r>
        <w:t>2.</w:t>
      </w:r>
      <w:r>
        <w:tab/>
      </w:r>
      <w:r>
        <w:rPr>
          <w:noProof/>
        </w:rPr>
        <w:t xml:space="preserve">Ja 1. punktā minētā neatbilstība saglabājas, attiecīgā dalībvalsts veic visus attiecīgos pasākumus, lai ierobežotu vai aizliegtu </w:t>
      </w:r>
      <w:r>
        <w:rPr>
          <w:i/>
          <w:noProof/>
        </w:rPr>
        <w:t>CE</w:t>
      </w:r>
      <w:r>
        <w:rPr>
          <w:noProof/>
        </w:rPr>
        <w:t xml:space="preserve">-marķēto mēslošanas līdzekli darīt pieejamu tirgū vai nodrošinātu tā atsaukšanu, izņemšanu no tirgus vai </w:t>
      </w:r>
      <w:r>
        <w:rPr>
          <w:i/>
          <w:noProof/>
        </w:rPr>
        <w:t>CE</w:t>
      </w:r>
      <w:r>
        <w:rPr>
          <w:noProof/>
        </w:rPr>
        <w:t xml:space="preserve"> zīmes noņemšanu.</w:t>
      </w:r>
    </w:p>
    <w:p>
      <w:pPr>
        <w:pStyle w:val="ChapterTitle"/>
        <w:rPr>
          <w:caps/>
          <w:noProof/>
        </w:rPr>
      </w:pPr>
      <w:r>
        <w:rPr>
          <w:b w:val="0"/>
          <w:caps/>
          <w:noProof/>
        </w:rPr>
        <w:t>6. nodaļa</w:t>
      </w:r>
      <w:r>
        <w:rPr>
          <w:caps/>
          <w:noProof/>
        </w:rPr>
        <w:t>Komiteja un deleģētie akti</w:t>
      </w:r>
    </w:p>
    <w:p>
      <w:pPr>
        <w:pStyle w:val="Titrearticle"/>
        <w:rPr>
          <w:b/>
          <w:i w:val="0"/>
          <w:noProof/>
        </w:rPr>
      </w:pPr>
      <w:r>
        <w:rPr>
          <w:noProof/>
        </w:rPr>
        <w:t>41. pants</w:t>
      </w:r>
      <w:r>
        <w:rPr>
          <w:noProof/>
        </w:rPr>
        <w:br/>
      </w:r>
      <w:r>
        <w:rPr>
          <w:b/>
          <w:i w:val="0"/>
          <w:noProof/>
        </w:rPr>
        <w:t>Komiteju procedūra</w:t>
      </w:r>
    </w:p>
    <w:p>
      <w:pPr>
        <w:pStyle w:val="ManualNumPar1"/>
        <w:rPr>
          <w:noProof/>
        </w:rPr>
      </w:pPr>
      <w:r>
        <w:t>1.</w:t>
      </w:r>
      <w:r>
        <w:tab/>
      </w:r>
      <w:r>
        <w:rPr>
          <w:noProof/>
        </w:rPr>
        <w:t xml:space="preserve">Komisijai palīdz Mēslošanas līdzekļu komiteja. Minētā komiteja ir komiteja Regulas (ES) Nr. 182/2011 nozīmē. </w:t>
      </w:r>
    </w:p>
    <w:p>
      <w:pPr>
        <w:pStyle w:val="ManualNumPar1"/>
        <w:rPr>
          <w:noProof/>
        </w:rPr>
      </w:pPr>
      <w:r>
        <w:t>2.</w:t>
      </w:r>
      <w:r>
        <w:tab/>
      </w:r>
      <w:r>
        <w:rPr>
          <w:noProof/>
        </w:rPr>
        <w:t>Ja ir atsauce uz šo punktu, piemēro Regulas (ES) Nr. 182/2011 4. pantu.</w:t>
      </w:r>
    </w:p>
    <w:p>
      <w:pPr>
        <w:pStyle w:val="ManualNumPar1"/>
        <w:rPr>
          <w:noProof/>
        </w:rPr>
      </w:pPr>
      <w:r>
        <w:t>3.</w:t>
      </w:r>
      <w:r>
        <w:tab/>
      </w:r>
      <w:r>
        <w:rPr>
          <w:noProof/>
        </w:rPr>
        <w:t>Ja ir atsauce uz šo punktu, piemēro Regulas (ES) Nr. 182/2011 5. pantu.</w:t>
      </w:r>
    </w:p>
    <w:p>
      <w:pPr>
        <w:pStyle w:val="ManualNumPar1"/>
        <w:rPr>
          <w:noProof/>
        </w:rPr>
      </w:pPr>
      <w:r>
        <w:t>4.</w:t>
      </w:r>
      <w:r>
        <w:tab/>
      </w:r>
      <w:r>
        <w:rPr>
          <w:noProof/>
        </w:rPr>
        <w:t>Ja ir atsauce uz šo punktu, piemēro Regulas (ES) Nr. 182/2011 8. pantu saistībā ar tās 5. pantu.</w:t>
      </w:r>
    </w:p>
    <w:p>
      <w:pPr>
        <w:pStyle w:val="Titrearticle"/>
        <w:rPr>
          <w:b/>
          <w:i w:val="0"/>
          <w:noProof/>
        </w:rPr>
      </w:pPr>
      <w:r>
        <w:rPr>
          <w:noProof/>
        </w:rPr>
        <w:t>42. pants</w:t>
      </w:r>
      <w:r>
        <w:rPr>
          <w:noProof/>
        </w:rPr>
        <w:br/>
      </w:r>
      <w:r>
        <w:rPr>
          <w:b/>
          <w:i w:val="0"/>
          <w:noProof/>
        </w:rPr>
        <w:t>Pielikumu grozījumi</w:t>
      </w:r>
    </w:p>
    <w:p>
      <w:pPr>
        <w:pStyle w:val="ManualNumPar1"/>
        <w:rPr>
          <w:noProof/>
        </w:rPr>
      </w:pPr>
      <w:r>
        <w:t>1.</w:t>
      </w:r>
      <w:r>
        <w:tab/>
      </w:r>
      <w:r>
        <w:rPr>
          <w:noProof/>
        </w:rPr>
        <w:t>Komisija ir pilnvarota saskaņā ar 43. pantu pieņemt deleģētos aktus, lai grozītu I līdz IV pielikumu, tos pielāgojot tehnikas attīstībai un atvieglojot iekšējā tirgus piekļūstamību un brīvu apriti jaunieviestiem mēslošanas līdzekļiem:</w:t>
      </w:r>
    </w:p>
    <w:p>
      <w:pPr>
        <w:pStyle w:val="Point1letter"/>
        <w:numPr>
          <w:ilvl w:val="3"/>
          <w:numId w:val="51"/>
        </w:numPr>
        <w:rPr>
          <w:noProof/>
        </w:rPr>
      </w:pPr>
      <w:r>
        <w:rPr>
          <w:noProof/>
        </w:rPr>
        <w:t xml:space="preserve">ar kuriem varbūtīga ir nozīmīga tirdzniecība iekšējā tirgū un </w:t>
      </w:r>
    </w:p>
    <w:p>
      <w:pPr>
        <w:pStyle w:val="Point1letter"/>
        <w:rPr>
          <w:noProof/>
        </w:rPr>
      </w:pPr>
      <w:r>
        <w:rPr>
          <w:noProof/>
        </w:rPr>
        <w:t>attiecībā uz kuriem ir zinātniski pierādījumi, ka tie nepieņemami neapdraud cilvēka, dzīvnieku vai augu veselību, drošību vai vidi un ka tie ir pietiekami iedarbīgi.</w:t>
      </w:r>
    </w:p>
    <w:p>
      <w:pPr>
        <w:pStyle w:val="ManualNumPar1"/>
        <w:rPr>
          <w:noProof/>
        </w:rPr>
      </w:pPr>
      <w:r>
        <w:t>2.</w:t>
      </w:r>
      <w:r>
        <w:tab/>
      </w:r>
      <w:r>
        <w:rPr>
          <w:noProof/>
        </w:rPr>
        <w:t>Ja Komisija groza II pielikumu, lai saskaņā ar 1. punktu komponentmateriāla kategorijai, kas paredzēta mikroorganismiem, pievienotu jaunus organismus, tā to dara, pamatojoties uz šādiem datiem:</w:t>
      </w:r>
    </w:p>
    <w:p>
      <w:pPr>
        <w:pStyle w:val="Point1letter"/>
        <w:numPr>
          <w:ilvl w:val="3"/>
          <w:numId w:val="52"/>
        </w:numPr>
        <w:rPr>
          <w:noProof/>
        </w:rPr>
      </w:pPr>
      <w:r>
        <w:rPr>
          <w:noProof/>
        </w:rPr>
        <w:t>mikroorganisma nosaukums,</w:t>
      </w:r>
    </w:p>
    <w:p>
      <w:pPr>
        <w:pStyle w:val="Point1letter"/>
        <w:rPr>
          <w:noProof/>
        </w:rPr>
      </w:pPr>
      <w:r>
        <w:rPr>
          <w:noProof/>
        </w:rPr>
        <w:t>mikroorganisma taksonomiskā klasifikācija,</w:t>
      </w:r>
    </w:p>
    <w:p>
      <w:pPr>
        <w:pStyle w:val="Point1letter"/>
        <w:rPr>
          <w:noProof/>
        </w:rPr>
      </w:pPr>
      <w:r>
        <w:rPr>
          <w:noProof/>
        </w:rPr>
        <w:t>vēsturiski dati par šā mikroorganisma drošu ražošanu un lietošanu,</w:t>
      </w:r>
    </w:p>
    <w:p>
      <w:pPr>
        <w:pStyle w:val="Point1letter"/>
        <w:rPr>
          <w:noProof/>
        </w:rPr>
      </w:pPr>
      <w:r>
        <w:rPr>
          <w:noProof/>
        </w:rPr>
        <w:t>tā taksonomiskā radniecība ar tādām mikroorganismu sugām, kas atbilst Eiropas Pārtikas nekaitīguma iestādes izvirzītajām prasībām attiecībā uz Kvalificētu pieņēmumu par nekaitīgumu,</w:t>
      </w:r>
    </w:p>
    <w:p>
      <w:pPr>
        <w:pStyle w:val="Point1letter"/>
        <w:rPr>
          <w:noProof/>
        </w:rPr>
      </w:pPr>
      <w:r>
        <w:rPr>
          <w:noProof/>
        </w:rPr>
        <w:t>informācija par toksīnu atlieku līmeņiem,</w:t>
      </w:r>
    </w:p>
    <w:p>
      <w:pPr>
        <w:pStyle w:val="Point1letter"/>
        <w:rPr>
          <w:noProof/>
        </w:rPr>
      </w:pPr>
      <w:r>
        <w:rPr>
          <w:noProof/>
        </w:rPr>
        <w:t>informācija par ražošanas procesu un</w:t>
      </w:r>
    </w:p>
    <w:p>
      <w:pPr>
        <w:pStyle w:val="Point1letter"/>
        <w:rPr>
          <w:noProof/>
        </w:rPr>
      </w:pPr>
      <w:r>
        <w:rPr>
          <w:noProof/>
        </w:rPr>
        <w:t>informācija par komponentmateriāla saturā esošo starpproduktu vai mikrobu metabolītu atlieku identitāti.</w:t>
      </w:r>
    </w:p>
    <w:p>
      <w:pPr>
        <w:pStyle w:val="ManualNumPar1"/>
        <w:rPr>
          <w:noProof/>
        </w:rPr>
      </w:pPr>
      <w:r>
        <w:t>3.</w:t>
      </w:r>
      <w:r>
        <w:tab/>
      </w:r>
      <w:r>
        <w:rPr>
          <w:noProof/>
        </w:rPr>
        <w:t>Pieņemot deleģētos aktus saskaņā ar 1. punktu, II pielikumā noteiktās komponentmateriālu kategorijas grozīt, lai pievienotu dzīvnieku izcelsmes blakusproduktus Regulas (EK) Nr. 1069/2009 nozīmē, Komisija var tikai tad, ja šādiem produktiem saskaņā ar minētās regulas procedūrām ir noteikts kāds ražošanas ķēdes beigu punkts.</w:t>
      </w:r>
    </w:p>
    <w:p>
      <w:pPr>
        <w:pStyle w:val="ManualNumPar1"/>
        <w:rPr>
          <w:noProof/>
        </w:rPr>
      </w:pPr>
      <w:r>
        <w:t>4.</w:t>
      </w:r>
      <w:r>
        <w:tab/>
      </w:r>
      <w:r>
        <w:rPr>
          <w:noProof/>
        </w:rPr>
        <w:t xml:space="preserve">Komisija ir arī pilnvarota saskaņā ar 43. pantu pieņemt deleģētus aktus, lai grozītu I līdz IV pielikumu, ņemot vērā jaunus zinātniskus pierādījumus. Komisija šo pilnvarojumu izmanto, kur, balstoties uz apdraudējuma novērtējumu, ir nepieciešams ieviest grozījumu, kas nodrošinātu, ka kāds šīs regulas prasībām atbilstošs </w:t>
      </w:r>
      <w:r>
        <w:rPr>
          <w:i/>
          <w:noProof/>
        </w:rPr>
        <w:t>CE</w:t>
      </w:r>
      <w:r>
        <w:rPr>
          <w:noProof/>
        </w:rPr>
        <w:t>-marķēts mēslošanas līdzeklis normālos lietošanas apstākļos nepieņemami neapdraud cilvēka, dzīvnieku vai augu veselību, drošību vai vidi.</w:t>
      </w:r>
    </w:p>
    <w:p>
      <w:pPr>
        <w:pStyle w:val="Titrearticle"/>
        <w:rPr>
          <w:b/>
          <w:i w:val="0"/>
          <w:noProof/>
        </w:rPr>
      </w:pPr>
      <w:r>
        <w:rPr>
          <w:noProof/>
        </w:rPr>
        <w:t>43. pants</w:t>
      </w:r>
      <w:r>
        <w:rPr>
          <w:noProof/>
        </w:rPr>
        <w:br/>
      </w:r>
      <w:r>
        <w:rPr>
          <w:b/>
          <w:i w:val="0"/>
          <w:noProof/>
        </w:rPr>
        <w:t>Deleģēšanas īstenošana</w:t>
      </w:r>
    </w:p>
    <w:p>
      <w:pPr>
        <w:pStyle w:val="ManualNumPar1"/>
        <w:rPr>
          <w:noProof/>
        </w:rPr>
      </w:pPr>
      <w:r>
        <w:t>1.</w:t>
      </w:r>
      <w:r>
        <w:tab/>
      </w:r>
      <w:r>
        <w:rPr>
          <w:noProof/>
        </w:rPr>
        <w:t>Pilnvaras pieņemt deleģētos aktus Komisijai piešķir, ievērojot šajā pantā izklāstītos nosacījumus.</w:t>
      </w:r>
    </w:p>
    <w:p>
      <w:pPr>
        <w:pStyle w:val="ManualNumPar1"/>
        <w:rPr>
          <w:noProof/>
        </w:rPr>
      </w:pPr>
      <w:r>
        <w:t>2.</w:t>
      </w:r>
      <w:r>
        <w:tab/>
      </w:r>
      <w:r>
        <w:rPr>
          <w:noProof/>
        </w:rPr>
        <w:t>Komisiju pilnvaro pieņemt 42. pantā minētos deleģētos aktus uz pieciem gadiem no [</w:t>
      </w:r>
      <w:r>
        <w:rPr>
          <w:i/>
          <w:noProof/>
        </w:rPr>
        <w:t>Publications office, please insert the date of entry into force of this Regulation</w:t>
      </w:r>
      <w:r>
        <w:rPr>
          <w:noProof/>
        </w:rPr>
        <w:t>]. Komisija sagatavo ziņojumu par pilnvaru deleģēšanu vēlākais deviņus mēnešus pirms piecu gadu laikposma beigām. Pilnvaru deleģēšana tiek automātiski pagarināta uz tāda paša ilguma laikposmiem, ja vien Eiropas Parlaments vai Padome neiebilst pret šādu pagarinājumu vēlākais trīs mēnešus pirms katra laikposma beigām.</w:t>
      </w:r>
    </w:p>
    <w:p>
      <w:pPr>
        <w:pStyle w:val="ManualNumPar1"/>
        <w:rPr>
          <w:noProof/>
        </w:rPr>
      </w:pPr>
      <w:r>
        <w:t>3.</w:t>
      </w:r>
      <w:r>
        <w:tab/>
      </w:r>
      <w:r>
        <w:rPr>
          <w:noProof/>
        </w:rPr>
        <w:t xml:space="preserve">Eiropas Parlaments vai Padome jebkurā laikā var atsaukt 42. pantā minēto pilnvaru deleģēšanu. Ar lēmumu par atsaukšanu izbeidz tajā norādīto pilnvaru deleģēšanu. Tas stājas spēkā nākamajā dienā pēc publicēšanas </w:t>
      </w:r>
      <w:r>
        <w:rPr>
          <w:i/>
          <w:noProof/>
        </w:rPr>
        <w:t>Eiropas Savienības Oficiālajā Vēstnesī</w:t>
      </w:r>
      <w:r>
        <w:rPr>
          <w:noProof/>
        </w:rPr>
        <w:t xml:space="preserve"> vai vēlākā dienā, kas tajā norādīta. Tas neskar jau spēkā esošos deleģētos aktus. </w:t>
      </w:r>
    </w:p>
    <w:p>
      <w:pPr>
        <w:pStyle w:val="ManualNumPar1"/>
        <w:rPr>
          <w:noProof/>
        </w:rPr>
      </w:pPr>
      <w:r>
        <w:t>4.</w:t>
      </w:r>
      <w:r>
        <w:tab/>
      </w:r>
      <w:r>
        <w:rPr>
          <w:noProof/>
        </w:rPr>
        <w:t xml:space="preserve">Tiklīdz Komisija pieņem deleģētu aktu, tā par to paziņo vienlaikus Eiropas Parlamentam un Padomei. </w:t>
      </w:r>
    </w:p>
    <w:p>
      <w:pPr>
        <w:pStyle w:val="ManualNumPar1"/>
        <w:rPr>
          <w:noProof/>
        </w:rPr>
      </w:pPr>
      <w:r>
        <w:t>5.</w:t>
      </w:r>
      <w:r>
        <w:tab/>
      </w:r>
      <w:r>
        <w:rPr>
          <w:noProof/>
        </w:rPr>
        <w:t>Saskaņā ar 42. pantu pieņemts deleģētais akts stājas spēkā tikai tad, ja ne Eiropas Parlaments, ne Padome divu mēnešu laikā pēc minētā akta paziņošanas nav izteikuši iebildumus vai ja pirms minētā termiņa beigām gan Eiropas Parlaments, gan Padome ir informējuši Komisiju, ka necels iebildumus. Pēc Eiropas Parlamenta vai Padomes iniciatīvas šo laikposmu pagarina par diviem mēnešiem.</w:t>
      </w:r>
    </w:p>
    <w:p>
      <w:pPr>
        <w:pStyle w:val="ChapterTitle"/>
        <w:rPr>
          <w:caps/>
          <w:noProof/>
        </w:rPr>
      </w:pPr>
      <w:r>
        <w:rPr>
          <w:b w:val="0"/>
          <w:caps/>
          <w:noProof/>
        </w:rPr>
        <w:t>7. nodaļa</w:t>
      </w:r>
      <w:r>
        <w:rPr>
          <w:noProof/>
        </w:rPr>
        <w:br/>
      </w:r>
      <w:r>
        <w:rPr>
          <w:caps/>
          <w:noProof/>
        </w:rPr>
        <w:t>Pārejas un nobeiguma noteikumi</w:t>
      </w:r>
    </w:p>
    <w:p>
      <w:pPr>
        <w:pStyle w:val="Titrearticle"/>
        <w:rPr>
          <w:b/>
          <w:i w:val="0"/>
          <w:noProof/>
        </w:rPr>
      </w:pPr>
      <w:r>
        <w:rPr>
          <w:noProof/>
        </w:rPr>
        <w:t>44. pants</w:t>
      </w:r>
      <w:r>
        <w:rPr>
          <w:noProof/>
        </w:rPr>
        <w:br/>
      </w:r>
      <w:r>
        <w:rPr>
          <w:b/>
          <w:i w:val="0"/>
          <w:noProof/>
        </w:rPr>
        <w:t>Sankcijas</w:t>
      </w:r>
    </w:p>
    <w:p>
      <w:pPr>
        <w:pStyle w:val="Text1"/>
        <w:rPr>
          <w:noProof/>
        </w:rPr>
      </w:pPr>
      <w:r>
        <w:rPr>
          <w:noProof/>
        </w:rPr>
        <w:t>Dalībvalstis paredz noteikumus par sankcijām, kas piemērojamas par šīs regulas noteikumu pārkāpumiem, un veic visus pasākumus, kas nepieciešami, lai nodrošinātu to izpildi. Paredzētās sankcijas ir iedarbīgas, samērīgas un atturošas. Dalībvalstis minētos noteikumus un pasākumus nekavējoties paziņo Komisijai un tai nekavējoties paziņo jebkādus turpmākus grozījumus, kas skar šos noteikumus un pasākumus.</w:t>
      </w:r>
    </w:p>
    <w:p>
      <w:pPr>
        <w:pStyle w:val="Titrearticle"/>
        <w:rPr>
          <w:noProof/>
        </w:rPr>
      </w:pPr>
      <w:r>
        <w:rPr>
          <w:noProof/>
        </w:rPr>
        <w:t>45. pants</w:t>
      </w:r>
      <w:r>
        <w:rPr>
          <w:noProof/>
        </w:rPr>
        <w:br/>
      </w:r>
      <w:r>
        <w:rPr>
          <w:b/>
          <w:i w:val="0"/>
          <w:noProof/>
        </w:rPr>
        <w:t>Regulas (EK) Nr. 1069/2009 grozījumi</w:t>
      </w:r>
    </w:p>
    <w:p>
      <w:pPr>
        <w:pStyle w:val="Text1"/>
        <w:rPr>
          <w:noProof/>
        </w:rPr>
      </w:pPr>
      <w:r>
        <w:rPr>
          <w:noProof/>
        </w:rPr>
        <w:t>Regulas (EK) Nr. 1069/2009 5. pantu groza šādi:</w:t>
      </w:r>
    </w:p>
    <w:p>
      <w:pPr>
        <w:pStyle w:val="Point1number"/>
        <w:numPr>
          <w:ilvl w:val="2"/>
          <w:numId w:val="58"/>
        </w:numPr>
        <w:rPr>
          <w:noProof/>
        </w:rPr>
      </w:pPr>
      <w:r>
        <w:rPr>
          <w:noProof/>
        </w:rPr>
        <w:t xml:space="preserve">panta 2. punkta pirmo daļu aizstāj ar šādu: </w:t>
      </w:r>
    </w:p>
    <w:p>
      <w:pPr>
        <w:pStyle w:val="Text2"/>
        <w:rPr>
          <w:noProof/>
        </w:rPr>
      </w:pPr>
      <w:r>
        <w:rPr>
          <w:noProof/>
        </w:rPr>
        <w:t>"Šīs regulas 32., 35. un 36. pantā minētajiem atvasinātajiem produktiem, kas vairs būtiski neapdraud cilvēku vai dzīvnieku veselību, ražošanas ķēdē var noteikt beigu punktu, pēc kura šīs regulas prasības uz šādiem produktiem vairs neattiecas."</w:t>
      </w:r>
    </w:p>
    <w:p>
      <w:pPr>
        <w:pStyle w:val="Point1number"/>
        <w:rPr>
          <w:noProof/>
        </w:rPr>
      </w:pPr>
      <w:r>
        <w:rPr>
          <w:noProof/>
        </w:rPr>
        <w:t xml:space="preserve">panta 3. punktu aizstāj ar šādu: </w:t>
      </w:r>
    </w:p>
    <w:p>
      <w:pPr>
        <w:pStyle w:val="Text1"/>
        <w:ind w:left="2127" w:hanging="709"/>
        <w:rPr>
          <w:noProof/>
        </w:rPr>
      </w:pPr>
      <w:r>
        <w:rPr>
          <w:noProof/>
        </w:rPr>
        <w:t>"3.</w:t>
      </w:r>
      <w:r>
        <w:rPr>
          <w:noProof/>
        </w:rPr>
        <w:tab/>
        <w:t xml:space="preserve">Ja ir apdraudēta cilvēku vai dzīvnieku veselība, Regulas (EK) Nr. 178/2002 53. un 54. pantu par ārkārtas veselības pasākumiem </w:t>
      </w:r>
      <w:r>
        <w:rPr>
          <w:i/>
          <w:noProof/>
        </w:rPr>
        <w:t xml:space="preserve">mutatis mutandis </w:t>
      </w:r>
      <w:r>
        <w:rPr>
          <w:noProof/>
        </w:rPr>
        <w:t>piemēro šīs regulas 32., 33. un 36. pantā minētajiem atvasinātajiem produktiem."</w:t>
      </w:r>
    </w:p>
    <w:p>
      <w:pPr>
        <w:pStyle w:val="Titrearticle"/>
        <w:rPr>
          <w:b/>
          <w:i w:val="0"/>
          <w:noProof/>
        </w:rPr>
      </w:pPr>
      <w:r>
        <w:rPr>
          <w:noProof/>
        </w:rPr>
        <w:t>46. pants</w:t>
      </w:r>
      <w:r>
        <w:rPr>
          <w:noProof/>
        </w:rPr>
        <w:br/>
      </w:r>
      <w:r>
        <w:rPr>
          <w:b/>
          <w:i w:val="0"/>
          <w:noProof/>
        </w:rPr>
        <w:t>Regulas (EK) Nr. 1107/2009 grozījumi</w:t>
      </w:r>
    </w:p>
    <w:p>
      <w:pPr>
        <w:pStyle w:val="Text1"/>
        <w:rPr>
          <w:noProof/>
        </w:rPr>
      </w:pPr>
      <w:r>
        <w:rPr>
          <w:noProof/>
        </w:rPr>
        <w:t>Regulu (EK) Nr. 1107/2009 groza šādi:</w:t>
      </w:r>
    </w:p>
    <w:p>
      <w:pPr>
        <w:pStyle w:val="Point1number"/>
        <w:numPr>
          <w:ilvl w:val="2"/>
          <w:numId w:val="59"/>
        </w:numPr>
        <w:rPr>
          <w:noProof/>
        </w:rPr>
      </w:pPr>
      <w:r>
        <w:rPr>
          <w:noProof/>
        </w:rPr>
        <w:t>regulas 2. panta 1. punkta b) apakšpunktu aizstāj ar šādu:</w:t>
      </w:r>
    </w:p>
    <w:p>
      <w:pPr>
        <w:pStyle w:val="Text2"/>
        <w:rPr>
          <w:noProof/>
        </w:rPr>
      </w:pPr>
      <w:r>
        <w:rPr>
          <w:noProof/>
        </w:rPr>
        <w:t>"b)</w:t>
      </w:r>
      <w:r>
        <w:rPr>
          <w:noProof/>
        </w:rPr>
        <w:tab/>
        <w:t>"augu dzīvības procesu ietekmēšanai, tādas kā vielas, kas ietekmē to augšanu, nebūdamas barības elementi vai augu biostimulatori;";</w:t>
      </w:r>
    </w:p>
    <w:p>
      <w:pPr>
        <w:pStyle w:val="Point1number"/>
        <w:rPr>
          <w:noProof/>
        </w:rPr>
      </w:pPr>
      <w:r>
        <w:rPr>
          <w:noProof/>
        </w:rPr>
        <w:t>regulas 3. pantā pievieno šādu punktu:</w:t>
      </w:r>
    </w:p>
    <w:p>
      <w:pPr>
        <w:pStyle w:val="Point1number"/>
        <w:rPr>
          <w:noProof/>
        </w:rPr>
      </w:pPr>
      <w:r>
        <w:rPr>
          <w:noProof/>
        </w:rPr>
        <w:t>"34.</w:t>
      </w:r>
      <w:r>
        <w:rPr>
          <w:noProof/>
        </w:rPr>
        <w:tab/>
        <w:t>"augu biostimulators" ir līdzeklis, kas neatkarīgi no barības elementu satura tajā stimulē augu barošanās procesus ar vienīgo mērķi uzlabot vienu vai vairākus no šādiem auga raksturlielumiem:</w:t>
      </w:r>
    </w:p>
    <w:p>
      <w:pPr>
        <w:pStyle w:val="Point2letter"/>
        <w:rPr>
          <w:noProof/>
        </w:rPr>
      </w:pPr>
      <w:r>
        <w:rPr>
          <w:noProof/>
        </w:rPr>
        <w:t>barības elementu izmantošanas efektivitāte;</w:t>
      </w:r>
    </w:p>
    <w:p>
      <w:pPr>
        <w:pStyle w:val="Point2letter"/>
        <w:rPr>
          <w:noProof/>
        </w:rPr>
      </w:pPr>
      <w:r>
        <w:rPr>
          <w:noProof/>
        </w:rPr>
        <w:t>noturība pret abiotisku stresu;</w:t>
      </w:r>
    </w:p>
    <w:p>
      <w:pPr>
        <w:pStyle w:val="Point2letter"/>
        <w:rPr>
          <w:noProof/>
        </w:rPr>
      </w:pPr>
      <w:r>
        <w:rPr>
          <w:noProof/>
        </w:rPr>
        <w:t>kultūrauga kvalitatīvās īpašības."</w:t>
      </w:r>
    </w:p>
    <w:p>
      <w:pPr>
        <w:pStyle w:val="Titrearticle"/>
        <w:rPr>
          <w:b/>
          <w:i w:val="0"/>
          <w:noProof/>
        </w:rPr>
      </w:pPr>
      <w:r>
        <w:rPr>
          <w:noProof/>
        </w:rPr>
        <w:t>47. pants</w:t>
      </w:r>
      <w:r>
        <w:rPr>
          <w:noProof/>
        </w:rPr>
        <w:br/>
      </w:r>
      <w:r>
        <w:rPr>
          <w:b/>
          <w:i w:val="0"/>
          <w:noProof/>
        </w:rPr>
        <w:t>Regulas (EK) Nr. 2003/2003 atcelšana</w:t>
      </w:r>
    </w:p>
    <w:p>
      <w:pPr>
        <w:rPr>
          <w:noProof/>
        </w:rPr>
      </w:pPr>
      <w:r>
        <w:rPr>
          <w:noProof/>
        </w:rPr>
        <w:t>Regulu (EK) Nr. 2003/2003 atceļ ar 49. panta otrajā daļā minēto datumu.</w:t>
      </w:r>
    </w:p>
    <w:p>
      <w:pPr>
        <w:rPr>
          <w:noProof/>
        </w:rPr>
      </w:pPr>
      <w:r>
        <w:rPr>
          <w:noProof/>
        </w:rPr>
        <w:t>Atsauces uz atcelto regulu uzskata par atsaucēm uz šo regulu.</w:t>
      </w:r>
    </w:p>
    <w:p>
      <w:pPr>
        <w:pStyle w:val="Titrearticle"/>
        <w:rPr>
          <w:b/>
          <w:i w:val="0"/>
          <w:noProof/>
        </w:rPr>
      </w:pPr>
      <w:r>
        <w:rPr>
          <w:noProof/>
        </w:rPr>
        <w:t>48. pants</w:t>
      </w:r>
      <w:r>
        <w:rPr>
          <w:noProof/>
        </w:rPr>
        <w:br/>
      </w:r>
      <w:r>
        <w:rPr>
          <w:b/>
          <w:i w:val="0"/>
          <w:noProof/>
        </w:rPr>
        <w:t>Pārejas noteikumi</w:t>
      </w:r>
    </w:p>
    <w:p>
      <w:pPr>
        <w:rPr>
          <w:noProof/>
        </w:rPr>
      </w:pPr>
      <w:r>
        <w:rPr>
          <w:noProof/>
        </w:rPr>
        <w:t>Dalībvalstis nekavē to, ka tirgū tiek darīti pieejami mēslošanas līdzekļi, kas kā Regulai (EK) Nr. 2003/2003 atbilstoši mēslošanas līdzekļi ar apzīmējumu "EK mēslošanas līdzeklis" tirgū laisti līdz [</w:t>
      </w:r>
      <w:r>
        <w:rPr>
          <w:i/>
          <w:noProof/>
        </w:rPr>
        <w:t>Publications office, please insert the date of application of this Regulation</w:t>
      </w:r>
      <w:r>
        <w:rPr>
          <w:noProof/>
        </w:rPr>
        <w:t xml:space="preserve">]. Tomēr šādiem izstrādājumiem </w:t>
      </w:r>
      <w:r>
        <w:rPr>
          <w:i/>
          <w:noProof/>
        </w:rPr>
        <w:t>mutatis mutandis</w:t>
      </w:r>
      <w:r>
        <w:rPr>
          <w:noProof/>
        </w:rPr>
        <w:t xml:space="preserve"> piemēro 5. nodaļu.</w:t>
      </w:r>
    </w:p>
    <w:p>
      <w:pPr>
        <w:pStyle w:val="Titrearticle"/>
        <w:rPr>
          <w:noProof/>
        </w:rPr>
      </w:pPr>
      <w:r>
        <w:rPr>
          <w:noProof/>
        </w:rPr>
        <w:t>49. pants</w:t>
      </w:r>
      <w:r>
        <w:rPr>
          <w:noProof/>
        </w:rPr>
        <w:br/>
      </w:r>
      <w:r>
        <w:rPr>
          <w:b/>
          <w:i w:val="0"/>
          <w:noProof/>
        </w:rPr>
        <w:t>Stāšanās spēkā un piemērošana</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rPr>
          <w:noProof/>
        </w:rPr>
      </w:pPr>
      <w:r>
        <w:rPr>
          <w:noProof/>
        </w:rPr>
        <w:t xml:space="preserve">To piemēro no 2018. gada 1. janvāra. </w:t>
      </w:r>
    </w:p>
    <w:p>
      <w:pPr>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r>
      <w:hyperlink r:id="rId1" w:history="1">
        <w:r>
          <w:rPr>
            <w:rStyle w:val="Hyperlink"/>
          </w:rPr>
          <w:t>http://ec.europa.eu/smart-regulation/evaluation/search/download.do?documentId=4416</w:t>
        </w:r>
      </w:hyperlink>
    </w:p>
  </w:footnote>
  <w:footnote w:id="2">
    <w:p>
      <w:pPr>
        <w:pStyle w:val="FootnoteText"/>
        <w:rPr>
          <w:lang w:val="pl-PL"/>
        </w:rPr>
      </w:pPr>
      <w:r>
        <w:rPr>
          <w:rStyle w:val="FootnoteReference"/>
        </w:rPr>
        <w:footnoteRef/>
      </w:r>
      <w:r>
        <w:rPr>
          <w:lang w:val="pl-PL"/>
        </w:rPr>
        <w:tab/>
        <w:t>COM(2015) 614/2</w:t>
      </w:r>
    </w:p>
  </w:footnote>
  <w:footnote w:id="3">
    <w:p>
      <w:pPr>
        <w:pStyle w:val="FootnoteText"/>
        <w:rPr>
          <w:lang w:val="pl-PL"/>
        </w:rPr>
      </w:pPr>
      <w:r>
        <w:rPr>
          <w:rStyle w:val="FootnoteReference"/>
        </w:rPr>
        <w:footnoteRef/>
      </w:r>
      <w:r>
        <w:rPr>
          <w:lang w:val="pl-PL"/>
        </w:rPr>
        <w:tab/>
      </w:r>
      <w:r>
        <w:rPr>
          <w:rStyle w:val="FootnoteReference"/>
        </w:rPr>
        <w:footnoteRef/>
      </w:r>
      <w:r>
        <w:rPr>
          <w:lang w:val="pl-PL"/>
        </w:rPr>
        <w:t>OV L 300, 14.11.2009., 1. lpp.</w:t>
      </w:r>
    </w:p>
  </w:footnote>
  <w:footnote w:id="4">
    <w:p>
      <w:pPr>
        <w:pStyle w:val="FootnoteText"/>
        <w:rPr>
          <w:lang w:val="pl-PL"/>
        </w:rPr>
      </w:pPr>
      <w:r>
        <w:rPr>
          <w:rStyle w:val="FootnoteReference"/>
        </w:rPr>
        <w:footnoteRef/>
      </w:r>
      <w:r>
        <w:rPr>
          <w:lang w:val="pl-PL"/>
        </w:rPr>
        <w:tab/>
      </w:r>
      <w:r>
        <w:rPr>
          <w:rStyle w:val="FootnoteReference"/>
        </w:rPr>
        <w:footnoteRef/>
      </w:r>
      <w:r>
        <w:rPr>
          <w:lang w:val="pl-PL"/>
        </w:rPr>
        <w:t>OV L 312, 22.11.2008., 3. lpp.</w:t>
      </w:r>
    </w:p>
  </w:footnote>
  <w:footnote w:id="5">
    <w:p>
      <w:pPr>
        <w:pStyle w:val="FootnoteText"/>
        <w:rPr>
          <w:lang w:val="pl-PL"/>
        </w:rPr>
      </w:pPr>
      <w:r>
        <w:rPr>
          <w:rStyle w:val="FootnoteReference"/>
        </w:rPr>
        <w:footnoteRef/>
      </w:r>
      <w:r>
        <w:rPr>
          <w:lang w:val="pl-PL"/>
        </w:rPr>
        <w:tab/>
        <w:t>OV L 396, 30.12.2006., 1. lpp.</w:t>
      </w:r>
    </w:p>
  </w:footnote>
  <w:footnote w:id="6">
    <w:p>
      <w:pPr>
        <w:pStyle w:val="FootnoteText"/>
        <w:rPr>
          <w:lang w:val="pl-PL"/>
        </w:rPr>
      </w:pPr>
      <w:r>
        <w:rPr>
          <w:rStyle w:val="FootnoteReference"/>
        </w:rPr>
        <w:footnoteRef/>
      </w:r>
      <w:r>
        <w:rPr>
          <w:lang w:val="pl-PL"/>
        </w:rPr>
        <w:tab/>
      </w:r>
      <w:hyperlink r:id="rId2" w:history="1">
        <w:r>
          <w:rPr>
            <w:rStyle w:val="Hyperlink"/>
            <w:lang w:val="pl-PL"/>
          </w:rPr>
          <w:t>http://ec.europa.eu/research/bioeconomy/index.cfm</w:t>
        </w:r>
      </w:hyperlink>
    </w:p>
  </w:footnote>
  <w:footnote w:id="7">
    <w:p>
      <w:pPr>
        <w:pStyle w:val="FootnoteText"/>
        <w:rPr>
          <w:lang w:val="pl-PL"/>
        </w:rPr>
      </w:pPr>
      <w:r>
        <w:rPr>
          <w:rStyle w:val="FootnoteReference"/>
        </w:rPr>
        <w:footnoteRef/>
      </w:r>
      <w:r>
        <w:rPr>
          <w:lang w:val="pl-PL"/>
        </w:rPr>
        <w:tab/>
      </w:r>
      <w:hyperlink r:id="rId3" w:history="1">
        <w:r>
          <w:rPr>
            <w:rStyle w:val="Hyperlink"/>
            <w:lang w:val="pl-PL"/>
          </w:rPr>
          <w:t>http://bbi-europe.eu/sites/default/files/documents/BBI_JU_annual_Work_plan_2014.pdf</w:t>
        </w:r>
      </w:hyperlink>
      <w:r>
        <w:rPr>
          <w:lang w:val="pl-PL"/>
        </w:rPr>
        <w:t xml:space="preserve"> </w:t>
      </w:r>
    </w:p>
  </w:footnote>
  <w:footnote w:id="8">
    <w:p>
      <w:pPr>
        <w:pStyle w:val="FootnoteText"/>
        <w:rPr>
          <w:lang w:val="pl-PL"/>
        </w:rPr>
      </w:pPr>
      <w:r>
        <w:rPr>
          <w:rStyle w:val="FootnoteReference"/>
        </w:rPr>
        <w:footnoteRef/>
      </w:r>
      <w:r>
        <w:rPr>
          <w:lang w:val="pl-PL"/>
        </w:rPr>
        <w:tab/>
        <w:t xml:space="preserve">Sk. 4. iedaļu, </w:t>
      </w:r>
      <w:r>
        <w:rPr>
          <w:i/>
          <w:lang w:val="pl-PL"/>
        </w:rPr>
        <w:t>Secinājumi un ieteikumi</w:t>
      </w:r>
      <w:r>
        <w:rPr>
          <w:lang w:val="pl-PL"/>
        </w:rPr>
        <w:t>.</w:t>
      </w:r>
    </w:p>
  </w:footnote>
  <w:footnote w:id="9">
    <w:p>
      <w:pPr>
        <w:pStyle w:val="FootnoteText"/>
      </w:pPr>
      <w:r>
        <w:rPr>
          <w:rStyle w:val="FootnoteReference"/>
        </w:rPr>
        <w:footnoteRef/>
      </w:r>
      <w:r>
        <w:rPr>
          <w:lang w:val="pl-PL"/>
        </w:rPr>
        <w:tab/>
        <w:t xml:space="preserve">Minētās grupas sanāksmju darbības ziņojumus sk. </w:t>
      </w:r>
      <w:hyperlink r:id="rId4" w:history="1">
        <w:r>
          <w:rPr>
            <w:rStyle w:val="Hyperlink"/>
          </w:rPr>
          <w:t>http://ec.europa.eu/transparency/regexpert/index.cfm?do=groupDetail.groupDetail&amp;groupID=1320&amp;NewSearch=1&amp;NewSearch=1</w:t>
        </w:r>
      </w:hyperlink>
      <w:r>
        <w:t xml:space="preserve"> </w:t>
      </w:r>
    </w:p>
  </w:footnote>
  <w:footnote w:id="10">
    <w:p>
      <w:pPr>
        <w:pStyle w:val="FootnoteText"/>
      </w:pPr>
      <w:r>
        <w:rPr>
          <w:rStyle w:val="FootnoteReference"/>
        </w:rPr>
        <w:footnoteRef/>
      </w:r>
      <w:r>
        <w:tab/>
        <w:t>http://ec.europa.eu/environment/consultations/closing_the_loop_en.htm?utm_content=buffer68ffa&amp;utm_medium=social&amp;utm_source=twitter.com&amp;utm_campaign=buffer</w:t>
      </w:r>
    </w:p>
  </w:footnote>
  <w:footnote w:id="11">
    <w:p>
      <w:pPr>
        <w:pStyle w:val="FootnoteText"/>
      </w:pPr>
      <w:r>
        <w:rPr>
          <w:rStyle w:val="FootnoteReference"/>
        </w:rPr>
        <w:footnoteRef/>
      </w:r>
      <w:r>
        <w:tab/>
      </w:r>
      <w:hyperlink r:id="rId5" w:history="1">
        <w:r>
          <w:rPr>
            <w:rStyle w:val="Hyperlink"/>
          </w:rPr>
          <w:t>http://ec.europa.eu/smart-regulation/roadmaps/docs/2012_grow_001_fertilisers_en.pdf</w:t>
        </w:r>
      </w:hyperlink>
      <w:r>
        <w:t xml:space="preserve"> </w:t>
      </w:r>
    </w:p>
  </w:footnote>
  <w:footnote w:id="12">
    <w:p>
      <w:pPr>
        <w:pStyle w:val="FootnoteText"/>
      </w:pPr>
      <w:r>
        <w:rPr>
          <w:rStyle w:val="FootnoteReference"/>
        </w:rPr>
        <w:footnoteRef/>
      </w:r>
      <w:r>
        <w:tab/>
      </w:r>
      <w:hyperlink r:id="rId6" w:history="1">
        <w:r>
          <w:rPr>
            <w:rStyle w:val="Hyperlink"/>
          </w:rPr>
          <w:t>http://bookshop.europa.eu/en/study-on-options-to-fully-harmonise-the-eu-legislation-on-fertilising-materials-including-technical-feasibility-environmental-economic-and-social-impacts-pbNB0114252/</w:t>
        </w:r>
      </w:hyperlink>
    </w:p>
  </w:footnote>
  <w:footnote w:id="13">
    <w:p>
      <w:pPr>
        <w:pStyle w:val="FootnoteText"/>
      </w:pPr>
      <w:r>
        <w:rPr>
          <w:rStyle w:val="FootnoteReference"/>
        </w:rPr>
        <w:footnoteRef/>
      </w:r>
      <w:r>
        <w:tab/>
        <w:t xml:space="preserve">Semināra ziņojumu var lejupielādēt vietnē </w:t>
      </w:r>
      <w:hyperlink r:id="rId7" w:history="1">
        <w:r>
          <w:rPr>
            <w:rStyle w:val="Hyperlink"/>
          </w:rPr>
          <w:t>http://bookshop.europa.eu/en/circular-approaches-to-phosphorus-pbKI0115204/</w:t>
        </w:r>
      </w:hyperlink>
    </w:p>
  </w:footnote>
  <w:footnote w:id="14">
    <w:p>
      <w:pPr>
        <w:pStyle w:val="FootnoteText"/>
      </w:pPr>
      <w:r>
        <w:rPr>
          <w:rStyle w:val="FootnoteReference"/>
        </w:rPr>
        <w:footnoteRef/>
      </w:r>
      <w:r>
        <w:tab/>
        <w:t>OV C , ,  lpp.</w:t>
      </w:r>
    </w:p>
  </w:footnote>
  <w:footnote w:id="15">
    <w:p>
      <w:pPr>
        <w:pStyle w:val="FootnoteText"/>
      </w:pPr>
      <w:r>
        <w:rPr>
          <w:rStyle w:val="FootnoteReference"/>
        </w:rPr>
        <w:footnoteRef/>
      </w:r>
      <w:r>
        <w:tab/>
        <w:t>Eiropas Parlamenta un Padomes 2003. gada 13. oktobra Regula (EK) Nr. 2003/2003 par mēslošanas līdzekļiem (OV L 304, 21.11.2003., 1. lpp.).</w:t>
      </w:r>
    </w:p>
  </w:footnote>
  <w:footnote w:id="16">
    <w:p>
      <w:pPr>
        <w:pStyle w:val="FootnoteText"/>
      </w:pPr>
      <w:r>
        <w:rPr>
          <w:rStyle w:val="FootnoteReference"/>
        </w:rPr>
        <w:footnoteRef/>
      </w:r>
      <w:r>
        <w:tab/>
        <w:t>Eiropas Parlamenta un Padomes 2008. gada 9. jūlija Regula (EK) Nr. 765/2008, ar ko nosaka akreditācijas un tirgus uzraudzības prasības attiecībā uz produktu tirdzniecību un atceļ Regulu (EEK) Nr. 339/93 (OV L 218, 13.8.2008., 30. lpp.).</w:t>
      </w:r>
    </w:p>
  </w:footnote>
  <w:footnote w:id="17">
    <w:p>
      <w:pPr>
        <w:pStyle w:val="FootnoteText"/>
      </w:pPr>
      <w:r>
        <w:rPr>
          <w:rStyle w:val="FootnoteReference"/>
        </w:rPr>
        <w:footnoteRef/>
      </w:r>
      <w:r>
        <w:tab/>
        <w:t>Eiropas Parlamenta un Padomes 2008. gada 9. jūlija Lēmums Nr. 768/2008/EK par produktu tirdzniecības vienotu sistēmu un ar ko atceļ Padomes Lēmumu 93/465/EEK (OV L 218, 13.8.2008., 82. lpp.).</w:t>
      </w:r>
    </w:p>
  </w:footnote>
  <w:footnote w:id="18">
    <w:p>
      <w:pPr>
        <w:pStyle w:val="FootnoteText"/>
      </w:pPr>
      <w:r>
        <w:rPr>
          <w:rStyle w:val="FootnoteReference"/>
        </w:rPr>
        <w:footnoteRef/>
      </w:r>
      <w:r>
        <w:tab/>
        <w:t>Eiropas Parlamenta un Padomes 2009. gada 21. oktobra Regula (EK) Nr. 1069/2009, ar ko nosaka veselības aizsardzības noteikumus attiecībā uz dzīvnieku izcelsmes blakusproduktiem un atvasinātajiem produktiem, kuri nav paredzēti cilvēku patēriņam, un ar ko atceļ Regulu (EK) Nr. 1774/2002 (Dzīvnieku izcelsmes blakusproduktu regula) (OV L 300, 14.11.2009., 1. lpp.).</w:t>
      </w:r>
    </w:p>
  </w:footnote>
  <w:footnote w:id="19">
    <w:p>
      <w:pPr>
        <w:pStyle w:val="FootnoteText"/>
      </w:pPr>
      <w:r>
        <w:rPr>
          <w:rStyle w:val="FootnoteReference"/>
        </w:rPr>
        <w:footnoteRef/>
      </w:r>
      <w:r>
        <w:tab/>
        <w:t>Eiropas Parlamenta un Padomes 2002. gada 28. janvāra Regula (EK) Nr. 178/2002, ar ko paredz pārtikas aprites tiesību aktu vispārīgus principus un prasības, izveido Eiropas Pārtikas nekaitīguma iestādi un paredz procedūras saistībā ar pārtikas nekaitīgumu (OV L 31, 1.2.2002., 1. lpp.).</w:t>
      </w:r>
    </w:p>
  </w:footnote>
  <w:footnote w:id="20">
    <w:p>
      <w:pPr>
        <w:pStyle w:val="FootnoteText"/>
      </w:pPr>
      <w:r>
        <w:rPr>
          <w:rStyle w:val="FootnoteReference"/>
        </w:rPr>
        <w:footnoteRef/>
      </w:r>
      <w:r>
        <w:tab/>
        <w:t>Eiropas Parlamenta un Padomes 2008. gada 19. novembra Direktīva 2008/98/EK par atkritumiem un par dažu direktīvu atcelšanu (OV L 312, 22.11.2008., 3. lpp.).</w:t>
      </w:r>
    </w:p>
  </w:footnote>
  <w:footnote w:id="21">
    <w:p>
      <w:pPr>
        <w:pStyle w:val="FootnoteText"/>
      </w:pPr>
      <w:r>
        <w:rPr>
          <w:rStyle w:val="FootnoteReference"/>
        </w:rPr>
        <w:footnoteRef/>
      </w:r>
      <w:r>
        <w:tab/>
        <w:t>Eiropas Parlamenta un Padomes 2009. gada 21. oktobra Regula (EK) Nr. 1107/2009 par augu aizsardzības līdzekļu laišanu tirgū, ar ko atceļ Padomes Direktīvas 79/117/EEK un 91/414/EEK (OV L 309, 24.11.2009., 1. lpp.).</w:t>
      </w:r>
    </w:p>
  </w:footnote>
  <w:footnote w:id="22">
    <w:p>
      <w:pPr>
        <w:pStyle w:val="FootnoteText"/>
      </w:pPr>
      <w:r>
        <w:rPr>
          <w:rStyle w:val="FootnoteReference"/>
        </w:rPr>
        <w:footnoteRef/>
      </w:r>
      <w:r>
        <w:tab/>
        <w:t>Padomes 1986. gada 12. jūnija Direktīva 86/278/EEK par vides, jo īpaši augsnes, aizsardzību, lauksaimniecībā izmantojot notekūdeņu dūņas (OV L 181, 4.7.1986., 6. lpp.).</w:t>
      </w:r>
    </w:p>
  </w:footnote>
  <w:footnote w:id="23">
    <w:p>
      <w:pPr>
        <w:pStyle w:val="FootnoteText"/>
      </w:pPr>
      <w:r>
        <w:rPr>
          <w:rStyle w:val="FootnoteReference"/>
        </w:rPr>
        <w:footnoteRef/>
      </w:r>
      <w:r>
        <w:tab/>
        <w:t>Padomes 1989. gada 12. jūnija Direktīva 89/391/EEK par pasākumiem, kas ieviešami, lai uzlabotu darba ņēmēju drošību un veselības aizsardzību darbā (OV L 183, 29.6.1989., 1. lpp.).</w:t>
      </w:r>
    </w:p>
  </w:footnote>
  <w:footnote w:id="24">
    <w:p>
      <w:pPr>
        <w:pStyle w:val="FootnoteText"/>
      </w:pPr>
      <w:r>
        <w:rPr>
          <w:rStyle w:val="FootnoteReference"/>
        </w:rPr>
        <w:footnoteRef/>
      </w:r>
      <w:r>
        <w:tab/>
        <w:t>Eiropas Parlamenta un Padomes 2006. gada 18. decembra Regula (EK) Nr. 1907/2006, kas attiecas uz ķimikāliju reģistrēšanu, vērtēšanu, licencēšanu un ierobežošanu (</w:t>
      </w:r>
      <w:r>
        <w:rPr>
          <w:i/>
        </w:rPr>
        <w:t>REACH</w:t>
      </w:r>
      <w:r>
        <w:t>) (OV L 396, 30.12.2006., 1. lpp.).</w:t>
      </w:r>
    </w:p>
  </w:footnote>
  <w:footnote w:id="25">
    <w:p>
      <w:pPr>
        <w:pStyle w:val="FootnoteText"/>
      </w:pPr>
      <w:r>
        <w:rPr>
          <w:rStyle w:val="FootnoteReference"/>
        </w:rPr>
        <w:footnoteRef/>
      </w:r>
      <w:r>
        <w:tab/>
        <w:t>Eiropas Parlamenta un Padomes 2008. gada 16. decembra Regula (EK) Nr. 1272/2008 par vielu un maisījumu klasificēšanu, marķēšanu un iepakošanu (OV L 353, 31.12.2008., 1. lpp.).</w:t>
      </w:r>
    </w:p>
  </w:footnote>
  <w:footnote w:id="26">
    <w:p>
      <w:pPr>
        <w:pStyle w:val="FootnoteText"/>
      </w:pPr>
      <w:r>
        <w:rPr>
          <w:rStyle w:val="FootnoteReference"/>
        </w:rPr>
        <w:footnoteRef/>
      </w:r>
      <w:r>
        <w:tab/>
        <w:t>Komisijas 2006. gada 19. decembra Regula (EK) Nr. 1881/2006, ar ko nosaka konkrētu piesārņotāju maksimāli pieļaujamo koncentrāciju pārtikas produktos (OV L 364, 20.12.2006., 5. lpp.).</w:t>
      </w:r>
    </w:p>
  </w:footnote>
  <w:footnote w:id="27">
    <w:p>
      <w:pPr>
        <w:pStyle w:val="FootnoteText"/>
      </w:pPr>
      <w:r>
        <w:rPr>
          <w:rStyle w:val="FootnoteReference"/>
        </w:rPr>
        <w:footnoteRef/>
      </w:r>
      <w:r>
        <w:tab/>
        <w:t>Padomes 2000. gada 8. maija Direktīva 2000/29/EK par aizsardzības pasākumiem pret tādu organismu ievešanu, kas kaitīgi augiem vai augu produktiem, un pret to izplatību Kopienā (OV L 169, 10.7.2000., 1. lpp.).</w:t>
      </w:r>
    </w:p>
  </w:footnote>
  <w:footnote w:id="28">
    <w:p>
      <w:pPr>
        <w:pStyle w:val="FootnoteText"/>
      </w:pPr>
      <w:r>
        <w:rPr>
          <w:rStyle w:val="FootnoteReference"/>
        </w:rPr>
        <w:footnoteRef/>
      </w:r>
      <w:r>
        <w:tab/>
        <w:t>Eiropas Parlamenta un Padomes 2013. gada 15. janvāra Regula (ES) Nr. 98/2013 par sprāgstvielu prekursoru tirdzniecību un lietošanu (OV L 39, 9.2.2013., 1. lpp.).</w:t>
      </w:r>
    </w:p>
  </w:footnote>
  <w:footnote w:id="29">
    <w:p>
      <w:pPr>
        <w:pStyle w:val="FootnoteText"/>
      </w:pPr>
      <w:r>
        <w:rPr>
          <w:rStyle w:val="FootnoteReference"/>
        </w:rPr>
        <w:footnoteRef/>
      </w:r>
      <w:r>
        <w:tab/>
        <w:t>Eiropas Parlamenta un Padomes 2014. gada 22. oktobra Regula (ES) Nr. 1143/2014 par invazīvu svešzemju sugu introdukcijas un izplatīšanās profilaksi un pārvaldību (OV L 317, 4.11.2014., 35. lpp.).</w:t>
      </w:r>
    </w:p>
  </w:footnote>
  <w:footnote w:id="30">
    <w:p>
      <w:pPr>
        <w:pStyle w:val="FootnoteText"/>
      </w:pPr>
      <w:r>
        <w:rPr>
          <w:rStyle w:val="FootnoteReference"/>
        </w:rPr>
        <w:footnoteRef/>
      </w:r>
      <w:r>
        <w:tab/>
        <w:t>Eiropas Parlamenta un Padomes 2012. gada 25. oktobra Regula (ES) Nr. 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 (OV L 316, 14.11.2012., 12. lpp.).</w:t>
      </w:r>
    </w:p>
  </w:footnote>
  <w:footnote w:id="31">
    <w:p>
      <w:pPr>
        <w:pStyle w:val="FootnoteText"/>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9"/>
  </w:num>
  <w:num w:numId="28">
    <w:abstractNumId w:val="6"/>
  </w:num>
  <w:num w:numId="29">
    <w:abstractNumId w:val="2"/>
  </w:num>
  <w:num w:numId="30">
    <w:abstractNumId w:val="1"/>
  </w:num>
  <w:num w:numId="31">
    <w:abstractNumId w:val="23"/>
  </w:num>
  <w:num w:numId="32">
    <w:abstractNumId w:val="25"/>
  </w:num>
  <w:num w:numId="33">
    <w:abstractNumId w:val="24"/>
  </w:num>
  <w:num w:numId="34">
    <w:abstractNumId w:val="27"/>
  </w:num>
  <w:num w:numId="35">
    <w:abstractNumId w:val="5"/>
  </w:num>
  <w:num w:numId="36">
    <w:abstractNumId w:val="11"/>
  </w:num>
  <w:num w:numId="37">
    <w:abstractNumId w:val="15"/>
  </w:num>
  <w:num w:numId="38">
    <w:abstractNumId w:val="13"/>
  </w:num>
  <w:num w:numId="39">
    <w:abstractNumId w:val="0"/>
  </w:num>
  <w:num w:numId="40">
    <w:abstractNumId w:val="1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num>
  <w:num w:numId="63">
    <w:abstractNumId w:val="19"/>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10"/>
  </w:num>
  <w:num w:numId="67">
    <w:abstractNumId w:val="26"/>
  </w:num>
  <w:num w:numId="68">
    <w:abstractNumId w:val="8"/>
  </w:num>
  <w:num w:numId="69">
    <w:abstractNumId w:val="12"/>
  </w:num>
  <w:num w:numId="70">
    <w:abstractNumId w:val="4"/>
  </w:num>
  <w:num w:numId="71">
    <w:abstractNumId w:val="22"/>
  </w:num>
  <w:num w:numId="72">
    <w:abstractNumId w:val="3"/>
  </w:num>
  <w:num w:numId="73">
    <w:abstractNumId w:val="14"/>
  </w:num>
  <w:num w:numId="74">
    <w:abstractNumId w:val="19"/>
  </w:num>
  <w:num w:numId="75">
    <w:abstractNumId w:val="20"/>
  </w:num>
  <w:num w:numId="76">
    <w:abstractNumId w:val="7"/>
  </w:num>
  <w:num w:numId="77">
    <w:abstractNumId w:val="18"/>
  </w:num>
  <w:num w:numId="78">
    <w:abstractNumId w:val="2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6 13:12:0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ADBB42E504F4751B9EA280DFF2DCAA5"/>
    <w:docVar w:name="LW_CROSSREFERENCE" w:val="{SWD(2016) 64 final}_x000b_{SWD(2016) 65 final}"/>
    <w:docVar w:name="LW_DocType" w:val="COM"/>
    <w:docVar w:name="LW_EMISSION" w:val="17.3.2016"/>
    <w:docVar w:name="LW_EMISSION_ISODATE" w:val="2016-03-17"/>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84"/>
    <w:docVar w:name="LW_REF.II.NEW.CP_YEAR" w:val="2016"/>
    <w:docVar w:name="LW_REF.INST.NEW" w:val="COM"/>
    <w:docVar w:name="LW_REF.INST.NEW_ADOPTED" w:val="final"/>
    <w:docVar w:name="LW_REF.INST.NEW_TEXT" w:val="(2016) 157"/>
    <w:docVar w:name="LW_REF.INTERNE" w:val="&lt;UNUSED&gt;"/>
    <w:docVar w:name="LW_SOUS.TITRE.OBJ.CP" w:val="&lt;UNUSED&gt;"/>
    <w:docVar w:name="LW_STATUT.CP" w:val="Priek\u353?likums"/>
    <w:docVar w:name="LW_SUPERTITRE" w:val="Aprites ekonomikas pakete"/>
    <w:docVar w:name="LW_TITRE.OBJ.CP" w:val="ar ko nosaka noteikumus par to, k\u257? CE-mar\u311?\u275?tus m\u275?slo\u353?anas l\u299?dzek\u316?us dar\u299?t pieejamus tirg\u363?, un groza Regulas (EK) Nr. 1069/2009 un (EK) Nr. 1107/2009"/>
    <w:docVar w:name="LW_TITRE.OBJ_CONTENT_FMTD" w:val="ar ko nosaka noteikumus par to, k\u257? &lt;FMT:italic&gt;CE&lt;/FMT&gt;-mar\u311?\u275?tus m\u275?slo\u353?anas l\u299?dzek\u316?us dar\u299?t pieejamus tirg\u363?, un groza Regulas (EK) Nr. 1069/2009 un (EK) Nr. 1107/2009"/>
    <w:docVar w:name="LW_TITRE.OBJ_USEMAINTEXTFORCP" w:val="1"/>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6"/>
      </w:numPr>
      <w:spacing w:before="0" w:after="240"/>
    </w:pPr>
    <w:rPr>
      <w:rFonts w:eastAsia="Times New Roman"/>
      <w:szCs w:val="20"/>
    </w:rPr>
  </w:style>
  <w:style w:type="paragraph" w:styleId="ListBullet2">
    <w:name w:val="List Bullet 2"/>
    <w:basedOn w:val="Text2"/>
    <w:pPr>
      <w:numPr>
        <w:numId w:val="28"/>
      </w:numPr>
      <w:spacing w:before="0" w:after="240"/>
    </w:pPr>
    <w:rPr>
      <w:rFonts w:eastAsia="Times New Roman"/>
      <w:szCs w:val="20"/>
    </w:rPr>
  </w:style>
  <w:style w:type="paragraph" w:styleId="ListBullet3">
    <w:name w:val="List Bullet 3"/>
    <w:basedOn w:val="Text3"/>
    <w:pPr>
      <w:numPr>
        <w:numId w:val="29"/>
      </w:numPr>
      <w:spacing w:before="0" w:after="240"/>
    </w:pPr>
    <w:rPr>
      <w:rFonts w:eastAsia="Times New Roman"/>
      <w:szCs w:val="20"/>
    </w:rPr>
  </w:style>
  <w:style w:type="paragraph" w:styleId="ListBullet4">
    <w:name w:val="List Bullet 4"/>
    <w:basedOn w:val="Text4"/>
    <w:pPr>
      <w:numPr>
        <w:numId w:val="30"/>
      </w:numPr>
      <w:spacing w:before="0" w:after="240"/>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27"/>
      </w:numPr>
      <w:spacing w:before="0" w:after="240"/>
    </w:pPr>
    <w:rPr>
      <w:rFonts w:eastAsia="Times New Roman"/>
      <w:szCs w:val="20"/>
    </w:rPr>
  </w:style>
  <w:style w:type="paragraph" w:customStyle="1" w:styleId="ListDash">
    <w:name w:val="List Dash"/>
    <w:basedOn w:val="Normal"/>
    <w:pPr>
      <w:numPr>
        <w:numId w:val="31"/>
      </w:numPr>
      <w:spacing w:before="0" w:after="240"/>
    </w:pPr>
    <w:rPr>
      <w:rFonts w:eastAsia="Times New Roman"/>
      <w:szCs w:val="20"/>
    </w:rPr>
  </w:style>
  <w:style w:type="paragraph" w:customStyle="1" w:styleId="ListDash1">
    <w:name w:val="List Dash 1"/>
    <w:basedOn w:val="Text1"/>
    <w:pPr>
      <w:numPr>
        <w:numId w:val="32"/>
      </w:numPr>
      <w:spacing w:before="0" w:after="240"/>
    </w:pPr>
    <w:rPr>
      <w:rFonts w:eastAsia="Times New Roman"/>
      <w:szCs w:val="20"/>
    </w:rPr>
  </w:style>
  <w:style w:type="paragraph" w:customStyle="1" w:styleId="ListDash2">
    <w:name w:val="List Dash 2"/>
    <w:basedOn w:val="Text2"/>
    <w:pPr>
      <w:numPr>
        <w:numId w:val="33"/>
      </w:numPr>
      <w:spacing w:before="0" w:after="240"/>
    </w:pPr>
    <w:rPr>
      <w:rFonts w:eastAsia="Times New Roman"/>
      <w:szCs w:val="20"/>
    </w:rPr>
  </w:style>
  <w:style w:type="paragraph" w:customStyle="1" w:styleId="ListDash3">
    <w:name w:val="List Dash 3"/>
    <w:basedOn w:val="Text3"/>
    <w:pPr>
      <w:numPr>
        <w:numId w:val="34"/>
      </w:numPr>
      <w:spacing w:before="0" w:after="240"/>
    </w:pPr>
    <w:rPr>
      <w:rFonts w:eastAsia="Times New Roman"/>
      <w:szCs w:val="20"/>
    </w:rPr>
  </w:style>
  <w:style w:type="paragraph" w:customStyle="1" w:styleId="ListDash4">
    <w:name w:val="List Dash 4"/>
    <w:basedOn w:val="Text4"/>
    <w:pPr>
      <w:numPr>
        <w:numId w:val="35"/>
      </w:numPr>
      <w:spacing w:before="0" w:after="240"/>
    </w:pPr>
    <w:rPr>
      <w:rFonts w:eastAsia="Times New Roman"/>
      <w:szCs w:val="20"/>
    </w:rPr>
  </w:style>
  <w:style w:type="paragraph" w:styleId="ListNumber">
    <w:name w:val="List Number"/>
    <w:basedOn w:val="Normal"/>
    <w:pPr>
      <w:numPr>
        <w:numId w:val="36"/>
      </w:numPr>
      <w:spacing w:before="0" w:after="240"/>
    </w:pPr>
    <w:rPr>
      <w:rFonts w:eastAsia="Times New Roman"/>
      <w:szCs w:val="20"/>
    </w:rPr>
  </w:style>
  <w:style w:type="paragraph" w:customStyle="1" w:styleId="ListNumber1">
    <w:name w:val="List Number 1"/>
    <w:basedOn w:val="Text1"/>
    <w:pPr>
      <w:numPr>
        <w:numId w:val="37"/>
      </w:numPr>
      <w:spacing w:before="0" w:after="240"/>
    </w:pPr>
    <w:rPr>
      <w:rFonts w:eastAsia="Times New Roman"/>
      <w:szCs w:val="20"/>
    </w:rPr>
  </w:style>
  <w:style w:type="paragraph" w:styleId="ListNumber2">
    <w:name w:val="List Number 2"/>
    <w:basedOn w:val="Text2"/>
    <w:pPr>
      <w:numPr>
        <w:numId w:val="38"/>
      </w:numPr>
      <w:spacing w:before="0" w:after="240"/>
    </w:pPr>
    <w:rPr>
      <w:rFonts w:eastAsia="Times New Roman"/>
      <w:szCs w:val="20"/>
    </w:rPr>
  </w:style>
  <w:style w:type="paragraph" w:styleId="ListNumber3">
    <w:name w:val="List Number 3"/>
    <w:basedOn w:val="Text3"/>
    <w:pPr>
      <w:numPr>
        <w:numId w:val="39"/>
      </w:numPr>
      <w:spacing w:before="0" w:after="240"/>
    </w:pPr>
    <w:rPr>
      <w:rFonts w:eastAsia="Times New Roman"/>
      <w:szCs w:val="20"/>
    </w:rPr>
  </w:style>
  <w:style w:type="paragraph" w:styleId="ListNumber4">
    <w:name w:val="List Number 4"/>
    <w:basedOn w:val="Text4"/>
    <w:pPr>
      <w:numPr>
        <w:numId w:val="40"/>
      </w:numPr>
      <w:spacing w:before="0" w:after="240"/>
    </w:pPr>
    <w:rPr>
      <w:rFonts w:eastAsia="Times New Roman"/>
      <w:szCs w:val="20"/>
    </w:rPr>
  </w:style>
  <w:style w:type="paragraph" w:customStyle="1" w:styleId="ListNumberLevel2">
    <w:name w:val="List Number (Level 2)"/>
    <w:basedOn w:val="Normal"/>
    <w:pPr>
      <w:numPr>
        <w:ilvl w:val="1"/>
        <w:numId w:val="36"/>
      </w:numPr>
      <w:spacing w:before="0" w:after="240"/>
    </w:pPr>
    <w:rPr>
      <w:rFonts w:eastAsia="Times New Roman"/>
      <w:szCs w:val="20"/>
    </w:rPr>
  </w:style>
  <w:style w:type="paragraph" w:customStyle="1" w:styleId="ListNumber1Level2">
    <w:name w:val="List Number 1 (Level 2)"/>
    <w:basedOn w:val="Text1"/>
    <w:pPr>
      <w:numPr>
        <w:ilvl w:val="1"/>
        <w:numId w:val="37"/>
      </w:numPr>
      <w:spacing w:before="0" w:after="240"/>
    </w:pPr>
    <w:rPr>
      <w:rFonts w:eastAsia="Times New Roman"/>
      <w:szCs w:val="20"/>
    </w:rPr>
  </w:style>
  <w:style w:type="paragraph" w:customStyle="1" w:styleId="ListNumber2Level2">
    <w:name w:val="List Number 2 (Level 2)"/>
    <w:basedOn w:val="Text2"/>
    <w:pPr>
      <w:numPr>
        <w:ilvl w:val="1"/>
        <w:numId w:val="38"/>
      </w:numPr>
      <w:spacing w:before="0" w:after="240"/>
    </w:pPr>
    <w:rPr>
      <w:rFonts w:eastAsia="Times New Roman"/>
      <w:szCs w:val="20"/>
    </w:rPr>
  </w:style>
  <w:style w:type="paragraph" w:customStyle="1" w:styleId="ListNumber3Level2">
    <w:name w:val="List Number 3 (Level 2)"/>
    <w:basedOn w:val="Text3"/>
    <w:pPr>
      <w:numPr>
        <w:ilvl w:val="1"/>
        <w:numId w:val="39"/>
      </w:numPr>
      <w:spacing w:before="0" w:after="240"/>
    </w:pPr>
    <w:rPr>
      <w:rFonts w:eastAsia="Times New Roman"/>
      <w:szCs w:val="20"/>
    </w:rPr>
  </w:style>
  <w:style w:type="paragraph" w:customStyle="1" w:styleId="ListNumber4Level2">
    <w:name w:val="List Number 4 (Level 2)"/>
    <w:basedOn w:val="Text4"/>
    <w:pPr>
      <w:numPr>
        <w:ilvl w:val="1"/>
        <w:numId w:val="40"/>
      </w:numPr>
      <w:spacing w:before="0" w:after="240"/>
    </w:pPr>
    <w:rPr>
      <w:rFonts w:eastAsia="Times New Roman"/>
      <w:szCs w:val="20"/>
    </w:rPr>
  </w:style>
  <w:style w:type="paragraph" w:customStyle="1" w:styleId="ListNumberLevel3">
    <w:name w:val="List Number (Level 3)"/>
    <w:basedOn w:val="Normal"/>
    <w:pPr>
      <w:numPr>
        <w:ilvl w:val="2"/>
        <w:numId w:val="36"/>
      </w:numPr>
      <w:spacing w:before="0" w:after="240"/>
    </w:pPr>
    <w:rPr>
      <w:rFonts w:eastAsia="Times New Roman"/>
      <w:szCs w:val="20"/>
    </w:rPr>
  </w:style>
  <w:style w:type="paragraph" w:customStyle="1" w:styleId="ListNumber1Level3">
    <w:name w:val="List Number 1 (Level 3)"/>
    <w:basedOn w:val="Text1"/>
    <w:pPr>
      <w:numPr>
        <w:ilvl w:val="2"/>
        <w:numId w:val="37"/>
      </w:numPr>
      <w:spacing w:before="0" w:after="240"/>
    </w:pPr>
    <w:rPr>
      <w:rFonts w:eastAsia="Times New Roman"/>
      <w:szCs w:val="20"/>
    </w:rPr>
  </w:style>
  <w:style w:type="paragraph" w:customStyle="1" w:styleId="ListNumber2Level3">
    <w:name w:val="List Number 2 (Level 3)"/>
    <w:basedOn w:val="Text2"/>
    <w:pPr>
      <w:numPr>
        <w:ilvl w:val="2"/>
        <w:numId w:val="38"/>
      </w:numPr>
      <w:spacing w:before="0" w:after="240"/>
    </w:pPr>
    <w:rPr>
      <w:rFonts w:eastAsia="Times New Roman"/>
      <w:szCs w:val="20"/>
    </w:rPr>
  </w:style>
  <w:style w:type="paragraph" w:customStyle="1" w:styleId="ListNumber3Level3">
    <w:name w:val="List Number 3 (Level 3)"/>
    <w:basedOn w:val="Text3"/>
    <w:pPr>
      <w:numPr>
        <w:ilvl w:val="2"/>
        <w:numId w:val="39"/>
      </w:numPr>
      <w:spacing w:before="0" w:after="240"/>
    </w:pPr>
    <w:rPr>
      <w:rFonts w:eastAsia="Times New Roman"/>
      <w:szCs w:val="20"/>
    </w:rPr>
  </w:style>
  <w:style w:type="paragraph" w:customStyle="1" w:styleId="ListNumber4Level3">
    <w:name w:val="List Number 4 (Level 3)"/>
    <w:basedOn w:val="Text4"/>
    <w:pPr>
      <w:numPr>
        <w:ilvl w:val="2"/>
        <w:numId w:val="40"/>
      </w:numPr>
      <w:spacing w:before="0" w:after="240"/>
    </w:pPr>
    <w:rPr>
      <w:rFonts w:eastAsia="Times New Roman"/>
      <w:szCs w:val="20"/>
    </w:rPr>
  </w:style>
  <w:style w:type="paragraph" w:customStyle="1" w:styleId="ListNumberLevel4">
    <w:name w:val="List Number (Level 4)"/>
    <w:basedOn w:val="Normal"/>
    <w:pPr>
      <w:numPr>
        <w:ilvl w:val="3"/>
        <w:numId w:val="36"/>
      </w:numPr>
      <w:spacing w:before="0" w:after="240"/>
    </w:pPr>
    <w:rPr>
      <w:rFonts w:eastAsia="Times New Roman"/>
      <w:szCs w:val="20"/>
    </w:rPr>
  </w:style>
  <w:style w:type="paragraph" w:customStyle="1" w:styleId="ListNumber1Level4">
    <w:name w:val="List Number 1 (Level 4)"/>
    <w:basedOn w:val="Text1"/>
    <w:pPr>
      <w:numPr>
        <w:ilvl w:val="3"/>
        <w:numId w:val="37"/>
      </w:numPr>
      <w:spacing w:before="0" w:after="240"/>
    </w:pPr>
    <w:rPr>
      <w:rFonts w:eastAsia="Times New Roman"/>
      <w:szCs w:val="20"/>
    </w:rPr>
  </w:style>
  <w:style w:type="paragraph" w:customStyle="1" w:styleId="ListNumber2Level4">
    <w:name w:val="List Number 2 (Level 4)"/>
    <w:basedOn w:val="Text2"/>
    <w:pPr>
      <w:numPr>
        <w:ilvl w:val="3"/>
        <w:numId w:val="38"/>
      </w:numPr>
      <w:spacing w:before="0" w:after="240"/>
    </w:pPr>
    <w:rPr>
      <w:rFonts w:eastAsia="Times New Roman"/>
      <w:szCs w:val="20"/>
    </w:rPr>
  </w:style>
  <w:style w:type="paragraph" w:customStyle="1" w:styleId="ListNumber3Level4">
    <w:name w:val="List Number 3 (Level 4)"/>
    <w:basedOn w:val="Text3"/>
    <w:pPr>
      <w:numPr>
        <w:ilvl w:val="3"/>
        <w:numId w:val="39"/>
      </w:numPr>
      <w:spacing w:before="0" w:after="240"/>
    </w:pPr>
    <w:rPr>
      <w:rFonts w:eastAsia="Times New Roman"/>
      <w:szCs w:val="20"/>
    </w:rPr>
  </w:style>
  <w:style w:type="paragraph" w:customStyle="1" w:styleId="ListNumber4Level4">
    <w:name w:val="List Number 4 (Level 4)"/>
    <w:basedOn w:val="Text4"/>
    <w:pPr>
      <w:numPr>
        <w:ilvl w:val="3"/>
        <w:numId w:val="40"/>
      </w:numPr>
      <w:spacing w:before="0" w:after="240"/>
    </w:pPr>
    <w:rPr>
      <w:rFonts w:eastAsia="Times New Roman"/>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5"/>
      </w:numPr>
    </w:pPr>
  </w:style>
  <w:style w:type="paragraph" w:customStyle="1" w:styleId="Tiret1">
    <w:name w:val="Tiret 1"/>
    <w:basedOn w:val="Point1"/>
    <w:pPr>
      <w:numPr>
        <w:numId w:val="66"/>
      </w:numPr>
    </w:pPr>
  </w:style>
  <w:style w:type="paragraph" w:customStyle="1" w:styleId="Tiret2">
    <w:name w:val="Tiret 2"/>
    <w:basedOn w:val="Point2"/>
    <w:pPr>
      <w:numPr>
        <w:numId w:val="67"/>
      </w:numPr>
    </w:pPr>
  </w:style>
  <w:style w:type="paragraph" w:customStyle="1" w:styleId="Tiret3">
    <w:name w:val="Tiret 3"/>
    <w:basedOn w:val="Point3"/>
    <w:pPr>
      <w:numPr>
        <w:numId w:val="68"/>
      </w:numPr>
    </w:pPr>
  </w:style>
  <w:style w:type="paragraph" w:customStyle="1" w:styleId="Tiret4">
    <w:name w:val="Tiret 4"/>
    <w:basedOn w:val="Point4"/>
    <w:pPr>
      <w:numPr>
        <w:numId w:val="6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0"/>
      </w:numPr>
    </w:pPr>
  </w:style>
  <w:style w:type="paragraph" w:customStyle="1" w:styleId="NumPar2">
    <w:name w:val="NumPar 2"/>
    <w:basedOn w:val="Normal"/>
    <w:next w:val="Text1"/>
    <w:pPr>
      <w:numPr>
        <w:ilvl w:val="1"/>
        <w:numId w:val="70"/>
      </w:numPr>
    </w:pPr>
  </w:style>
  <w:style w:type="paragraph" w:customStyle="1" w:styleId="NumPar3">
    <w:name w:val="NumPar 3"/>
    <w:basedOn w:val="Normal"/>
    <w:next w:val="Text1"/>
    <w:pPr>
      <w:numPr>
        <w:ilvl w:val="2"/>
        <w:numId w:val="70"/>
      </w:numPr>
    </w:pPr>
  </w:style>
  <w:style w:type="paragraph" w:customStyle="1" w:styleId="NumPar4">
    <w:name w:val="NumPar 4"/>
    <w:basedOn w:val="Normal"/>
    <w:next w:val="Text1"/>
    <w:pPr>
      <w:numPr>
        <w:ilvl w:val="3"/>
        <w:numId w:val="7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2"/>
      </w:numPr>
    </w:pPr>
  </w:style>
  <w:style w:type="paragraph" w:customStyle="1" w:styleId="Point1number">
    <w:name w:val="Point 1 (number)"/>
    <w:basedOn w:val="Normal"/>
    <w:pPr>
      <w:numPr>
        <w:ilvl w:val="2"/>
        <w:numId w:val="72"/>
      </w:numPr>
    </w:pPr>
  </w:style>
  <w:style w:type="paragraph" w:customStyle="1" w:styleId="Point2number">
    <w:name w:val="Point 2 (number)"/>
    <w:basedOn w:val="Normal"/>
    <w:pPr>
      <w:numPr>
        <w:ilvl w:val="4"/>
        <w:numId w:val="72"/>
      </w:numPr>
    </w:pPr>
  </w:style>
  <w:style w:type="paragraph" w:customStyle="1" w:styleId="Point3number">
    <w:name w:val="Point 3 (number)"/>
    <w:basedOn w:val="Normal"/>
    <w:pPr>
      <w:numPr>
        <w:ilvl w:val="6"/>
        <w:numId w:val="72"/>
      </w:numPr>
    </w:pPr>
  </w:style>
  <w:style w:type="paragraph" w:customStyle="1" w:styleId="Point0letter">
    <w:name w:val="Point 0 (letter)"/>
    <w:basedOn w:val="Normal"/>
    <w:pPr>
      <w:numPr>
        <w:ilvl w:val="1"/>
        <w:numId w:val="72"/>
      </w:numPr>
    </w:pPr>
  </w:style>
  <w:style w:type="paragraph" w:customStyle="1" w:styleId="Point1letter">
    <w:name w:val="Point 1 (letter)"/>
    <w:basedOn w:val="Normal"/>
    <w:pPr>
      <w:numPr>
        <w:ilvl w:val="3"/>
        <w:numId w:val="72"/>
      </w:numPr>
    </w:pPr>
  </w:style>
  <w:style w:type="paragraph" w:customStyle="1" w:styleId="Point2letter">
    <w:name w:val="Point 2 (letter)"/>
    <w:basedOn w:val="Normal"/>
    <w:pPr>
      <w:numPr>
        <w:ilvl w:val="5"/>
        <w:numId w:val="72"/>
      </w:numPr>
    </w:pPr>
  </w:style>
  <w:style w:type="paragraph" w:customStyle="1" w:styleId="Point3letter">
    <w:name w:val="Point 3 (letter)"/>
    <w:basedOn w:val="Normal"/>
    <w:pPr>
      <w:numPr>
        <w:ilvl w:val="7"/>
        <w:numId w:val="72"/>
      </w:numPr>
    </w:pPr>
  </w:style>
  <w:style w:type="paragraph" w:customStyle="1" w:styleId="Point4letter">
    <w:name w:val="Point 4 (letter)"/>
    <w:basedOn w:val="Normal"/>
    <w:pPr>
      <w:numPr>
        <w:ilvl w:val="8"/>
        <w:numId w:val="72"/>
      </w:numPr>
    </w:pPr>
  </w:style>
  <w:style w:type="paragraph" w:customStyle="1" w:styleId="Bullet0">
    <w:name w:val="Bullet 0"/>
    <w:basedOn w:val="Normal"/>
    <w:pPr>
      <w:numPr>
        <w:numId w:val="73"/>
      </w:numPr>
    </w:pPr>
  </w:style>
  <w:style w:type="paragraph" w:customStyle="1" w:styleId="Bullet1">
    <w:name w:val="Bullet 1"/>
    <w:basedOn w:val="Normal"/>
    <w:pPr>
      <w:numPr>
        <w:numId w:val="74"/>
      </w:numPr>
    </w:pPr>
  </w:style>
  <w:style w:type="paragraph" w:customStyle="1" w:styleId="Bullet2">
    <w:name w:val="Bullet 2"/>
    <w:basedOn w:val="Normal"/>
    <w:pPr>
      <w:numPr>
        <w:numId w:val="75"/>
      </w:numPr>
    </w:pPr>
  </w:style>
  <w:style w:type="paragraph" w:customStyle="1" w:styleId="Bullet3">
    <w:name w:val="Bullet 3"/>
    <w:basedOn w:val="Normal"/>
    <w:pPr>
      <w:numPr>
        <w:numId w:val="76"/>
      </w:numPr>
    </w:pPr>
  </w:style>
  <w:style w:type="paragraph" w:customStyle="1" w:styleId="Bullet4">
    <w:name w:val="Bullet 4"/>
    <w:basedOn w:val="Normal"/>
    <w:pPr>
      <w:numPr>
        <w:numId w:val="7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6"/>
      </w:numPr>
      <w:spacing w:before="0" w:after="240"/>
    </w:pPr>
    <w:rPr>
      <w:rFonts w:eastAsia="Times New Roman"/>
      <w:szCs w:val="20"/>
    </w:rPr>
  </w:style>
  <w:style w:type="paragraph" w:styleId="ListBullet2">
    <w:name w:val="List Bullet 2"/>
    <w:basedOn w:val="Text2"/>
    <w:pPr>
      <w:numPr>
        <w:numId w:val="28"/>
      </w:numPr>
      <w:spacing w:before="0" w:after="240"/>
    </w:pPr>
    <w:rPr>
      <w:rFonts w:eastAsia="Times New Roman"/>
      <w:szCs w:val="20"/>
    </w:rPr>
  </w:style>
  <w:style w:type="paragraph" w:styleId="ListBullet3">
    <w:name w:val="List Bullet 3"/>
    <w:basedOn w:val="Text3"/>
    <w:pPr>
      <w:numPr>
        <w:numId w:val="29"/>
      </w:numPr>
      <w:spacing w:before="0" w:after="240"/>
    </w:pPr>
    <w:rPr>
      <w:rFonts w:eastAsia="Times New Roman"/>
      <w:szCs w:val="20"/>
    </w:rPr>
  </w:style>
  <w:style w:type="paragraph" w:styleId="ListBullet4">
    <w:name w:val="List Bullet 4"/>
    <w:basedOn w:val="Text4"/>
    <w:pPr>
      <w:numPr>
        <w:numId w:val="30"/>
      </w:numPr>
      <w:spacing w:before="0" w:after="240"/>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27"/>
      </w:numPr>
      <w:spacing w:before="0" w:after="240"/>
    </w:pPr>
    <w:rPr>
      <w:rFonts w:eastAsia="Times New Roman"/>
      <w:szCs w:val="20"/>
    </w:rPr>
  </w:style>
  <w:style w:type="paragraph" w:customStyle="1" w:styleId="ListDash">
    <w:name w:val="List Dash"/>
    <w:basedOn w:val="Normal"/>
    <w:pPr>
      <w:numPr>
        <w:numId w:val="31"/>
      </w:numPr>
      <w:spacing w:before="0" w:after="240"/>
    </w:pPr>
    <w:rPr>
      <w:rFonts w:eastAsia="Times New Roman"/>
      <w:szCs w:val="20"/>
    </w:rPr>
  </w:style>
  <w:style w:type="paragraph" w:customStyle="1" w:styleId="ListDash1">
    <w:name w:val="List Dash 1"/>
    <w:basedOn w:val="Text1"/>
    <w:pPr>
      <w:numPr>
        <w:numId w:val="32"/>
      </w:numPr>
      <w:spacing w:before="0" w:after="240"/>
    </w:pPr>
    <w:rPr>
      <w:rFonts w:eastAsia="Times New Roman"/>
      <w:szCs w:val="20"/>
    </w:rPr>
  </w:style>
  <w:style w:type="paragraph" w:customStyle="1" w:styleId="ListDash2">
    <w:name w:val="List Dash 2"/>
    <w:basedOn w:val="Text2"/>
    <w:pPr>
      <w:numPr>
        <w:numId w:val="33"/>
      </w:numPr>
      <w:spacing w:before="0" w:after="240"/>
    </w:pPr>
    <w:rPr>
      <w:rFonts w:eastAsia="Times New Roman"/>
      <w:szCs w:val="20"/>
    </w:rPr>
  </w:style>
  <w:style w:type="paragraph" w:customStyle="1" w:styleId="ListDash3">
    <w:name w:val="List Dash 3"/>
    <w:basedOn w:val="Text3"/>
    <w:pPr>
      <w:numPr>
        <w:numId w:val="34"/>
      </w:numPr>
      <w:spacing w:before="0" w:after="240"/>
    </w:pPr>
    <w:rPr>
      <w:rFonts w:eastAsia="Times New Roman"/>
      <w:szCs w:val="20"/>
    </w:rPr>
  </w:style>
  <w:style w:type="paragraph" w:customStyle="1" w:styleId="ListDash4">
    <w:name w:val="List Dash 4"/>
    <w:basedOn w:val="Text4"/>
    <w:pPr>
      <w:numPr>
        <w:numId w:val="35"/>
      </w:numPr>
      <w:spacing w:before="0" w:after="240"/>
    </w:pPr>
    <w:rPr>
      <w:rFonts w:eastAsia="Times New Roman"/>
      <w:szCs w:val="20"/>
    </w:rPr>
  </w:style>
  <w:style w:type="paragraph" w:styleId="ListNumber">
    <w:name w:val="List Number"/>
    <w:basedOn w:val="Normal"/>
    <w:pPr>
      <w:numPr>
        <w:numId w:val="36"/>
      </w:numPr>
      <w:spacing w:before="0" w:after="240"/>
    </w:pPr>
    <w:rPr>
      <w:rFonts w:eastAsia="Times New Roman"/>
      <w:szCs w:val="20"/>
    </w:rPr>
  </w:style>
  <w:style w:type="paragraph" w:customStyle="1" w:styleId="ListNumber1">
    <w:name w:val="List Number 1"/>
    <w:basedOn w:val="Text1"/>
    <w:pPr>
      <w:numPr>
        <w:numId w:val="37"/>
      </w:numPr>
      <w:spacing w:before="0" w:after="240"/>
    </w:pPr>
    <w:rPr>
      <w:rFonts w:eastAsia="Times New Roman"/>
      <w:szCs w:val="20"/>
    </w:rPr>
  </w:style>
  <w:style w:type="paragraph" w:styleId="ListNumber2">
    <w:name w:val="List Number 2"/>
    <w:basedOn w:val="Text2"/>
    <w:pPr>
      <w:numPr>
        <w:numId w:val="38"/>
      </w:numPr>
      <w:spacing w:before="0" w:after="240"/>
    </w:pPr>
    <w:rPr>
      <w:rFonts w:eastAsia="Times New Roman"/>
      <w:szCs w:val="20"/>
    </w:rPr>
  </w:style>
  <w:style w:type="paragraph" w:styleId="ListNumber3">
    <w:name w:val="List Number 3"/>
    <w:basedOn w:val="Text3"/>
    <w:pPr>
      <w:numPr>
        <w:numId w:val="39"/>
      </w:numPr>
      <w:spacing w:before="0" w:after="240"/>
    </w:pPr>
    <w:rPr>
      <w:rFonts w:eastAsia="Times New Roman"/>
      <w:szCs w:val="20"/>
    </w:rPr>
  </w:style>
  <w:style w:type="paragraph" w:styleId="ListNumber4">
    <w:name w:val="List Number 4"/>
    <w:basedOn w:val="Text4"/>
    <w:pPr>
      <w:numPr>
        <w:numId w:val="40"/>
      </w:numPr>
      <w:spacing w:before="0" w:after="240"/>
    </w:pPr>
    <w:rPr>
      <w:rFonts w:eastAsia="Times New Roman"/>
      <w:szCs w:val="20"/>
    </w:rPr>
  </w:style>
  <w:style w:type="paragraph" w:customStyle="1" w:styleId="ListNumberLevel2">
    <w:name w:val="List Number (Level 2)"/>
    <w:basedOn w:val="Normal"/>
    <w:pPr>
      <w:numPr>
        <w:ilvl w:val="1"/>
        <w:numId w:val="36"/>
      </w:numPr>
      <w:spacing w:before="0" w:after="240"/>
    </w:pPr>
    <w:rPr>
      <w:rFonts w:eastAsia="Times New Roman"/>
      <w:szCs w:val="20"/>
    </w:rPr>
  </w:style>
  <w:style w:type="paragraph" w:customStyle="1" w:styleId="ListNumber1Level2">
    <w:name w:val="List Number 1 (Level 2)"/>
    <w:basedOn w:val="Text1"/>
    <w:pPr>
      <w:numPr>
        <w:ilvl w:val="1"/>
        <w:numId w:val="37"/>
      </w:numPr>
      <w:spacing w:before="0" w:after="240"/>
    </w:pPr>
    <w:rPr>
      <w:rFonts w:eastAsia="Times New Roman"/>
      <w:szCs w:val="20"/>
    </w:rPr>
  </w:style>
  <w:style w:type="paragraph" w:customStyle="1" w:styleId="ListNumber2Level2">
    <w:name w:val="List Number 2 (Level 2)"/>
    <w:basedOn w:val="Text2"/>
    <w:pPr>
      <w:numPr>
        <w:ilvl w:val="1"/>
        <w:numId w:val="38"/>
      </w:numPr>
      <w:spacing w:before="0" w:after="240"/>
    </w:pPr>
    <w:rPr>
      <w:rFonts w:eastAsia="Times New Roman"/>
      <w:szCs w:val="20"/>
    </w:rPr>
  </w:style>
  <w:style w:type="paragraph" w:customStyle="1" w:styleId="ListNumber3Level2">
    <w:name w:val="List Number 3 (Level 2)"/>
    <w:basedOn w:val="Text3"/>
    <w:pPr>
      <w:numPr>
        <w:ilvl w:val="1"/>
        <w:numId w:val="39"/>
      </w:numPr>
      <w:spacing w:before="0" w:after="240"/>
    </w:pPr>
    <w:rPr>
      <w:rFonts w:eastAsia="Times New Roman"/>
      <w:szCs w:val="20"/>
    </w:rPr>
  </w:style>
  <w:style w:type="paragraph" w:customStyle="1" w:styleId="ListNumber4Level2">
    <w:name w:val="List Number 4 (Level 2)"/>
    <w:basedOn w:val="Text4"/>
    <w:pPr>
      <w:numPr>
        <w:ilvl w:val="1"/>
        <w:numId w:val="40"/>
      </w:numPr>
      <w:spacing w:before="0" w:after="240"/>
    </w:pPr>
    <w:rPr>
      <w:rFonts w:eastAsia="Times New Roman"/>
      <w:szCs w:val="20"/>
    </w:rPr>
  </w:style>
  <w:style w:type="paragraph" w:customStyle="1" w:styleId="ListNumberLevel3">
    <w:name w:val="List Number (Level 3)"/>
    <w:basedOn w:val="Normal"/>
    <w:pPr>
      <w:numPr>
        <w:ilvl w:val="2"/>
        <w:numId w:val="36"/>
      </w:numPr>
      <w:spacing w:before="0" w:after="240"/>
    </w:pPr>
    <w:rPr>
      <w:rFonts w:eastAsia="Times New Roman"/>
      <w:szCs w:val="20"/>
    </w:rPr>
  </w:style>
  <w:style w:type="paragraph" w:customStyle="1" w:styleId="ListNumber1Level3">
    <w:name w:val="List Number 1 (Level 3)"/>
    <w:basedOn w:val="Text1"/>
    <w:pPr>
      <w:numPr>
        <w:ilvl w:val="2"/>
        <w:numId w:val="37"/>
      </w:numPr>
      <w:spacing w:before="0" w:after="240"/>
    </w:pPr>
    <w:rPr>
      <w:rFonts w:eastAsia="Times New Roman"/>
      <w:szCs w:val="20"/>
    </w:rPr>
  </w:style>
  <w:style w:type="paragraph" w:customStyle="1" w:styleId="ListNumber2Level3">
    <w:name w:val="List Number 2 (Level 3)"/>
    <w:basedOn w:val="Text2"/>
    <w:pPr>
      <w:numPr>
        <w:ilvl w:val="2"/>
        <w:numId w:val="38"/>
      </w:numPr>
      <w:spacing w:before="0" w:after="240"/>
    </w:pPr>
    <w:rPr>
      <w:rFonts w:eastAsia="Times New Roman"/>
      <w:szCs w:val="20"/>
    </w:rPr>
  </w:style>
  <w:style w:type="paragraph" w:customStyle="1" w:styleId="ListNumber3Level3">
    <w:name w:val="List Number 3 (Level 3)"/>
    <w:basedOn w:val="Text3"/>
    <w:pPr>
      <w:numPr>
        <w:ilvl w:val="2"/>
        <w:numId w:val="39"/>
      </w:numPr>
      <w:spacing w:before="0" w:after="240"/>
    </w:pPr>
    <w:rPr>
      <w:rFonts w:eastAsia="Times New Roman"/>
      <w:szCs w:val="20"/>
    </w:rPr>
  </w:style>
  <w:style w:type="paragraph" w:customStyle="1" w:styleId="ListNumber4Level3">
    <w:name w:val="List Number 4 (Level 3)"/>
    <w:basedOn w:val="Text4"/>
    <w:pPr>
      <w:numPr>
        <w:ilvl w:val="2"/>
        <w:numId w:val="40"/>
      </w:numPr>
      <w:spacing w:before="0" w:after="240"/>
    </w:pPr>
    <w:rPr>
      <w:rFonts w:eastAsia="Times New Roman"/>
      <w:szCs w:val="20"/>
    </w:rPr>
  </w:style>
  <w:style w:type="paragraph" w:customStyle="1" w:styleId="ListNumberLevel4">
    <w:name w:val="List Number (Level 4)"/>
    <w:basedOn w:val="Normal"/>
    <w:pPr>
      <w:numPr>
        <w:ilvl w:val="3"/>
        <w:numId w:val="36"/>
      </w:numPr>
      <w:spacing w:before="0" w:after="240"/>
    </w:pPr>
    <w:rPr>
      <w:rFonts w:eastAsia="Times New Roman"/>
      <w:szCs w:val="20"/>
    </w:rPr>
  </w:style>
  <w:style w:type="paragraph" w:customStyle="1" w:styleId="ListNumber1Level4">
    <w:name w:val="List Number 1 (Level 4)"/>
    <w:basedOn w:val="Text1"/>
    <w:pPr>
      <w:numPr>
        <w:ilvl w:val="3"/>
        <w:numId w:val="37"/>
      </w:numPr>
      <w:spacing w:before="0" w:after="240"/>
    </w:pPr>
    <w:rPr>
      <w:rFonts w:eastAsia="Times New Roman"/>
      <w:szCs w:val="20"/>
    </w:rPr>
  </w:style>
  <w:style w:type="paragraph" w:customStyle="1" w:styleId="ListNumber2Level4">
    <w:name w:val="List Number 2 (Level 4)"/>
    <w:basedOn w:val="Text2"/>
    <w:pPr>
      <w:numPr>
        <w:ilvl w:val="3"/>
        <w:numId w:val="38"/>
      </w:numPr>
      <w:spacing w:before="0" w:after="240"/>
    </w:pPr>
    <w:rPr>
      <w:rFonts w:eastAsia="Times New Roman"/>
      <w:szCs w:val="20"/>
    </w:rPr>
  </w:style>
  <w:style w:type="paragraph" w:customStyle="1" w:styleId="ListNumber3Level4">
    <w:name w:val="List Number 3 (Level 4)"/>
    <w:basedOn w:val="Text3"/>
    <w:pPr>
      <w:numPr>
        <w:ilvl w:val="3"/>
        <w:numId w:val="39"/>
      </w:numPr>
      <w:spacing w:before="0" w:after="240"/>
    </w:pPr>
    <w:rPr>
      <w:rFonts w:eastAsia="Times New Roman"/>
      <w:szCs w:val="20"/>
    </w:rPr>
  </w:style>
  <w:style w:type="paragraph" w:customStyle="1" w:styleId="ListNumber4Level4">
    <w:name w:val="List Number 4 (Level 4)"/>
    <w:basedOn w:val="Text4"/>
    <w:pPr>
      <w:numPr>
        <w:ilvl w:val="3"/>
        <w:numId w:val="40"/>
      </w:numPr>
      <w:spacing w:before="0" w:after="240"/>
    </w:pPr>
    <w:rPr>
      <w:rFonts w:eastAsia="Times New Roman"/>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5"/>
      </w:numPr>
    </w:pPr>
  </w:style>
  <w:style w:type="paragraph" w:customStyle="1" w:styleId="Tiret1">
    <w:name w:val="Tiret 1"/>
    <w:basedOn w:val="Point1"/>
    <w:pPr>
      <w:numPr>
        <w:numId w:val="66"/>
      </w:numPr>
    </w:pPr>
  </w:style>
  <w:style w:type="paragraph" w:customStyle="1" w:styleId="Tiret2">
    <w:name w:val="Tiret 2"/>
    <w:basedOn w:val="Point2"/>
    <w:pPr>
      <w:numPr>
        <w:numId w:val="67"/>
      </w:numPr>
    </w:pPr>
  </w:style>
  <w:style w:type="paragraph" w:customStyle="1" w:styleId="Tiret3">
    <w:name w:val="Tiret 3"/>
    <w:basedOn w:val="Point3"/>
    <w:pPr>
      <w:numPr>
        <w:numId w:val="68"/>
      </w:numPr>
    </w:pPr>
  </w:style>
  <w:style w:type="paragraph" w:customStyle="1" w:styleId="Tiret4">
    <w:name w:val="Tiret 4"/>
    <w:basedOn w:val="Point4"/>
    <w:pPr>
      <w:numPr>
        <w:numId w:val="6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0"/>
      </w:numPr>
    </w:pPr>
  </w:style>
  <w:style w:type="paragraph" w:customStyle="1" w:styleId="NumPar2">
    <w:name w:val="NumPar 2"/>
    <w:basedOn w:val="Normal"/>
    <w:next w:val="Text1"/>
    <w:pPr>
      <w:numPr>
        <w:ilvl w:val="1"/>
        <w:numId w:val="70"/>
      </w:numPr>
    </w:pPr>
  </w:style>
  <w:style w:type="paragraph" w:customStyle="1" w:styleId="NumPar3">
    <w:name w:val="NumPar 3"/>
    <w:basedOn w:val="Normal"/>
    <w:next w:val="Text1"/>
    <w:pPr>
      <w:numPr>
        <w:ilvl w:val="2"/>
        <w:numId w:val="70"/>
      </w:numPr>
    </w:pPr>
  </w:style>
  <w:style w:type="paragraph" w:customStyle="1" w:styleId="NumPar4">
    <w:name w:val="NumPar 4"/>
    <w:basedOn w:val="Normal"/>
    <w:next w:val="Text1"/>
    <w:pPr>
      <w:numPr>
        <w:ilvl w:val="3"/>
        <w:numId w:val="7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2"/>
      </w:numPr>
    </w:pPr>
  </w:style>
  <w:style w:type="paragraph" w:customStyle="1" w:styleId="Point1number">
    <w:name w:val="Point 1 (number)"/>
    <w:basedOn w:val="Normal"/>
    <w:pPr>
      <w:numPr>
        <w:ilvl w:val="2"/>
        <w:numId w:val="72"/>
      </w:numPr>
    </w:pPr>
  </w:style>
  <w:style w:type="paragraph" w:customStyle="1" w:styleId="Point2number">
    <w:name w:val="Point 2 (number)"/>
    <w:basedOn w:val="Normal"/>
    <w:pPr>
      <w:numPr>
        <w:ilvl w:val="4"/>
        <w:numId w:val="72"/>
      </w:numPr>
    </w:pPr>
  </w:style>
  <w:style w:type="paragraph" w:customStyle="1" w:styleId="Point3number">
    <w:name w:val="Point 3 (number)"/>
    <w:basedOn w:val="Normal"/>
    <w:pPr>
      <w:numPr>
        <w:ilvl w:val="6"/>
        <w:numId w:val="72"/>
      </w:numPr>
    </w:pPr>
  </w:style>
  <w:style w:type="paragraph" w:customStyle="1" w:styleId="Point0letter">
    <w:name w:val="Point 0 (letter)"/>
    <w:basedOn w:val="Normal"/>
    <w:pPr>
      <w:numPr>
        <w:ilvl w:val="1"/>
        <w:numId w:val="72"/>
      </w:numPr>
    </w:pPr>
  </w:style>
  <w:style w:type="paragraph" w:customStyle="1" w:styleId="Point1letter">
    <w:name w:val="Point 1 (letter)"/>
    <w:basedOn w:val="Normal"/>
    <w:pPr>
      <w:numPr>
        <w:ilvl w:val="3"/>
        <w:numId w:val="72"/>
      </w:numPr>
    </w:pPr>
  </w:style>
  <w:style w:type="paragraph" w:customStyle="1" w:styleId="Point2letter">
    <w:name w:val="Point 2 (letter)"/>
    <w:basedOn w:val="Normal"/>
    <w:pPr>
      <w:numPr>
        <w:ilvl w:val="5"/>
        <w:numId w:val="72"/>
      </w:numPr>
    </w:pPr>
  </w:style>
  <w:style w:type="paragraph" w:customStyle="1" w:styleId="Point3letter">
    <w:name w:val="Point 3 (letter)"/>
    <w:basedOn w:val="Normal"/>
    <w:pPr>
      <w:numPr>
        <w:ilvl w:val="7"/>
        <w:numId w:val="72"/>
      </w:numPr>
    </w:pPr>
  </w:style>
  <w:style w:type="paragraph" w:customStyle="1" w:styleId="Point4letter">
    <w:name w:val="Point 4 (letter)"/>
    <w:basedOn w:val="Normal"/>
    <w:pPr>
      <w:numPr>
        <w:ilvl w:val="8"/>
        <w:numId w:val="72"/>
      </w:numPr>
    </w:pPr>
  </w:style>
  <w:style w:type="paragraph" w:customStyle="1" w:styleId="Bullet0">
    <w:name w:val="Bullet 0"/>
    <w:basedOn w:val="Normal"/>
    <w:pPr>
      <w:numPr>
        <w:numId w:val="73"/>
      </w:numPr>
    </w:pPr>
  </w:style>
  <w:style w:type="paragraph" w:customStyle="1" w:styleId="Bullet1">
    <w:name w:val="Bullet 1"/>
    <w:basedOn w:val="Normal"/>
    <w:pPr>
      <w:numPr>
        <w:numId w:val="74"/>
      </w:numPr>
    </w:pPr>
  </w:style>
  <w:style w:type="paragraph" w:customStyle="1" w:styleId="Bullet2">
    <w:name w:val="Bullet 2"/>
    <w:basedOn w:val="Normal"/>
    <w:pPr>
      <w:numPr>
        <w:numId w:val="75"/>
      </w:numPr>
    </w:pPr>
  </w:style>
  <w:style w:type="paragraph" w:customStyle="1" w:styleId="Bullet3">
    <w:name w:val="Bullet 3"/>
    <w:basedOn w:val="Normal"/>
    <w:pPr>
      <w:numPr>
        <w:numId w:val="76"/>
      </w:numPr>
    </w:pPr>
  </w:style>
  <w:style w:type="paragraph" w:customStyle="1" w:styleId="Bullet4">
    <w:name w:val="Bullet 4"/>
    <w:basedOn w:val="Normal"/>
    <w:pPr>
      <w:numPr>
        <w:numId w:val="7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bi-europe.eu/sites/default/files/documents/BBI_JU_annual_Work_plan_2014.pdf" TargetMode="External"/><Relationship Id="rId7" Type="http://schemas.openxmlformats.org/officeDocument/2006/relationships/hyperlink" Target="http://bookshop.europa.eu/en/circular-approaches-to-phosphorus-pbKI0115204/" TargetMode="External"/><Relationship Id="rId2" Type="http://schemas.openxmlformats.org/officeDocument/2006/relationships/hyperlink" Target="http://ec.europa.eu/research/bioeconomy/index.cfm" TargetMode="External"/><Relationship Id="rId1" Type="http://schemas.openxmlformats.org/officeDocument/2006/relationships/hyperlink" Target="http://ec.europa.eu/enterprise/sectors/chemicals/files/fertilizers/final_report_2010_en.pdf" TargetMode="External"/><Relationship Id="rId6" Type="http://schemas.openxmlformats.org/officeDocument/2006/relationships/hyperlink" Target="http://ec.europa.eu/enterprise/sectors/chemicals/files/fertilizers/final_report__23jan2012_en.pdf" TargetMode="External"/><Relationship Id="rId5" Type="http://schemas.openxmlformats.org/officeDocument/2006/relationships/hyperlink" Target="http://ec.europa.eu/smart-regulation/roadmaps/docs/2012_grow_001_fertilisers_en.pdf" TargetMode="External"/><Relationship Id="rId4" Type="http://schemas.openxmlformats.org/officeDocument/2006/relationships/hyperlink" Target="http://ec.europa.eu/transparency/regexpert/index.cfm?do=groupDetail.groupDetail&amp;groupID=1320&amp;NewSearch=1&amp;NewSearch=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D00D-C0F2-4B44-A608-7DEE8867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42</Pages>
  <Words>13659</Words>
  <Characters>93020</Characters>
  <Application>Microsoft Office Word</Application>
  <DocSecurity>0</DocSecurity>
  <Lines>1603</Lines>
  <Paragraphs>536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2016-02-18T14:53:00Z</cp:lastPrinted>
  <dcterms:created xsi:type="dcterms:W3CDTF">2016-03-11T15:32:00Z</dcterms:created>
  <dcterms:modified xsi:type="dcterms:W3CDTF">2016-03-16T12:12:00Z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