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35" w:rsidRPr="00506D21" w:rsidRDefault="005A325F">
      <w:pPr>
        <w:pStyle w:val="Pagedecouverture"/>
        <w:rPr>
          <w:noProof/>
        </w:rPr>
      </w:pPr>
      <w:bookmarkStart w:id="0" w:name="LW_BM_COVERPAGE"/>
      <w:r w:rsidRPr="00506D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CCA555361FF461DA612DD47D28C54D4" style="width:450.75pt;height:333.75pt">
            <v:imagedata r:id="rId9" o:title=""/>
          </v:shape>
        </w:pict>
      </w:r>
    </w:p>
    <w:bookmarkEnd w:id="0"/>
    <w:p w:rsidR="00B97235" w:rsidRPr="00506D21" w:rsidRDefault="00B97235">
      <w:pPr>
        <w:jc w:val="both"/>
        <w:rPr>
          <w:noProof/>
        </w:rPr>
        <w:sectPr w:rsidR="00B97235" w:rsidRPr="00506D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97235" w:rsidRPr="00506D21" w:rsidRDefault="005A325F">
      <w:pPr>
        <w:jc w:val="center"/>
        <w:rPr>
          <w:b/>
          <w:noProof/>
        </w:rPr>
      </w:pPr>
      <w:r w:rsidRPr="00506D21">
        <w:rPr>
          <w:b/>
          <w:noProof/>
        </w:rPr>
        <w:lastRenderedPageBreak/>
        <w:t>Índice</w:t>
      </w:r>
    </w:p>
    <w:p w:rsidR="00B97235" w:rsidRPr="00506D21" w:rsidRDefault="00B97235">
      <w:pPr>
        <w:jc w:val="both"/>
        <w:rPr>
          <w:noProof/>
        </w:rPr>
      </w:pPr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r w:rsidRPr="00506D21">
        <w:rPr>
          <w:noProof/>
        </w:rPr>
        <w:fldChar w:fldCharType="begin"/>
      </w:r>
      <w:r w:rsidRPr="00506D21">
        <w:rPr>
          <w:noProof/>
        </w:rPr>
        <w:instrText xml:space="preserve"> TOC \o "1-3" \h \z \u </w:instrText>
      </w:r>
      <w:r w:rsidRPr="00506D21">
        <w:rPr>
          <w:noProof/>
        </w:rPr>
        <w:fldChar w:fldCharType="separate"/>
      </w:r>
      <w:hyperlink w:anchor="_Toc445973707" w:history="1">
        <w:r w:rsidRPr="00506D21">
          <w:rPr>
            <w:rStyle w:val="Hyperlink"/>
            <w:noProof/>
            <w:color w:val="auto"/>
            <w:lang w:val="pt-PT"/>
          </w:rPr>
          <w:t>1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 xml:space="preserve">Introdução: As vantagens de um </w:t>
        </w:r>
        <w:r w:rsidRPr="00506D21">
          <w:rPr>
            <w:rStyle w:val="Hyperlink"/>
            <w:noProof/>
            <w:color w:val="auto"/>
            <w:lang w:val="pt-PT"/>
          </w:rPr>
          <w:t>espaço único do IVA na UE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_Toc445973707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3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08" w:history="1">
        <w:r w:rsidRPr="00506D21">
          <w:rPr>
            <w:rStyle w:val="Hyperlink"/>
            <w:noProof/>
            <w:color w:val="auto"/>
            <w:lang w:val="pt-PT"/>
          </w:rPr>
          <w:t>2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Iniciativas políticas recentes e em curso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_Toc445973708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5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09" w:history="1">
        <w:r w:rsidRPr="00506D21">
          <w:rPr>
            <w:rStyle w:val="Hyperlink"/>
            <w:noProof/>
            <w:color w:val="auto"/>
            <w:lang w:val="pt-PT"/>
          </w:rPr>
          <w:t>2.1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Eliminar os obstáculos ao comércio eletrónico ligados ao IVA no mercado único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_Toc445973709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5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0" w:history="1">
        <w:r w:rsidRPr="00506D21">
          <w:rPr>
            <w:rStyle w:val="Hyperlink"/>
            <w:noProof/>
            <w:color w:val="auto"/>
            <w:lang w:val="pt-PT"/>
          </w:rPr>
          <w:t>2.2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Para um Pacote IVA destinado às PME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_Toc445973710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6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1" w:history="1">
        <w:r w:rsidRPr="00506D21">
          <w:rPr>
            <w:rStyle w:val="Hyperlink"/>
            <w:noProof/>
            <w:color w:val="auto"/>
            <w:lang w:val="pt-PT"/>
          </w:rPr>
          <w:t>3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Medidas urgentes para combater os desvios do IVA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_Toc445973711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6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2" w:history="1">
        <w:r w:rsidRPr="00506D21">
          <w:rPr>
            <w:rStyle w:val="Hyperlink"/>
            <w:noProof/>
            <w:color w:val="auto"/>
            <w:lang w:val="pt-PT"/>
          </w:rPr>
          <w:t>3.1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Melhorar a cooperação na UE e com os países terceiros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</w:instrText>
        </w:r>
        <w:r w:rsidRPr="00506D21">
          <w:rPr>
            <w:noProof/>
            <w:webHidden/>
          </w:rPr>
          <w:instrText xml:space="preserve"> _Toc445973712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7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3" w:history="1">
        <w:r w:rsidRPr="00506D21">
          <w:rPr>
            <w:rStyle w:val="Hyperlink"/>
            <w:noProof/>
            <w:color w:val="auto"/>
            <w:lang w:val="pt-PT"/>
          </w:rPr>
          <w:t>3.2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Para uma maior eficiência das administrações fiscais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_Toc445973713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7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4" w:history="1">
        <w:r w:rsidRPr="00506D21">
          <w:rPr>
            <w:rStyle w:val="Hyperlink"/>
            <w:noProof/>
            <w:color w:val="auto"/>
          </w:rPr>
          <w:t>3.3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</w:rPr>
          <w:t>Melhorar o cumprimento voluntário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_Toc445973714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8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5" w:history="1">
        <w:r w:rsidRPr="00506D21">
          <w:rPr>
            <w:rStyle w:val="Hyperlink"/>
            <w:noProof/>
            <w:color w:val="auto"/>
          </w:rPr>
          <w:t>3.4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</w:rPr>
          <w:t>Cobrança de imp</w:t>
        </w:r>
        <w:bookmarkStart w:id="1" w:name="_GoBack"/>
        <w:bookmarkEnd w:id="1"/>
        <w:r w:rsidRPr="00506D21">
          <w:rPr>
            <w:rStyle w:val="Hyperlink"/>
            <w:noProof/>
            <w:color w:val="auto"/>
          </w:rPr>
          <w:t>ostos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_Toc445973715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8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6" w:history="1">
        <w:r w:rsidRPr="00506D21">
          <w:rPr>
            <w:rStyle w:val="Hyperlink"/>
            <w:noProof/>
            <w:color w:val="auto"/>
            <w:lang w:val="pt-PT"/>
          </w:rPr>
          <w:t>3.5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derrogação temporária para os Estados-Membros a fim de combater a fraude nacional e estrutural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_Toc445973716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8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7" w:history="1">
        <w:r w:rsidRPr="00506D21">
          <w:rPr>
            <w:rStyle w:val="Hyperlink"/>
            <w:noProof/>
            <w:color w:val="auto"/>
            <w:lang w:val="pt-PT"/>
          </w:rPr>
          <w:t>4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Medidas a médio prazo para com</w:t>
        </w:r>
        <w:r w:rsidRPr="00506D21">
          <w:rPr>
            <w:rStyle w:val="Hyperlink"/>
            <w:noProof/>
            <w:color w:val="auto"/>
            <w:lang w:val="pt-PT"/>
          </w:rPr>
          <w:t>bater os desvios do IVA: rumo a um espaço único sólido do IVA na UE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_Toc445973717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9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8" w:history="1">
        <w:r w:rsidRPr="00506D21">
          <w:rPr>
            <w:rStyle w:val="Hyperlink"/>
            <w:noProof/>
            <w:color w:val="auto"/>
            <w:lang w:val="pt-PT"/>
          </w:rPr>
          <w:t>5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Para uma política modernizada das taxas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_Toc445973718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12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19" w:history="1">
        <w:r w:rsidRPr="00506D21">
          <w:rPr>
            <w:rStyle w:val="Hyperlink"/>
            <w:noProof/>
            <w:color w:val="auto"/>
            <w:lang w:val="pt-PT"/>
          </w:rPr>
          <w:t>5.1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  <w:lang w:val="pt-PT"/>
          </w:rPr>
          <w:t>Opção 1: Prorrogação e revisão regular da lista de bens e serviços a que podem ser aplicadas taxas reduzidas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</w:instrText>
        </w:r>
        <w:r w:rsidRPr="00506D21">
          <w:rPr>
            <w:noProof/>
            <w:webHidden/>
          </w:rPr>
          <w:instrText xml:space="preserve">445973719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13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20" w:history="1">
        <w:r w:rsidRPr="00506D21">
          <w:rPr>
            <w:rStyle w:val="Hyperlink"/>
            <w:noProof/>
            <w:color w:val="auto"/>
          </w:rPr>
          <w:t>5.2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</w:rPr>
          <w:t>Opção 2: Supressão da lista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_Toc445973720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13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21" w:history="1">
        <w:r w:rsidRPr="00506D21">
          <w:rPr>
            <w:rStyle w:val="Hyperlink"/>
            <w:noProof/>
            <w:color w:val="auto"/>
          </w:rPr>
          <w:t>6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</w:rPr>
          <w:t>Conclusão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_Toc445973721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14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PT" w:eastAsia="pt-PT"/>
        </w:rPr>
      </w:pPr>
      <w:hyperlink w:anchor="_Toc445973722" w:history="1">
        <w:r w:rsidRPr="00506D21">
          <w:rPr>
            <w:rStyle w:val="Hyperlink"/>
            <w:noProof/>
            <w:color w:val="auto"/>
          </w:rPr>
          <w:t>7</w:t>
        </w:r>
        <w:r w:rsidRPr="00506D21">
          <w:rPr>
            <w:rFonts w:asciiTheme="minorHAnsi" w:eastAsiaTheme="minorEastAsia" w:hAnsiTheme="minorHAnsi" w:cstheme="minorBidi"/>
            <w:noProof/>
            <w:sz w:val="22"/>
            <w:szCs w:val="22"/>
            <w:lang w:val="pt-PT" w:eastAsia="pt-PT"/>
          </w:rPr>
          <w:tab/>
        </w:r>
        <w:r w:rsidRPr="00506D21">
          <w:rPr>
            <w:rStyle w:val="Hyperlink"/>
            <w:noProof/>
            <w:color w:val="auto"/>
          </w:rPr>
          <w:t>Calendário</w:t>
        </w:r>
        <w:r w:rsidRPr="00506D21">
          <w:rPr>
            <w:noProof/>
            <w:webHidden/>
          </w:rPr>
          <w:tab/>
        </w:r>
        <w:r w:rsidRPr="00506D21">
          <w:rPr>
            <w:noProof/>
            <w:webHidden/>
          </w:rPr>
          <w:fldChar w:fldCharType="begin"/>
        </w:r>
        <w:r w:rsidRPr="00506D21">
          <w:rPr>
            <w:noProof/>
            <w:webHidden/>
          </w:rPr>
          <w:instrText xml:space="preserve"> PAGEREF _Toc445973722 \h </w:instrText>
        </w:r>
        <w:r w:rsidRPr="00506D21">
          <w:rPr>
            <w:noProof/>
            <w:webHidden/>
          </w:rPr>
        </w:r>
        <w:r w:rsidRPr="00506D21">
          <w:rPr>
            <w:noProof/>
            <w:webHidden/>
          </w:rPr>
          <w:fldChar w:fldCharType="separate"/>
        </w:r>
        <w:r w:rsidR="00506D21">
          <w:rPr>
            <w:noProof/>
            <w:webHidden/>
          </w:rPr>
          <w:t>15</w:t>
        </w:r>
        <w:r w:rsidRPr="00506D21">
          <w:rPr>
            <w:noProof/>
            <w:webHidden/>
          </w:rPr>
          <w:fldChar w:fldCharType="end"/>
        </w:r>
      </w:hyperlink>
    </w:p>
    <w:p w:rsidR="00B97235" w:rsidRPr="00506D21" w:rsidRDefault="005A325F">
      <w:pPr>
        <w:jc w:val="both"/>
        <w:rPr>
          <w:noProof/>
        </w:rPr>
      </w:pPr>
      <w:r w:rsidRPr="00506D21">
        <w:rPr>
          <w:noProof/>
        </w:rPr>
        <w:fldChar w:fldCharType="end"/>
      </w:r>
    </w:p>
    <w:p w:rsidR="00B97235" w:rsidRPr="00506D21" w:rsidRDefault="005A325F">
      <w:pPr>
        <w:jc w:val="both"/>
        <w:rPr>
          <w:noProof/>
        </w:rPr>
      </w:pPr>
      <w:r w:rsidRPr="00506D21">
        <w:rPr>
          <w:noProof/>
        </w:rPr>
        <w:br w:type="page"/>
      </w:r>
    </w:p>
    <w:p w:rsidR="00B97235" w:rsidRPr="00506D21" w:rsidRDefault="005A325F">
      <w:pPr>
        <w:pStyle w:val="Heading1"/>
        <w:rPr>
          <w:noProof/>
          <w:lang w:val="pt-PT"/>
        </w:rPr>
      </w:pPr>
      <w:bookmarkStart w:id="2" w:name="_Toc445104522"/>
      <w:bookmarkStart w:id="3" w:name="_Toc445973707"/>
      <w:r w:rsidRPr="00506D21">
        <w:rPr>
          <w:noProof/>
          <w:lang w:val="pt-PT"/>
        </w:rPr>
        <w:lastRenderedPageBreak/>
        <w:t>Introdução: As vantagens de um espaço único do IVA na UE</w:t>
      </w:r>
      <w:bookmarkEnd w:id="2"/>
      <w:bookmarkEnd w:id="3"/>
      <w:r w:rsidRPr="00506D21">
        <w:rPr>
          <w:noProof/>
          <w:lang w:val="pt-PT"/>
        </w:rPr>
        <w:t xml:space="preserve"> 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presente plano de ação define a via para a criação de um espaço único do IVA</w:t>
      </w:r>
      <w:r w:rsidRPr="00506D21">
        <w:rPr>
          <w:rStyle w:val="FootnoteReference"/>
          <w:noProof/>
        </w:rPr>
        <w:footnoteReference w:id="2"/>
      </w:r>
      <w:r w:rsidRPr="00506D21">
        <w:rPr>
          <w:noProof/>
          <w:lang w:val="pt-PT"/>
        </w:rPr>
        <w:t xml:space="preserve"> na UE. Um espaço único do IVA que possa apoiar </w:t>
      </w:r>
      <w:r w:rsidRPr="00506D21">
        <w:rPr>
          <w:noProof/>
          <w:lang w:val="pt-PT"/>
        </w:rPr>
        <w:t>um mercado único mais aprofundado e mais equitativo e contribua para impulsionar o emprego, o crescimento, o investimento e a competitividade. Um espaço do IVA que seja adequado ao século XXI.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sistema comum do IVA é um elemento fulcral do mercado único d</w:t>
      </w:r>
      <w:r w:rsidRPr="00506D21">
        <w:rPr>
          <w:noProof/>
          <w:lang w:val="pt-PT"/>
        </w:rPr>
        <w:t>a Europa. Ao eliminar os obstáculos que distorciam a concorrência e impediam a livre circulação de bens, o sistema do IVA facilitou o comércio no âmbito do mercado único. Constitui uma fonte receitas na UE importante e cada vez mais significativa, elevando</w:t>
      </w:r>
      <w:r w:rsidRPr="00506D21">
        <w:rPr>
          <w:noProof/>
          <w:lang w:val="pt-PT"/>
        </w:rPr>
        <w:t>-se a quase 1 bilião de euros em 2014, o que corresponde a 7 % do PIB da UE</w:t>
      </w:r>
      <w:r w:rsidRPr="00506D21">
        <w:rPr>
          <w:rStyle w:val="FootnoteReference"/>
          <w:noProof/>
        </w:rPr>
        <w:footnoteReference w:id="3"/>
      </w:r>
      <w:r w:rsidRPr="00506D21">
        <w:rPr>
          <w:noProof/>
          <w:lang w:val="pt-PT"/>
        </w:rPr>
        <w:t>. Um dos recursos próprios da UE assenta também no IVA. Enquanto imposto de base alargada sobre o consumo, é uma das formas de tributação mais favorável ao crescimento.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Mas o siste</w:t>
      </w:r>
      <w:r w:rsidRPr="00506D21">
        <w:rPr>
          <w:noProof/>
          <w:lang w:val="pt-PT"/>
        </w:rPr>
        <w:t>ma do IVA não conseguiu acompanhar os desafios da economia móvel, digital e mundial de hoje. O atual sistema do IVA, concebido para ser transitório, apresenta-se fragmentado e complexo para o número crescente de empresas que exercem atividades transfrontei</w:t>
      </w:r>
      <w:r w:rsidRPr="00506D21">
        <w:rPr>
          <w:noProof/>
          <w:lang w:val="pt-PT"/>
        </w:rPr>
        <w:t xml:space="preserve">ras, deixando a porta aberta à fraude: as operações nacionais e as transfronteiras são tratadas de modo diferente e os bens ou serviços podem ser adquiridos com isenção de IVA no âmbito do mercado único. 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Este sistema carece agora de uma reforma urgente: </w:t>
      </w:r>
    </w:p>
    <w:p w:rsidR="00B97235" w:rsidRPr="00506D21" w:rsidRDefault="005A32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Tem de se tornar mais simples para as empresas. Os custos de conformidade são consideravelmente mais elevados no mercado único do que no comércio interno</w:t>
      </w:r>
      <w:r w:rsidRPr="00506D21">
        <w:rPr>
          <w:rStyle w:val="FootnoteReference"/>
          <w:noProof/>
        </w:rPr>
        <w:footnoteReference w:id="4"/>
      </w:r>
      <w:r w:rsidRPr="00506D21">
        <w:rPr>
          <w:noProof/>
          <w:lang w:val="pt-PT"/>
        </w:rPr>
        <w:t>, ao mesmo tempo que a complexidade está a asfixiar as empresas, em especial as pequenas e médias empr</w:t>
      </w:r>
      <w:r w:rsidRPr="00506D21">
        <w:rPr>
          <w:noProof/>
          <w:lang w:val="pt-PT"/>
        </w:rPr>
        <w:t>esas (PME)</w:t>
      </w:r>
      <w:r w:rsidRPr="00506D21">
        <w:rPr>
          <w:rStyle w:val="FootnoteReference"/>
          <w:noProof/>
        </w:rPr>
        <w:footnoteReference w:id="5"/>
      </w:r>
      <w:r w:rsidRPr="00506D21">
        <w:rPr>
          <w:noProof/>
          <w:lang w:val="pt-PT"/>
        </w:rPr>
        <w:t>;</w:t>
      </w:r>
    </w:p>
    <w:p w:rsidR="00B97235" w:rsidRPr="00506D21" w:rsidRDefault="005A32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Tem de combater o risco crescente de fraude. Os «desvios do IVA» entre as receitas esperadas e as receitas efetivamente cobradas é estimado em 170 mil milhões de euros</w:t>
      </w:r>
      <w:r w:rsidRPr="00506D21">
        <w:rPr>
          <w:rStyle w:val="FootnoteReference"/>
          <w:noProof/>
        </w:rPr>
        <w:footnoteReference w:id="6"/>
      </w:r>
      <w:r w:rsidRPr="00506D21">
        <w:rPr>
          <w:noProof/>
          <w:lang w:val="pt-PT"/>
        </w:rPr>
        <w:t>, ao passo que a fraude transfronteiras, por si só, representa 50 mil milhõ</w:t>
      </w:r>
      <w:r w:rsidRPr="00506D21">
        <w:rPr>
          <w:noProof/>
          <w:lang w:val="pt-PT"/>
        </w:rPr>
        <w:t>es de euros de perda de receitas por ano</w:t>
      </w:r>
      <w:r w:rsidRPr="00506D21">
        <w:rPr>
          <w:rStyle w:val="FootnoteReference"/>
          <w:noProof/>
        </w:rPr>
        <w:footnoteReference w:id="7"/>
      </w:r>
      <w:r w:rsidRPr="00506D21">
        <w:rPr>
          <w:noProof/>
          <w:lang w:val="pt-PT"/>
        </w:rPr>
        <w:t>;</w:t>
      </w:r>
    </w:p>
    <w:p w:rsidR="00B97235" w:rsidRPr="00506D21" w:rsidRDefault="005A32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Tem de ser mais eficiente, nomeadamente explorando as oportunidades da tecnologia digital e reduzindo os custos da cobrança de receitas; </w:t>
      </w:r>
    </w:p>
    <w:p w:rsidR="00B97235" w:rsidRPr="00506D21" w:rsidRDefault="005A32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Deve assentar numa maior confiança: por um lado, entre as empresas e as adm</w:t>
      </w:r>
      <w:r w:rsidRPr="00506D21">
        <w:rPr>
          <w:noProof/>
          <w:lang w:val="pt-PT"/>
        </w:rPr>
        <w:t>inistrações fiscais e, por outro, entre as administrações fiscais da UE.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Em suma, há que modernizar e reformular o IVA, o que não será fácil de alcançar. A reforma do sistema em vigor tem-se revelado difícil e a exigência de unanimidade entre todos os </w:t>
      </w:r>
      <w:r w:rsidRPr="00506D21">
        <w:rPr>
          <w:noProof/>
          <w:lang w:val="pt-PT"/>
        </w:rPr>
        <w:lastRenderedPageBreak/>
        <w:t>Esta</w:t>
      </w:r>
      <w:r w:rsidRPr="00506D21">
        <w:rPr>
          <w:noProof/>
          <w:lang w:val="pt-PT"/>
        </w:rPr>
        <w:t xml:space="preserve">dos-Membros para decidir qualquer alteração representa um sério desafio. No entanto, cada vez mais, manter este </w:t>
      </w:r>
      <w:r w:rsidRPr="00506D21">
        <w:rPr>
          <w:i/>
          <w:noProof/>
          <w:lang w:val="pt-PT"/>
        </w:rPr>
        <w:t>status quo</w:t>
      </w:r>
      <w:r w:rsidRPr="00506D21">
        <w:rPr>
          <w:noProof/>
          <w:lang w:val="pt-PT"/>
        </w:rPr>
        <w:t xml:space="preserve"> não é uma opção. Acrescentar apenas novas obrigações e controlos destinados a combater a fraude aumentará ainda mais os custos de con</w:t>
      </w:r>
      <w:r w:rsidRPr="00506D21">
        <w:rPr>
          <w:noProof/>
          <w:lang w:val="pt-PT"/>
        </w:rPr>
        <w:t>formidade e a incerteza jurídica para todas as empresas, incluindo as empresas fiáveis, prejudicando ainda mais o funcionamento do mercado único. É também pouco provável que uma simplificação fragmentada dê resultado.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Chegou o momento de agir. Está na hora</w:t>
      </w:r>
      <w:r w:rsidRPr="00506D21">
        <w:rPr>
          <w:noProof/>
          <w:lang w:val="pt-PT"/>
        </w:rPr>
        <w:t xml:space="preserve"> de criar um verdadeiro espaço único do IVA na UE para o mercado único.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Para o efeito, a Comissão tenciona agora apresentar uma proposta legislativa destinada a implementar um sistema definitivo de IVA</w:t>
      </w:r>
      <w:r w:rsidRPr="00506D21">
        <w:rPr>
          <w:rStyle w:val="FootnoteReference"/>
          <w:noProof/>
        </w:rPr>
        <w:footnoteReference w:id="8"/>
      </w:r>
      <w:r w:rsidRPr="00506D21">
        <w:rPr>
          <w:noProof/>
          <w:lang w:val="pt-PT"/>
        </w:rPr>
        <w:t>. Este sistema definitivo dependerá de os legisladores</w:t>
      </w:r>
      <w:r w:rsidRPr="00506D21">
        <w:rPr>
          <w:noProof/>
          <w:lang w:val="pt-PT"/>
        </w:rPr>
        <w:t xml:space="preserve"> da UE acordarem em que o sistema do IVA deva basear-se no princípio da tributação no país de destino dos bens. Significa isto que o regime de tributação segundo o qual o fornecedor dos bens recebe o IVA do seu cliente será alargado às operações transfront</w:t>
      </w:r>
      <w:r w:rsidRPr="00506D21">
        <w:rPr>
          <w:noProof/>
          <w:lang w:val="pt-PT"/>
        </w:rPr>
        <w:t>eiras. Esta alteração pode, por si só, ajudar a reduzir a fraude transfronteiras em matéria de IVA em 40 mil milhões de euros por ano</w:t>
      </w:r>
      <w:r w:rsidRPr="00506D21">
        <w:rPr>
          <w:rStyle w:val="FootnoteReference"/>
          <w:noProof/>
        </w:rPr>
        <w:footnoteReference w:id="9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Uma vez que a preparação e a adoção de alterações tão significativas na forma como o IVA funciona levará algum tempo, a Comissão irá, paralelamente, apresentar uma série de outras iniciativas conexas para ajudar a resolver os desafios colocados pelo sistem</w:t>
      </w:r>
      <w:r w:rsidRPr="00506D21">
        <w:rPr>
          <w:noProof/>
          <w:lang w:val="pt-PT"/>
        </w:rPr>
        <w:t xml:space="preserve">a do IVA. Algumas destas iniciativas foram já anunciadas e serão completadas por outras medidas destinadas a resolver de imediato o problema da fraude. 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sistema em vigor enfrenta, além disso, grandes dificuldades para responder aos modelos empresariais i</w:t>
      </w:r>
      <w:r w:rsidRPr="00506D21">
        <w:rPr>
          <w:noProof/>
          <w:lang w:val="pt-PT"/>
        </w:rPr>
        <w:t>novadores e aos progressos tecnológicos no atual ambiente digital. As diferentes taxas de IVA entre bens e serviços físicos e digitais não refletem plenamente as realidades do mundo de hoje. Acresce que os Estados-Membros consideram estar indevidamente lim</w:t>
      </w:r>
      <w:r w:rsidRPr="00506D21">
        <w:rPr>
          <w:noProof/>
          <w:lang w:val="pt-PT"/>
        </w:rPr>
        <w:t>itados nas suas políticas de fixação de taxas. A mudança de paradigma que, nos últimos anos, passou a ser favorável ao princípio da tributação no destino exige uma reflexão mais alargada sobre as consequências a extrair para o sistema do IVA e as normas da</w:t>
      </w:r>
      <w:r w:rsidRPr="00506D21">
        <w:rPr>
          <w:noProof/>
          <w:lang w:val="pt-PT"/>
        </w:rPr>
        <w:t xml:space="preserve"> UE que regem as taxas de IVA.</w:t>
      </w:r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Globalmente, o presente plano de ação define as etapas progressivas necessárias para um espaço único do IVA na UE. Prevê ações imediatas e urgentes para combater os desvios do IVA e adaptar o sistema do IVA à economia digital</w:t>
      </w:r>
      <w:r w:rsidRPr="00506D21">
        <w:rPr>
          <w:noProof/>
          <w:lang w:val="pt-PT"/>
        </w:rPr>
        <w:t xml:space="preserve"> e às necessidades das PME, fornecendo orientações claras e a mais longo prazo sobre o sistema definitivo do IVA e as taxas de IVA. Chegou a hora de tomar decisões sobre todas estas matérias. Acima de tudo, é imprescindível uma liderança política para supe</w:t>
      </w:r>
      <w:r w:rsidRPr="00506D21">
        <w:rPr>
          <w:noProof/>
          <w:lang w:val="pt-PT"/>
        </w:rPr>
        <w:t xml:space="preserve">rar os obstáculos profundamente enraizados que têm bloqueado o progresso no passado e, por último, adotar as reformas necessárias para combater a fraude, eliminar os obstáculos administrativos e reduzir os custos regulamentares para simplificar a vida das </w:t>
      </w:r>
      <w:r w:rsidRPr="00506D21">
        <w:rPr>
          <w:noProof/>
          <w:lang w:val="pt-PT"/>
        </w:rPr>
        <w:t xml:space="preserve">empresas europeias. </w:t>
      </w:r>
    </w:p>
    <w:p w:rsidR="00B97235" w:rsidRPr="00506D21" w:rsidRDefault="005A325F">
      <w:pPr>
        <w:pStyle w:val="Heading1"/>
        <w:rPr>
          <w:noProof/>
          <w:lang w:val="pt-PT"/>
        </w:rPr>
      </w:pPr>
      <w:bookmarkStart w:id="4" w:name="_Toc444158005"/>
      <w:bookmarkStart w:id="5" w:name="_Toc443579023"/>
      <w:bookmarkStart w:id="6" w:name="_Toc443651999"/>
      <w:bookmarkStart w:id="7" w:name="_Toc443579024"/>
      <w:bookmarkStart w:id="8" w:name="_Toc443652000"/>
      <w:bookmarkStart w:id="9" w:name="_Toc443579025"/>
      <w:bookmarkStart w:id="10" w:name="_Toc443652001"/>
      <w:bookmarkStart w:id="11" w:name="_Toc443579026"/>
      <w:bookmarkStart w:id="12" w:name="_Toc443652002"/>
      <w:bookmarkStart w:id="13" w:name="_Toc443579027"/>
      <w:bookmarkStart w:id="14" w:name="_Toc443652003"/>
      <w:bookmarkStart w:id="15" w:name="_Toc439774632"/>
      <w:bookmarkStart w:id="16" w:name="_Toc445104523"/>
      <w:bookmarkStart w:id="17" w:name="_Toc44597370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06D21">
        <w:rPr>
          <w:noProof/>
          <w:lang w:val="pt-PT"/>
        </w:rPr>
        <w:lastRenderedPageBreak/>
        <w:t>Iniciativas políticas recentes e em curso</w:t>
      </w:r>
      <w:bookmarkEnd w:id="15"/>
      <w:bookmarkEnd w:id="16"/>
      <w:bookmarkEnd w:id="17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A Comissão tem, de forma constante, apelado para que se proceda à reforma do sistema do IVA. Recentemente, após um debate público alargado e proveitoso lançado pelo </w:t>
      </w:r>
      <w:r w:rsidRPr="00506D21">
        <w:rPr>
          <w:i/>
          <w:noProof/>
          <w:lang w:val="pt-PT"/>
        </w:rPr>
        <w:t>Livro Verde sobre o futuro d</w:t>
      </w:r>
      <w:r w:rsidRPr="00506D21">
        <w:rPr>
          <w:i/>
          <w:noProof/>
          <w:lang w:val="pt-PT"/>
        </w:rPr>
        <w:t>o IVA,</w:t>
      </w:r>
      <w:r w:rsidRPr="00506D21">
        <w:rPr>
          <w:noProof/>
          <w:lang w:val="pt-PT"/>
        </w:rPr>
        <w:t xml:space="preserve"> em dezembro de 2010</w:t>
      </w:r>
      <w:r w:rsidRPr="00506D21">
        <w:rPr>
          <w:rStyle w:val="FootnoteReference"/>
          <w:noProof/>
        </w:rPr>
        <w:footnoteReference w:id="10"/>
      </w:r>
      <w:r w:rsidRPr="00506D21">
        <w:rPr>
          <w:i/>
          <w:noProof/>
          <w:lang w:val="pt-PT"/>
        </w:rPr>
        <w:t xml:space="preserve">, </w:t>
      </w:r>
      <w:r w:rsidRPr="00506D21">
        <w:rPr>
          <w:noProof/>
          <w:lang w:val="pt-PT"/>
        </w:rPr>
        <w:t xml:space="preserve">a Comissão apresentou as suas conclusões na </w:t>
      </w:r>
      <w:r w:rsidRPr="00506D21">
        <w:rPr>
          <w:i/>
          <w:noProof/>
          <w:lang w:val="pt-PT"/>
        </w:rPr>
        <w:t>Comunicação sobre o futuro do IVA</w:t>
      </w:r>
      <w:r w:rsidRPr="00506D21">
        <w:rPr>
          <w:noProof/>
          <w:lang w:val="pt-PT"/>
        </w:rPr>
        <w:t>, em dezembro de 2011</w:t>
      </w:r>
      <w:r w:rsidRPr="00506D21">
        <w:rPr>
          <w:rStyle w:val="FootnoteReference"/>
          <w:noProof/>
        </w:rPr>
        <w:footnoteReference w:id="11"/>
      </w:r>
      <w:r w:rsidRPr="00506D21">
        <w:rPr>
          <w:noProof/>
          <w:lang w:val="pt-PT"/>
        </w:rPr>
        <w:t>, e definiu as ações prioritárias para os próximos anos.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Nessa ocasião, após muitos anos de tentativas infrutíferas, a Comissão </w:t>
      </w:r>
      <w:r w:rsidRPr="00506D21">
        <w:rPr>
          <w:noProof/>
          <w:lang w:val="pt-PT"/>
        </w:rPr>
        <w:t>abandonou o objetivo de implementar um regime definitivo de IVA baseado no princípio da tributação de todas as entregas transfronteiras de bens no seu Estado-Membro de origem, nas mesmas condições que as que se aplicam ao comércio interno, incluindo as tax</w:t>
      </w:r>
      <w:r w:rsidRPr="00506D21">
        <w:rPr>
          <w:noProof/>
          <w:lang w:val="pt-PT"/>
        </w:rPr>
        <w:t>as de IVA. O Parlamento Europeu</w:t>
      </w:r>
      <w:r w:rsidRPr="00506D21">
        <w:rPr>
          <w:rStyle w:val="FootnoteReference"/>
          <w:noProof/>
        </w:rPr>
        <w:footnoteReference w:id="12"/>
      </w:r>
      <w:r w:rsidRPr="00506D21">
        <w:rPr>
          <w:noProof/>
          <w:lang w:val="pt-PT"/>
        </w:rPr>
        <w:t xml:space="preserve"> e o Conselho</w:t>
      </w:r>
      <w:r w:rsidRPr="00506D21">
        <w:rPr>
          <w:rStyle w:val="FootnoteReference"/>
          <w:noProof/>
        </w:rPr>
        <w:footnoteReference w:id="13"/>
      </w:r>
      <w:r w:rsidRPr="00506D21">
        <w:rPr>
          <w:noProof/>
          <w:lang w:val="pt-PT"/>
        </w:rPr>
        <w:t xml:space="preserve"> acordaram em que o sistema definitivo deveria basear-se no princípio da tributação no Estado-Membro de destino dos bens.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As iniciativas que na altura na altura foram levadas a cabo incluem:</w:t>
      </w:r>
    </w:p>
    <w:p w:rsidR="00B97235" w:rsidRPr="00506D21" w:rsidRDefault="005A325F">
      <w:pPr>
        <w:pStyle w:val="ListParagraph"/>
        <w:numPr>
          <w:ilvl w:val="0"/>
          <w:numId w:val="29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Mecanismo de Rea</w:t>
      </w:r>
      <w:r w:rsidRPr="00506D21">
        <w:rPr>
          <w:noProof/>
          <w:lang w:val="pt-PT"/>
        </w:rPr>
        <w:t>ção Rápida para combater a fraude súbita e em grande escala ao IVA</w:t>
      </w:r>
      <w:r w:rsidRPr="00506D21">
        <w:rPr>
          <w:rStyle w:val="FootnoteReference"/>
          <w:noProof/>
        </w:rPr>
        <w:footnoteReference w:id="14"/>
      </w:r>
      <w:r w:rsidRPr="00506D21">
        <w:rPr>
          <w:noProof/>
          <w:lang w:val="pt-PT"/>
        </w:rPr>
        <w:t>;</w:t>
      </w:r>
    </w:p>
    <w:p w:rsidR="00B97235" w:rsidRPr="00506D21" w:rsidRDefault="005A325F">
      <w:pPr>
        <w:pStyle w:val="ListParagraph"/>
        <w:numPr>
          <w:ilvl w:val="0"/>
          <w:numId w:val="29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aplicação das novas regras relativas ao lugar das prestações ou das entregas, em conformidade com os princípios gerais, no local de destino, no caso dos serviços de telecomunicações, se</w:t>
      </w:r>
      <w:r w:rsidRPr="00506D21">
        <w:rPr>
          <w:noProof/>
          <w:lang w:val="pt-PT"/>
        </w:rPr>
        <w:t>rviços de radiodifusão e televisão e serviços prestados por via eletrónica aos consumidores finais, com um balcão único para facilitar o cumprimento das obrigações fiscais</w:t>
      </w:r>
      <w:r w:rsidRPr="00506D21">
        <w:rPr>
          <w:rStyle w:val="FootnoteReference"/>
          <w:noProof/>
        </w:rPr>
        <w:footnoteReference w:id="15"/>
      </w:r>
      <w:r w:rsidRPr="00506D21">
        <w:rPr>
          <w:noProof/>
          <w:lang w:val="pt-PT"/>
        </w:rPr>
        <w:t>;</w:t>
      </w:r>
    </w:p>
    <w:p w:rsidR="00B97235" w:rsidRPr="00506D21" w:rsidRDefault="005A325F">
      <w:pPr>
        <w:pStyle w:val="ListParagraph"/>
        <w:numPr>
          <w:ilvl w:val="0"/>
          <w:numId w:val="29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um novo sistema de governação, mais transparente, para o sistema do IVA da UE, no </w:t>
      </w:r>
      <w:r w:rsidRPr="00506D21">
        <w:rPr>
          <w:noProof/>
          <w:lang w:val="pt-PT"/>
        </w:rPr>
        <w:t>qual todas as partes interessadas participem mais estreitamente</w:t>
      </w:r>
      <w:r w:rsidRPr="00506D21">
        <w:rPr>
          <w:rStyle w:val="FootnoteReference"/>
          <w:noProof/>
        </w:rPr>
        <w:footnoteReference w:id="16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Seguidamente, foram lançadas outras iniciativas destinadas a eliminar os obstáculos ligados ao IVA ao desenvolvimento digital e das PME no mercado único, bem como a rever as regras do IVA no</w:t>
      </w:r>
      <w:r w:rsidRPr="00506D21">
        <w:rPr>
          <w:noProof/>
          <w:lang w:val="pt-PT"/>
        </w:rPr>
        <w:t xml:space="preserve"> setor público</w:t>
      </w:r>
      <w:r w:rsidRPr="00506D21">
        <w:rPr>
          <w:rStyle w:val="FootnoteReference"/>
          <w:noProof/>
        </w:rPr>
        <w:footnoteReference w:id="17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pt-PT"/>
        </w:rPr>
      </w:pPr>
      <w:bookmarkStart w:id="18" w:name="_Toc441247194"/>
      <w:bookmarkStart w:id="19" w:name="_Toc441564850"/>
      <w:bookmarkStart w:id="20" w:name="_Toc441571188"/>
      <w:bookmarkStart w:id="21" w:name="_Toc441577539"/>
      <w:bookmarkStart w:id="22" w:name="_Toc439774639"/>
      <w:bookmarkStart w:id="23" w:name="_Toc445104524"/>
      <w:bookmarkStart w:id="24" w:name="_Toc445973709"/>
      <w:bookmarkStart w:id="25" w:name="_Toc439774634"/>
      <w:bookmarkEnd w:id="18"/>
      <w:bookmarkEnd w:id="19"/>
      <w:bookmarkEnd w:id="20"/>
      <w:bookmarkEnd w:id="21"/>
      <w:r w:rsidRPr="00506D21">
        <w:rPr>
          <w:rFonts w:ascii="Times New Roman" w:hAnsi="Times New Roman" w:cs="Times New Roman"/>
          <w:noProof/>
          <w:color w:val="auto"/>
          <w:lang w:val="pt-PT"/>
        </w:rPr>
        <w:t>Eliminar os obstáculos ao comércio eletrónico ligados ao IVA no mercado único</w:t>
      </w:r>
      <w:bookmarkEnd w:id="22"/>
      <w:bookmarkEnd w:id="23"/>
      <w:bookmarkEnd w:id="24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atual sistema do IVA aplicável ao comércio eletrónico transfronteiras é complexo e oneroso tanto para os Estados-Membros como para as empresas. O custo médio a</w:t>
      </w:r>
      <w:r w:rsidRPr="00506D21">
        <w:rPr>
          <w:noProof/>
          <w:lang w:val="pt-PT"/>
        </w:rPr>
        <w:t xml:space="preserve">nual das entregas de </w:t>
      </w:r>
      <w:r w:rsidRPr="00506D21">
        <w:rPr>
          <w:noProof/>
          <w:lang w:val="pt-PT"/>
        </w:rPr>
        <w:lastRenderedPageBreak/>
        <w:t>bens a outro país da UE é estimado em 8 000 euros</w:t>
      </w:r>
      <w:r w:rsidRPr="00506D21">
        <w:rPr>
          <w:rStyle w:val="FootnoteReference"/>
          <w:noProof/>
        </w:rPr>
        <w:footnoteReference w:id="18"/>
      </w:r>
      <w:r w:rsidRPr="00506D21">
        <w:rPr>
          <w:noProof/>
          <w:lang w:val="pt-PT"/>
        </w:rPr>
        <w:t>. Além disso, as empresas da UE estão em desvantagem concorrencial, uma vez que os fornecedores de países terceiros podem entregar bens isentos de IVA aos consumidores da UE ao abrigo d</w:t>
      </w:r>
      <w:r w:rsidRPr="00506D21">
        <w:rPr>
          <w:noProof/>
          <w:lang w:val="pt-PT"/>
        </w:rPr>
        <w:t>a isenção na importação de pequenas remessas (foram importados, em 2015, cerca de 150 milhões de remessas isentas de IVA</w:t>
      </w:r>
      <w:r w:rsidRPr="00506D21">
        <w:rPr>
          <w:rStyle w:val="FootnoteReference"/>
          <w:noProof/>
        </w:rPr>
        <w:footnoteReference w:id="19"/>
      </w:r>
      <w:r w:rsidRPr="00506D21">
        <w:rPr>
          <w:noProof/>
          <w:lang w:val="pt-PT"/>
        </w:rPr>
        <w:t xml:space="preserve">). A complexidade do sistema também dificulta a garantia do cumprimento pelos Estados-Membros, originando perdas estimadas em cerca de </w:t>
      </w:r>
      <w:r w:rsidRPr="00506D21">
        <w:rPr>
          <w:noProof/>
          <w:lang w:val="pt-PT"/>
        </w:rPr>
        <w:t>3 mil milhões de euros por ano</w:t>
      </w:r>
      <w:r w:rsidRPr="00506D21">
        <w:rPr>
          <w:rStyle w:val="FootnoteReference"/>
          <w:noProof/>
        </w:rPr>
        <w:footnoteReference w:id="20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</w:rPr>
      </w:pPr>
      <w:r w:rsidRPr="00506D21">
        <w:rPr>
          <w:noProof/>
          <w:lang w:val="pt-PT"/>
        </w:rPr>
        <w:t>Conforme anunciado em maio de 2015 na Estratégia para o Mercado Único Digital</w:t>
      </w:r>
      <w:r w:rsidRPr="00506D21">
        <w:rPr>
          <w:rStyle w:val="FootnoteReference"/>
          <w:noProof/>
        </w:rPr>
        <w:footnoteReference w:id="21"/>
      </w:r>
      <w:r w:rsidRPr="00506D21">
        <w:rPr>
          <w:noProof/>
          <w:lang w:val="pt-PT"/>
        </w:rPr>
        <w:t xml:space="preserve">, a Comissão apresentará, até ao final de 2016, uma proposta legislativa de modernização e simplificação do IVA destinada ao comércio eletrónico </w:t>
      </w:r>
      <w:r w:rsidRPr="00506D21">
        <w:rPr>
          <w:noProof/>
          <w:lang w:val="pt-PT"/>
        </w:rPr>
        <w:t xml:space="preserve">transfronteiras, em especial para as PME. </w:t>
      </w:r>
      <w:r w:rsidRPr="00506D21">
        <w:rPr>
          <w:noProof/>
        </w:rPr>
        <w:t>Essa proposta incluirá:</w:t>
      </w:r>
    </w:p>
    <w:p w:rsidR="00B97235" w:rsidRPr="00506D21" w:rsidRDefault="005A325F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o alargamento do mecanismo de balcão único à venda em linha de bens tangíveis, destinados aos consumidores finais, para o comércio intra-UE e para países terceiros; </w:t>
      </w:r>
    </w:p>
    <w:p w:rsidR="00B97235" w:rsidRPr="00506D21" w:rsidRDefault="005A325F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introdução de uma medi</w:t>
      </w:r>
      <w:r w:rsidRPr="00506D21">
        <w:rPr>
          <w:noProof/>
          <w:lang w:val="pt-PT"/>
        </w:rPr>
        <w:t>da de simplificação comum a toda a UE (limiar de IVA</w:t>
      </w:r>
      <w:r w:rsidRPr="00506D21">
        <w:rPr>
          <w:rStyle w:val="FootnoteReference"/>
          <w:noProof/>
        </w:rPr>
        <w:footnoteReference w:id="22"/>
      </w:r>
      <w:r w:rsidRPr="00506D21">
        <w:rPr>
          <w:noProof/>
          <w:lang w:val="pt-PT"/>
        </w:rPr>
        <w:t xml:space="preserve">), a fim de ajudar as empresas de comércio eletrónico em fase de arranque; </w:t>
      </w:r>
    </w:p>
    <w:p w:rsidR="00B97235" w:rsidRPr="00506D21" w:rsidRDefault="005A325F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permitir a realização de controlos no país de origem, incluindo uma auditoria única a empresas transfronteiras; </w:t>
      </w:r>
    </w:p>
    <w:p w:rsidR="00B97235" w:rsidRPr="00506D21" w:rsidRDefault="005A325F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supressão da</w:t>
      </w:r>
      <w:r w:rsidRPr="00506D21">
        <w:rPr>
          <w:noProof/>
          <w:lang w:val="pt-PT"/>
        </w:rPr>
        <w:t xml:space="preserve"> isenção de IVA na importação de pequenas remessas de fornecedores de países terceiros.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pt-PT"/>
        </w:rPr>
      </w:pPr>
      <w:bookmarkStart w:id="26" w:name="_Toc445104525"/>
      <w:bookmarkStart w:id="27" w:name="_Toc445973710"/>
      <w:bookmarkStart w:id="28" w:name="_Toc440983882"/>
      <w:r w:rsidRPr="00506D21">
        <w:rPr>
          <w:rFonts w:ascii="Times New Roman" w:hAnsi="Times New Roman" w:cs="Times New Roman"/>
          <w:noProof/>
          <w:color w:val="auto"/>
          <w:lang w:val="pt-PT"/>
        </w:rPr>
        <w:t>Para um Pacote IVA destinado às PME</w:t>
      </w:r>
      <w:bookmarkEnd w:id="26"/>
      <w:bookmarkEnd w:id="27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De um modo mais geral, as PME suportam custos de cumprimento em matéria de IVA proporcionalmente mais elevados do que as grandes emp</w:t>
      </w:r>
      <w:r w:rsidRPr="00506D21">
        <w:rPr>
          <w:noProof/>
          <w:lang w:val="pt-PT"/>
        </w:rPr>
        <w:t>resas, devido à complexidade e à fragmentação do sistema de IVA da UE</w:t>
      </w:r>
      <w:r w:rsidRPr="00506D21">
        <w:rPr>
          <w:rStyle w:val="FootnoteReference"/>
          <w:noProof/>
        </w:rPr>
        <w:footnoteReference w:id="23"/>
      </w:r>
      <w:r w:rsidRPr="00506D21">
        <w:rPr>
          <w:noProof/>
          <w:lang w:val="pt-PT"/>
        </w:rPr>
        <w:t>. Para além da nova Estratégia para o Mercado Único</w:t>
      </w:r>
      <w:r w:rsidRPr="00506D21">
        <w:rPr>
          <w:rStyle w:val="FootnoteReference"/>
          <w:noProof/>
        </w:rPr>
        <w:footnoteReference w:id="24"/>
      </w:r>
      <w:r w:rsidRPr="00506D21">
        <w:rPr>
          <w:noProof/>
          <w:lang w:val="pt-PT"/>
        </w:rPr>
        <w:t>, a Comissão está, assim, a preparar um vasto pacote de simplificação para as PME, destinado a criar um ambiente propício ao seu cresc</w:t>
      </w:r>
      <w:r w:rsidRPr="00506D21">
        <w:rPr>
          <w:noProof/>
          <w:lang w:val="pt-PT"/>
        </w:rPr>
        <w:t xml:space="preserve">imento e favorável ao comércio transfronteiras. Em especial, o regime especial para as pequenas empresas será objeto de revisão. Este pacote será apresentado em 2017.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Comissão deve também retirar ensinamentos da renúncia à proposta de declaração normali</w:t>
      </w:r>
      <w:r w:rsidRPr="00506D21">
        <w:rPr>
          <w:noProof/>
          <w:lang w:val="pt-PT"/>
        </w:rPr>
        <w:t>zada de IVA</w:t>
      </w:r>
      <w:r w:rsidRPr="00506D21">
        <w:rPr>
          <w:rStyle w:val="FootnoteReference"/>
          <w:noProof/>
        </w:rPr>
        <w:footnoteReference w:id="25"/>
      </w:r>
      <w:r w:rsidRPr="00506D21">
        <w:rPr>
          <w:noProof/>
          <w:lang w:val="pt-PT"/>
        </w:rPr>
        <w:t>, que permanece um domínio importante de simplificação, e continuar a refletir sobre a forma de reduzir os custos de cumprimento para as PME nesta matéria.</w:t>
      </w:r>
    </w:p>
    <w:p w:rsidR="00B97235" w:rsidRPr="00506D21" w:rsidRDefault="005A325F">
      <w:pPr>
        <w:pStyle w:val="Heading1"/>
        <w:rPr>
          <w:noProof/>
          <w:lang w:val="pt-PT"/>
        </w:rPr>
      </w:pPr>
      <w:bookmarkStart w:id="29" w:name="_Toc444256300"/>
      <w:bookmarkStart w:id="30" w:name="_Toc444257964"/>
      <w:bookmarkStart w:id="31" w:name="_Toc444258055"/>
      <w:bookmarkStart w:id="32" w:name="_Toc444256302"/>
      <w:bookmarkStart w:id="33" w:name="_Toc444257966"/>
      <w:bookmarkStart w:id="34" w:name="_Toc444258057"/>
      <w:bookmarkStart w:id="35" w:name="_Toc445104526"/>
      <w:bookmarkStart w:id="36" w:name="_Toc445973711"/>
      <w:bookmarkEnd w:id="28"/>
      <w:bookmarkEnd w:id="29"/>
      <w:bookmarkEnd w:id="30"/>
      <w:bookmarkEnd w:id="31"/>
      <w:bookmarkEnd w:id="32"/>
      <w:bookmarkEnd w:id="33"/>
      <w:bookmarkEnd w:id="34"/>
      <w:r w:rsidRPr="00506D21">
        <w:rPr>
          <w:noProof/>
          <w:lang w:val="pt-PT"/>
        </w:rPr>
        <w:t>Medidas urgentes para combater os desvios do IVA</w:t>
      </w:r>
      <w:bookmarkEnd w:id="35"/>
      <w:bookmarkEnd w:id="36"/>
    </w:p>
    <w:p w:rsidR="00B97235" w:rsidRPr="00506D21" w:rsidRDefault="005A325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</w:t>
      </w:r>
      <w:r w:rsidRPr="00506D21">
        <w:rPr>
          <w:rFonts w:eastAsiaTheme="minorHAnsi"/>
          <w:noProof/>
          <w:lang w:val="pt-PT"/>
        </w:rPr>
        <w:t xml:space="preserve">s atuais níveis de desvios do IVA requerem a adoção de medidas urgentes em três vertentes: </w:t>
      </w:r>
      <w:r w:rsidRPr="00506D21">
        <w:rPr>
          <w:noProof/>
          <w:lang w:val="pt-PT"/>
        </w:rPr>
        <w:t xml:space="preserve">uma maior cooperação administrativa, a melhoria do cumprimento voluntário e a melhoria </w:t>
      </w:r>
      <w:r w:rsidRPr="00506D21">
        <w:rPr>
          <w:noProof/>
          <w:lang w:val="pt-PT"/>
        </w:rPr>
        <w:lastRenderedPageBreak/>
        <w:t xml:space="preserve">coletiva do desempenho das administrações fiscais europeias. </w:t>
      </w:r>
      <w:r w:rsidRPr="00506D21">
        <w:rPr>
          <w:rFonts w:eastAsiaTheme="minorHAnsi"/>
          <w:noProof/>
          <w:lang w:val="pt-PT"/>
        </w:rPr>
        <w:t>Além disso, a exp</w:t>
      </w:r>
      <w:r w:rsidRPr="00506D21">
        <w:rPr>
          <w:rFonts w:eastAsiaTheme="minorHAnsi"/>
          <w:noProof/>
          <w:lang w:val="pt-PT"/>
        </w:rPr>
        <w:t xml:space="preserve">ansão do comércio eletrónico exige uma nova abordagem em matéria de cobrança de impostos. 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pt-PT"/>
        </w:rPr>
      </w:pPr>
      <w:bookmarkStart w:id="37" w:name="_Toc445104527"/>
      <w:bookmarkStart w:id="38" w:name="_Toc445973712"/>
      <w:r w:rsidRPr="00506D21">
        <w:rPr>
          <w:rFonts w:ascii="Times New Roman" w:hAnsi="Times New Roman" w:cs="Times New Roman"/>
          <w:noProof/>
          <w:color w:val="auto"/>
          <w:lang w:val="pt-PT"/>
        </w:rPr>
        <w:t>Melhorar a cooperação na UE e com os países terceiros</w:t>
      </w:r>
      <w:bookmarkEnd w:id="37"/>
      <w:bookmarkEnd w:id="38"/>
    </w:p>
    <w:p w:rsidR="00B97235" w:rsidRPr="00506D21" w:rsidRDefault="005A325F">
      <w:pPr>
        <w:pStyle w:val="Text2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Como reconhecido pelo Tribunal de Contas Europeu,</w:t>
      </w:r>
      <w:r w:rsidRPr="00506D21">
        <w:rPr>
          <w:rStyle w:val="FootnoteReference"/>
          <w:noProof/>
        </w:rPr>
        <w:footnoteReference w:id="26"/>
      </w:r>
      <w:r w:rsidRPr="00506D21">
        <w:rPr>
          <w:noProof/>
          <w:lang w:val="pt-PT"/>
        </w:rPr>
        <w:t xml:space="preserve"> os instrumentos de cooperação administrativa entre as admini</w:t>
      </w:r>
      <w:r w:rsidRPr="00506D21">
        <w:rPr>
          <w:noProof/>
          <w:lang w:val="pt-PT"/>
        </w:rPr>
        <w:t>strações fiscais não estão a ser suficientemente explorados. Por outro lado, a implementação do Eurofisc</w:t>
      </w:r>
      <w:r w:rsidRPr="00506D21">
        <w:rPr>
          <w:rStyle w:val="FootnoteReference"/>
          <w:noProof/>
        </w:rPr>
        <w:footnoteReference w:id="27"/>
      </w:r>
      <w:r w:rsidRPr="00506D21">
        <w:rPr>
          <w:noProof/>
          <w:lang w:val="pt-PT"/>
        </w:rPr>
        <w:t xml:space="preserve"> não foi suficientemente ambiciosa. É, pois, necessário passar dos atuais modelos de cooperação com base na troca de informações entre Estados-Membros </w:t>
      </w:r>
      <w:r w:rsidRPr="00506D21">
        <w:rPr>
          <w:noProof/>
          <w:lang w:val="pt-PT"/>
        </w:rPr>
        <w:t>para novos modelos de partilha, bem como de análise de informações e ação conjuntas. Os Estados-Membros devem beneficiar de uma capacidade de gestão do risco a nível da UE que lhes permita identificar e desmantelar rapidamente e de forma mais eficaz as red</w:t>
      </w:r>
      <w:r w:rsidRPr="00506D21">
        <w:rPr>
          <w:noProof/>
          <w:lang w:val="pt-PT"/>
        </w:rPr>
        <w:t>es fraudulentas.</w:t>
      </w:r>
    </w:p>
    <w:p w:rsidR="00B97235" w:rsidRPr="00506D21" w:rsidRDefault="005A325F">
      <w:pPr>
        <w:pStyle w:val="Text2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Tal implica procurar formas para reforçar o papel e o impacto do Eurofisc, a fim de dar um salto qualitativo no sentido de uma estrutura mais avançada. Com o apoio da Comissão, os funcionários qualificados que trabalham no Eurofisc devem t</w:t>
      </w:r>
      <w:r w:rsidRPr="00506D21">
        <w:rPr>
          <w:noProof/>
          <w:lang w:val="pt-PT"/>
        </w:rPr>
        <w:t>er acesso direto às informações pertinentes detidas pelos diferentes Estados-Membros, a fim de poderem trocar, partilhar e analisar informações essenciais, bem como efetuar auditorias conjuntas. Em 2017, será apresentada uma proposta legislativa para pôr e</w:t>
      </w:r>
      <w:r w:rsidRPr="00506D21">
        <w:rPr>
          <w:noProof/>
          <w:lang w:val="pt-PT"/>
        </w:rPr>
        <w:t xml:space="preserve">m prática esses melhoramentos. </w:t>
      </w:r>
    </w:p>
    <w:p w:rsidR="00B97235" w:rsidRPr="00506D21" w:rsidRDefault="005A325F">
      <w:pPr>
        <w:pStyle w:val="Text2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É também necessário reforçar a assistência mútua em matéria de cobrança das dívidas fiscais.</w:t>
      </w:r>
    </w:p>
    <w:p w:rsidR="00B97235" w:rsidRPr="00506D21" w:rsidRDefault="005A325F">
      <w:pPr>
        <w:pStyle w:val="Text2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A luta contra as redes de criminalidade organizada e a fraude ao IVA na importação exige também a eliminação dos obstáculos a uma c</w:t>
      </w:r>
      <w:r w:rsidRPr="00506D21">
        <w:rPr>
          <w:noProof/>
          <w:lang w:val="pt-PT"/>
        </w:rPr>
        <w:t>ooperação eficaz entre as administrações fiscais e os serviços aduaneiros, bem como com as autoridades responsáveis pela aplicação da lei e as instituições financeiras a nível nacional e da UE. Neste contexto, a adoção das propostas da Comissão relativas à</w:t>
      </w:r>
      <w:r w:rsidRPr="00506D21">
        <w:rPr>
          <w:noProof/>
          <w:lang w:val="pt-PT"/>
        </w:rPr>
        <w:t xml:space="preserve"> proteção dos interesses financeiros da UE</w:t>
      </w:r>
      <w:r w:rsidRPr="00506D21">
        <w:rPr>
          <w:rStyle w:val="FootnoteReference"/>
          <w:noProof/>
        </w:rPr>
        <w:footnoteReference w:id="28"/>
      </w:r>
      <w:r w:rsidRPr="00506D21">
        <w:rPr>
          <w:noProof/>
          <w:lang w:val="pt-PT"/>
        </w:rPr>
        <w:t xml:space="preserve"> para abranger a fraude em matéria de IVA ao nível da UE e a proposta de criação de uma Procuradoria Europeia</w:t>
      </w:r>
      <w:r w:rsidRPr="00506D21">
        <w:rPr>
          <w:rStyle w:val="FootnoteReference"/>
          <w:noProof/>
        </w:rPr>
        <w:footnoteReference w:id="29"/>
      </w:r>
      <w:r w:rsidRPr="00506D21">
        <w:rPr>
          <w:noProof/>
          <w:lang w:val="pt-PT"/>
        </w:rPr>
        <w:t xml:space="preserve"> poderia desempenhar um papel significativo.</w:t>
      </w:r>
    </w:p>
    <w:p w:rsidR="00B97235" w:rsidRPr="00506D21" w:rsidRDefault="005A325F">
      <w:pPr>
        <w:pStyle w:val="Text2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Por último, uma melhor cooperação com as organizações inte</w:t>
      </w:r>
      <w:r w:rsidRPr="00506D21">
        <w:rPr>
          <w:noProof/>
          <w:lang w:val="pt-PT"/>
        </w:rPr>
        <w:t>rnacionais e os países terceiros em matéria de IVA deve permitir alargar o sistema de cooperação administrativa da UE a países terceiros, nomeadamente a fim de garantir uma tributação eficaz do comércio eletrónico.</w:t>
      </w:r>
      <w:bookmarkEnd w:id="25"/>
      <w:r w:rsidRPr="00506D21">
        <w:rPr>
          <w:noProof/>
          <w:lang w:val="pt-PT"/>
        </w:rPr>
        <w:t xml:space="preserve"> </w:t>
      </w:r>
      <w:bookmarkStart w:id="39" w:name="_Toc445104528"/>
    </w:p>
    <w:p w:rsidR="00B97235" w:rsidRPr="00506D21" w:rsidRDefault="005A325F">
      <w:pPr>
        <w:pStyle w:val="Heading2"/>
        <w:rPr>
          <w:noProof/>
          <w:color w:val="auto"/>
          <w:szCs w:val="24"/>
          <w:lang w:val="pt-PT"/>
        </w:rPr>
      </w:pPr>
      <w:bookmarkStart w:id="40" w:name="_Toc445973713"/>
      <w:r w:rsidRPr="00506D21">
        <w:rPr>
          <w:noProof/>
          <w:color w:val="auto"/>
          <w:lang w:val="pt-PT"/>
        </w:rPr>
        <w:t>Para uma maior eficiência das administra</w:t>
      </w:r>
      <w:r w:rsidRPr="00506D21">
        <w:rPr>
          <w:noProof/>
          <w:color w:val="auto"/>
          <w:lang w:val="pt-PT"/>
        </w:rPr>
        <w:t>ções fiscais</w:t>
      </w:r>
      <w:bookmarkEnd w:id="39"/>
      <w:bookmarkEnd w:id="40"/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 xml:space="preserve">Cabe às administrações fiscais dos Estados-Membros zelar pela aplicação da legislação fiscal. A cobrança do IVA e a luta contra a fraude num contexto económico mundial exige administrações fiscais fortes que disponham dos meios adequados para </w:t>
      </w:r>
      <w:r w:rsidRPr="00506D21">
        <w:rPr>
          <w:noProof/>
          <w:lang w:val="pt-PT"/>
        </w:rPr>
        <w:t xml:space="preserve">prestarem assistência </w:t>
      </w:r>
      <w:r w:rsidRPr="00506D21">
        <w:rPr>
          <w:noProof/>
          <w:lang w:val="pt-PT"/>
        </w:rPr>
        <w:lastRenderedPageBreak/>
        <w:t>mútua. Muitas das recomendações do Semestre Europeu instam os Estados-Membros a melhorar o cumprimento das obrigações fiscais e as  capacidades das respetivas administrações fiscais, pelo que deve ir-se mais longe no âmbito do intercâ</w:t>
      </w:r>
      <w:r w:rsidRPr="00506D21">
        <w:rPr>
          <w:noProof/>
          <w:lang w:val="pt-PT"/>
        </w:rPr>
        <w:t xml:space="preserve">mbio e da aplicação de boas práticas neste domínio. </w:t>
      </w:r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A modernização da cobrança do IVA também pode apresentar benefícios significativos. A governação em linha e as contas fiscais digitais simplificariam os procedimentos para as autoridades fiscais e reduzi</w:t>
      </w:r>
      <w:r w:rsidRPr="00506D21">
        <w:rPr>
          <w:noProof/>
          <w:lang w:val="pt-PT"/>
        </w:rPr>
        <w:t>riam os encargos para as empresas, tanto nos Estados-Membros como transfronteiras. Além disso, poderia contribuir para instaurar um clima de confiança e lutar contra a fraude.</w:t>
      </w:r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</w:rPr>
      </w:pPr>
      <w:r w:rsidRPr="00506D21">
        <w:rPr>
          <w:noProof/>
          <w:lang w:val="pt-PT"/>
        </w:rPr>
        <w:t>Chegou o momento de desenvolver uma agenda comum para as administrações fiscais,</w:t>
      </w:r>
      <w:r w:rsidRPr="00506D21">
        <w:rPr>
          <w:noProof/>
          <w:lang w:val="pt-PT"/>
        </w:rPr>
        <w:t xml:space="preserve"> a fim de instaurar um clima de confiança e reforçar as suas capacidades no combate à fraude e na adaptação à evolução económica, devendo este esforço ser realizado em conjunto. </w:t>
      </w:r>
      <w:r w:rsidRPr="00506D21">
        <w:rPr>
          <w:noProof/>
        </w:rPr>
        <w:t>Cabe à Comissão:</w:t>
      </w:r>
    </w:p>
    <w:p w:rsidR="00B97235" w:rsidRPr="00506D21" w:rsidRDefault="005A325F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prever um debate estratégico entre os dirigentes das 28 admin</w:t>
      </w:r>
      <w:r w:rsidRPr="00506D21">
        <w:rPr>
          <w:noProof/>
          <w:lang w:val="pt-PT"/>
        </w:rPr>
        <w:t>istrações fiscais e com as administrações aduaneiras, a fim de estabelecer uma agenda desse tipo;</w:t>
      </w:r>
    </w:p>
    <w:p w:rsidR="00B97235" w:rsidRPr="00506D21" w:rsidRDefault="005A325F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facilitar a celebração de acordos sobre as normas mínimas de qualidade aplicáveis às funções fundamentais da administração fiscal e à avaliação;</w:t>
      </w:r>
    </w:p>
    <w:p w:rsidR="00B97235" w:rsidRPr="00506D21" w:rsidRDefault="005A325F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fornecer plat</w:t>
      </w:r>
      <w:r w:rsidRPr="00506D21">
        <w:rPr>
          <w:noProof/>
          <w:lang w:val="pt-PT"/>
        </w:rPr>
        <w:t>aformas para a partilha tanto de conhecimentos e de experiências como de assistência técnica com vista a apoiar as reformas</w:t>
      </w:r>
      <w:r w:rsidRPr="00506D21">
        <w:rPr>
          <w:rStyle w:val="FootnoteReference"/>
          <w:noProof/>
        </w:rPr>
        <w:footnoteReference w:id="30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41" w:name="_Toc445104529"/>
      <w:bookmarkStart w:id="42" w:name="_Toc445973714"/>
      <w:r w:rsidRPr="00506D21">
        <w:rPr>
          <w:rFonts w:ascii="Times New Roman" w:hAnsi="Times New Roman" w:cs="Times New Roman"/>
          <w:noProof/>
          <w:color w:val="auto"/>
        </w:rPr>
        <w:t>Melhorar o cumprimento voluntário</w:t>
      </w:r>
      <w:bookmarkEnd w:id="41"/>
      <w:bookmarkEnd w:id="42"/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 xml:space="preserve">É também importante melhorar o cumprimento voluntário e a cooperação entre as empresas e as </w:t>
      </w:r>
      <w:r w:rsidRPr="00506D21">
        <w:rPr>
          <w:noProof/>
          <w:lang w:val="pt-PT"/>
        </w:rPr>
        <w:t>autoridades fiscais. A Comissão facilitará este processo, realizando ou financiando projetos concretos, como mecanismos eficazes de prevenção e de resolução de litígios no âmbito do Fórum da UE sobre o IVA e incentivará acordos entre as administrações fisc</w:t>
      </w:r>
      <w:r w:rsidRPr="00506D21">
        <w:rPr>
          <w:noProof/>
          <w:lang w:val="pt-PT"/>
        </w:rPr>
        <w:t>ais e os vários setores de atividade.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43" w:name="_Toc445104530"/>
      <w:bookmarkStart w:id="44" w:name="_Toc445973715"/>
      <w:r w:rsidRPr="00506D21">
        <w:rPr>
          <w:rFonts w:ascii="Times New Roman" w:hAnsi="Times New Roman" w:cs="Times New Roman"/>
          <w:noProof/>
          <w:color w:val="auto"/>
        </w:rPr>
        <w:t>Cobrança de impostos</w:t>
      </w:r>
      <w:bookmarkEnd w:id="43"/>
      <w:bookmarkEnd w:id="44"/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O comércio eletrónico, a economia colaborativa e as outras novas formas de atividade representam simultaneamente um desafio e uma oportunidade em termos de cobrança de impostos, o que é válido tant</w:t>
      </w:r>
      <w:r w:rsidRPr="00506D21">
        <w:rPr>
          <w:noProof/>
          <w:lang w:val="pt-PT"/>
        </w:rPr>
        <w:t>o ao nível nacional como transfronteiras. Os Estados-Membros devem trabalhar em conjunto e com o apoio da Comissão, a fim de definir e proceder ao intercâmbio de boas práticas para a fazer face a esses desafios. As novas abordagens em matéria de cobrança d</w:t>
      </w:r>
      <w:r w:rsidRPr="00506D21">
        <w:rPr>
          <w:noProof/>
          <w:lang w:val="pt-PT"/>
        </w:rPr>
        <w:t xml:space="preserve">e impostos podem, nomeadamente, incluir: novos instrumentos de informação, novas ferramentas de auditoria e a definição de novas funções para certos intermediários do mercado. 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pt-PT"/>
        </w:rPr>
      </w:pPr>
      <w:bookmarkStart w:id="45" w:name="_Toc444078141"/>
      <w:bookmarkStart w:id="46" w:name="_Toc444079588"/>
      <w:bookmarkStart w:id="47" w:name="_Toc444079915"/>
      <w:bookmarkStart w:id="48" w:name="_Toc445104531"/>
      <w:bookmarkStart w:id="49" w:name="_Toc445973716"/>
      <w:bookmarkStart w:id="50" w:name="_Toc439774635"/>
      <w:bookmarkEnd w:id="45"/>
      <w:bookmarkEnd w:id="46"/>
      <w:bookmarkEnd w:id="47"/>
      <w:r w:rsidRPr="00506D21">
        <w:rPr>
          <w:rFonts w:ascii="Times New Roman" w:hAnsi="Times New Roman" w:cs="Times New Roman"/>
          <w:noProof/>
          <w:color w:val="auto"/>
          <w:lang w:val="pt-PT"/>
        </w:rPr>
        <w:t>derrogação temporária para os Estados-Membros a fim de combater a fraude nacion</w:t>
      </w:r>
      <w:r w:rsidRPr="00506D21">
        <w:rPr>
          <w:rFonts w:ascii="Times New Roman" w:hAnsi="Times New Roman" w:cs="Times New Roman"/>
          <w:noProof/>
          <w:color w:val="auto"/>
          <w:lang w:val="pt-PT"/>
        </w:rPr>
        <w:t>al e estrutural</w:t>
      </w:r>
      <w:bookmarkEnd w:id="48"/>
      <w:bookmarkEnd w:id="49"/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 xml:space="preserve">A fraude ao IVA não afeta todos os países da UE da mesma forma; Com efeito, os desvios do IVA variam de menos de 5 % para mais de 40 %. Alguns Estados-Membros mais afetados </w:t>
      </w:r>
      <w:r w:rsidRPr="00506D21">
        <w:rPr>
          <w:noProof/>
          <w:lang w:val="pt-PT"/>
        </w:rPr>
        <w:lastRenderedPageBreak/>
        <w:t>solicitaram a possibilidade de aplicarem temporariamente um sistema</w:t>
      </w:r>
      <w:r w:rsidRPr="00506D21">
        <w:rPr>
          <w:noProof/>
          <w:lang w:val="pt-PT"/>
        </w:rPr>
        <w:t xml:space="preserve"> de autoliquidação generalizado que derrogue aos princípios gerais da Diretiva IVA</w:t>
      </w:r>
      <w:r w:rsidRPr="00506D21">
        <w:rPr>
          <w:rStyle w:val="FootnoteReference"/>
          <w:noProof/>
        </w:rPr>
        <w:footnoteReference w:id="31"/>
      </w:r>
      <w:r w:rsidRPr="00506D21">
        <w:rPr>
          <w:noProof/>
          <w:lang w:val="pt-PT"/>
        </w:rPr>
        <w:t xml:space="preserve">. Estes pedidos teriam por objetivo eliminar uma fraude ao IVA endémica, tendo em conta as especificidades dos Estados-Membros em causa. </w:t>
      </w:r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 xml:space="preserve">A Comissão reconhece a necessidade </w:t>
      </w:r>
      <w:r w:rsidRPr="00506D21">
        <w:rPr>
          <w:noProof/>
          <w:lang w:val="pt-PT"/>
        </w:rPr>
        <w:t>de encontrar soluções práticas e a curto prazo para combater a fraude ao IVA. Embora ultrapassem as possibilidades da Diretiva IVA atualmente vigente</w:t>
      </w:r>
      <w:r w:rsidRPr="00506D21">
        <w:rPr>
          <w:rStyle w:val="FootnoteReference"/>
          <w:noProof/>
        </w:rPr>
        <w:footnoteReference w:id="32"/>
      </w:r>
      <w:r w:rsidRPr="00506D21">
        <w:rPr>
          <w:noProof/>
          <w:lang w:val="pt-PT"/>
        </w:rPr>
        <w:t xml:space="preserve"> e exijam, por conseguinte, uma alteração da legislação, a Comissão está ciente da extrema importância des</w:t>
      </w:r>
      <w:r w:rsidRPr="00506D21">
        <w:rPr>
          <w:noProof/>
          <w:lang w:val="pt-PT"/>
        </w:rPr>
        <w:t>tes pedidos, propondo-se avaliar cuidadosamente as suas implicações políticas, jurídicas e económicas antes de apresentar as suas conclusões. As derrogações em causa não podem afetar de forma desproporcionada o bom funcionamento do mercado único e requerem</w:t>
      </w:r>
      <w:r w:rsidRPr="00506D21">
        <w:rPr>
          <w:noProof/>
          <w:lang w:val="pt-PT"/>
        </w:rPr>
        <w:t xml:space="preserve"> a unanimidade no Conselho. Esta avaliação contará com um trabalho de análise pormenorizada, a fim de garantir uma compreensão completa e precisa da situação e as possíveis implicações das derrogações temporárias. O eventual impacto sobre as empresas e as </w:t>
      </w:r>
      <w:r w:rsidRPr="00506D21">
        <w:rPr>
          <w:noProof/>
          <w:lang w:val="pt-PT"/>
        </w:rPr>
        <w:t xml:space="preserve">administrações fiscais, em especial em termos de custos de ajustamento, bem como de deslocação da fraude para países vizinhos e para a venda a retalho, deve ser um elemento fundamental a ter em conta. </w:t>
      </w:r>
    </w:p>
    <w:p w:rsidR="00B97235" w:rsidRPr="00506D21" w:rsidRDefault="005A325F">
      <w:pPr>
        <w:pStyle w:val="Text1"/>
        <w:spacing w:before="100" w:beforeAutospacing="1" w:after="100" w:afterAutospacing="1"/>
        <w:ind w:left="0"/>
        <w:rPr>
          <w:noProof/>
          <w:lang w:val="pt-PT"/>
        </w:rPr>
      </w:pPr>
      <w:r w:rsidRPr="00506D21">
        <w:rPr>
          <w:noProof/>
          <w:lang w:val="pt-PT"/>
        </w:rPr>
        <w:t>Em qualquer caso, existem já medidas administrativas c</w:t>
      </w:r>
      <w:r w:rsidRPr="00506D21">
        <w:rPr>
          <w:noProof/>
          <w:lang w:val="pt-PT"/>
        </w:rPr>
        <w:t>redíveis e que demonstraram a sua eficácia para conter a fraude em muitos Estados-Membros. Por conseguinte, a Comissão está disposta a ajudar os Estados-Membros interessados a melhorar o seu sistema de cobrança de impostos e a capacidade de controlo. Poder</w:t>
      </w:r>
      <w:r w:rsidRPr="00506D21">
        <w:rPr>
          <w:noProof/>
          <w:lang w:val="pt-PT"/>
        </w:rPr>
        <w:t>ão ser aplicados de forma célere programas abrangentes de reformas, inspirados pelas melhores práticas e que se baseiem numa cuidadosa análise dos desvios do IVA e nos esquemas de fraude nesses Estados-Membros. Tal pode beneficiar do apoio financeiro da Co</w:t>
      </w:r>
      <w:r w:rsidRPr="00506D21">
        <w:rPr>
          <w:noProof/>
          <w:lang w:val="pt-PT"/>
        </w:rPr>
        <w:t>missão e implicar os peritos das administrações fiscais nacionais com experiência neste domínio. Além disso, pode perspetivar-se o envolvimento do Eurofisc numa análise de risco e o lançamento de auditorias conjuntas, com base na participação voluntária da</w:t>
      </w:r>
      <w:r w:rsidRPr="00506D21">
        <w:rPr>
          <w:noProof/>
          <w:lang w:val="pt-PT"/>
        </w:rPr>
        <w:t xml:space="preserve">s administrações fiscais nacionais. </w:t>
      </w:r>
    </w:p>
    <w:p w:rsidR="00B97235" w:rsidRPr="00506D21" w:rsidRDefault="005A325F">
      <w:pPr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A avaliação destas derrogações deve ser realizada sem prejuízo das propostas para a aplicação do sistema de IVA definitivo a apresentar pela Comissão. A Comissão apresentará um relatório sobre a evolução desta questão </w:t>
      </w:r>
      <w:r w:rsidRPr="00506D21">
        <w:rPr>
          <w:noProof/>
          <w:lang w:val="pt-PT"/>
        </w:rPr>
        <w:t>em junho do ano em curso.</w:t>
      </w:r>
    </w:p>
    <w:p w:rsidR="00B97235" w:rsidRPr="00506D21" w:rsidRDefault="005A325F">
      <w:pPr>
        <w:pStyle w:val="Heading1"/>
        <w:rPr>
          <w:noProof/>
          <w:lang w:val="pt-PT"/>
        </w:rPr>
      </w:pPr>
      <w:bookmarkStart w:id="51" w:name="_Toc445104532"/>
      <w:bookmarkStart w:id="52" w:name="_Toc445973717"/>
      <w:r w:rsidRPr="00506D21">
        <w:rPr>
          <w:noProof/>
          <w:lang w:val="pt-PT"/>
        </w:rPr>
        <w:t>Medidas a médio prazo para combater os desvios do IVA: rumo a um espaço único sólido do IVA na UE</w:t>
      </w:r>
      <w:bookmarkEnd w:id="51"/>
      <w:bookmarkEnd w:id="52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sistema atual, em vigor desde 1993 e que deveria ser transitório, divide todas as operações transfronteiras em prestações de servi</w:t>
      </w:r>
      <w:r w:rsidRPr="00506D21">
        <w:rPr>
          <w:noProof/>
          <w:lang w:val="pt-PT"/>
        </w:rPr>
        <w:t xml:space="preserve">ços ou entregas de bens transfronteiras isenta e em aquisições transfronteiras tributáveis. É como um sistema aduaneiro, mas sem os controlos equivalentes, o que gera fraudes transfronteiras.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Este tipo de fraude ocorre se o fornecedor alegar ter transport</w:t>
      </w:r>
      <w:r w:rsidRPr="00506D21">
        <w:rPr>
          <w:noProof/>
          <w:lang w:val="pt-PT"/>
        </w:rPr>
        <w:t xml:space="preserve">ado bens para outro Estado-Membro, mas esses bens forem na realidade objeto de consumo local com isenção de IVA ou, mais concretamente, se um cliente de uma operação transfronteiras adquirir bens ou serviços </w:t>
      </w:r>
      <w:r w:rsidRPr="00506D21">
        <w:rPr>
          <w:noProof/>
          <w:lang w:val="pt-PT"/>
        </w:rPr>
        <w:lastRenderedPageBreak/>
        <w:t xml:space="preserve">sem IVA e cobrar este imposto sem o entregar às </w:t>
      </w:r>
      <w:r w:rsidRPr="00506D21">
        <w:rPr>
          <w:noProof/>
          <w:lang w:val="pt-PT"/>
        </w:rPr>
        <w:t>autoridades fiscais, ao passo que o seu cliente o pode deduzir</w:t>
      </w:r>
      <w:r w:rsidRPr="00506D21">
        <w:rPr>
          <w:rStyle w:val="FootnoteReference"/>
          <w:noProof/>
        </w:rPr>
        <w:footnoteReference w:id="33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Chegou agora o momento de adotar uma abordagem uniforme na luta contra a fraude que seja plenamente compatível com as exigências do mercado único. Mesmo as ambiciosas ações administrativas ac</w:t>
      </w:r>
      <w:r w:rsidRPr="00506D21">
        <w:rPr>
          <w:noProof/>
          <w:lang w:val="pt-PT"/>
        </w:rPr>
        <w:t>ima enunciadas para lutar contra os desvios do IVA, embora úteis, não seriam suficientes, por si só, para acabar com a fraude transfronteiras.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existência de um espaço único sólido do IVA na UE poderia permitir que as operações transfronteiras fossem trat</w:t>
      </w:r>
      <w:r w:rsidRPr="00506D21">
        <w:rPr>
          <w:noProof/>
          <w:lang w:val="pt-PT"/>
        </w:rPr>
        <w:t xml:space="preserve">adas da mesma forma que as operações nacionais, pondo termo à endémica fragilidade do sistema, </w:t>
      </w:r>
      <w:bookmarkEnd w:id="50"/>
      <w:r w:rsidRPr="00506D21">
        <w:rPr>
          <w:noProof/>
          <w:lang w:val="pt-PT"/>
        </w:rPr>
        <w:t>e integrando a gestão e aplicação do IVA através de uma cooperação mais estreita entre as administrações fiscais.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Na sequência das conclusões do Conselho de maio</w:t>
      </w:r>
      <w:r w:rsidRPr="00506D21">
        <w:rPr>
          <w:noProof/>
          <w:lang w:val="pt-PT"/>
        </w:rPr>
        <w:t xml:space="preserve"> de 2012, a Comissão encetou um diálogo transparente com os Estados-Membros e as outras partes interessadas</w:t>
      </w:r>
      <w:r w:rsidRPr="00506D21">
        <w:rPr>
          <w:rStyle w:val="FootnoteReference"/>
          <w:noProof/>
        </w:rPr>
        <w:footnoteReference w:id="34"/>
      </w:r>
      <w:r w:rsidRPr="00506D21">
        <w:rPr>
          <w:noProof/>
          <w:lang w:val="pt-PT"/>
        </w:rPr>
        <w:t>, tendo como objetivo examinar em pormenor as possíveis opções para a aplicação do «princípio do país de destino» no</w:t>
      </w:r>
      <w:r w:rsidRPr="00506D21">
        <w:rPr>
          <w:rStyle w:val="FootnoteReference"/>
          <w:noProof/>
        </w:rPr>
        <w:footnoteReference w:id="35"/>
      </w:r>
      <w:r w:rsidRPr="00506D21">
        <w:rPr>
          <w:noProof/>
          <w:lang w:val="pt-PT"/>
        </w:rPr>
        <w:t xml:space="preserve"> comércio B2B transfronteiras</w:t>
      </w:r>
      <w:r w:rsidRPr="00506D21">
        <w:rPr>
          <w:rStyle w:val="FootnoteReference"/>
          <w:noProof/>
        </w:rPr>
        <w:footnoteReference w:id="36"/>
      </w:r>
      <w:r w:rsidRPr="00506D21">
        <w:rPr>
          <w:noProof/>
          <w:lang w:val="pt-PT"/>
        </w:rPr>
        <w:t>,</w:t>
      </w:r>
      <w:r w:rsidRPr="00506D21">
        <w:rPr>
          <w:noProof/>
          <w:lang w:val="pt-PT"/>
        </w:rPr>
        <w:t xml:space="preserve"> nomeadamente a aplicação de um sistema de autoliquidação generalizado.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No âmbito de um sistema generalizado de autoliquidação, o IVA é «suspenso» ao longo de toda a cadeia económica, sendo apenas cobrado aos consumidores. Significa isto que a cobrança do </w:t>
      </w:r>
      <w:r w:rsidRPr="00506D21">
        <w:rPr>
          <w:noProof/>
          <w:lang w:val="pt-PT"/>
        </w:rPr>
        <w:t>IVA é transferida na íntegra para a venda a retalho. Um sistema desse tipo não tem o caráter autorregulador do atual sistema de IVA (ou seja, de acordo com o princípio do pagamento fracionado), que garante que um pequeno número de sujeitos passivos, fiávei</w:t>
      </w:r>
      <w:r w:rsidRPr="00506D21">
        <w:rPr>
          <w:noProof/>
          <w:lang w:val="pt-PT"/>
        </w:rPr>
        <w:t xml:space="preserve">s e de dimensão relativamente importante na cadeia económica representa a maior parte do IVA.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Além disso, outros tipos de fraude podem surgir, por exemplo, os autores de fraudes que alegam ser sujeitos passivos para poderem adquirir bens destinados a cons</w:t>
      </w:r>
      <w:r w:rsidRPr="00506D21">
        <w:rPr>
          <w:noProof/>
          <w:lang w:val="pt-PT"/>
        </w:rPr>
        <w:t xml:space="preserve">umo final sem IVA. Existe, portanto, um risco intrínseco e significativo de que a fraude e o consumo privado não tributado aumentem, em especial à luz das taxas de IVA elevadas dos países da UE (até 27 %).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conclusão da Comissão a partir deste trabalho é</w:t>
      </w:r>
      <w:r w:rsidRPr="00506D21">
        <w:rPr>
          <w:noProof/>
          <w:lang w:val="pt-PT"/>
        </w:rPr>
        <w:t>, por conseguinte, que a melhor opção para toda a UE é a de que as entregas de bens/prestações de serviços do tipo B2B na UE sejam tributadas do mesmo modo do que a nível nacional, o que corrigiria a falha principal do regime transitório, embora mantivesse</w:t>
      </w:r>
      <w:r w:rsidRPr="00506D21">
        <w:rPr>
          <w:noProof/>
          <w:lang w:val="pt-PT"/>
        </w:rPr>
        <w:t xml:space="preserve"> intactas as características intrínsecas do sistema do IVA.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Um sistema de tributação das prestações de serviços/entregas de bens transfronteiras deste tipo permitirá assegurar um tratamento coerente das prestações de serviços/entregas de bens nacionais e t</w:t>
      </w:r>
      <w:r w:rsidRPr="00506D21">
        <w:rPr>
          <w:noProof/>
          <w:lang w:val="pt-PT"/>
        </w:rPr>
        <w:t xml:space="preserve">ransfronteiras ao longo de toda a cadeia de produção e de distribuição, bem como restabelecer as características fundamentais do IVA nas trocas comerciais transfronteiras, ou seja, o sistema dos pagamentos fracionados, caracterizado pela autorregulação.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lastRenderedPageBreak/>
        <w:t>P</w:t>
      </w:r>
      <w:r w:rsidRPr="00506D21">
        <w:rPr>
          <w:noProof/>
          <w:lang w:val="pt-PT"/>
        </w:rPr>
        <w:t>or conseguinte, esta alteração deve reduzir a fraude transfronteiras em cerca de 40 mil milhões de euros (80 %) por ano na UE</w:t>
      </w:r>
      <w:r w:rsidRPr="00506D21">
        <w:rPr>
          <w:rStyle w:val="FootnoteReference"/>
          <w:noProof/>
        </w:rPr>
        <w:footnoteReference w:id="37"/>
      </w:r>
      <w:r w:rsidRPr="00506D21">
        <w:rPr>
          <w:noProof/>
          <w:lang w:val="pt-PT"/>
        </w:rPr>
        <w:t>. O consumo intermédio e final dos bens continuará a ser tributado no lugar para onde estes são transportados, o que é um indicado</w:t>
      </w:r>
      <w:r w:rsidRPr="00506D21">
        <w:rPr>
          <w:noProof/>
          <w:lang w:val="pt-PT"/>
        </w:rPr>
        <w:t>r fiável do lugar de consumo. Graças a este critério objetivo, será difícil para o sujeito passivo dedicar-se a operações de planeamento fiscal ou de fraude. Tal permitirá às administrações fiscais concentrar os recursos em relação a outros desafios.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Uma i</w:t>
      </w:r>
      <w:r w:rsidRPr="00506D21">
        <w:rPr>
          <w:noProof/>
          <w:lang w:val="pt-PT"/>
        </w:rPr>
        <w:t>mportante medida de simplificação deve ser tomada para acompanhar essa alteração. Por exemplo, o balcão único, que já existe para os serviços de telecomunicações, os serviços de radiodifusão e televisão e os serviços eletrónicos e que deve ser alargado a t</w:t>
      </w:r>
      <w:r w:rsidRPr="00506D21">
        <w:rPr>
          <w:noProof/>
          <w:lang w:val="pt-PT"/>
        </w:rPr>
        <w:t>odas as operações de comércio eletrónico</w:t>
      </w:r>
      <w:r w:rsidRPr="00506D21">
        <w:rPr>
          <w:rStyle w:val="FootnoteReference"/>
          <w:noProof/>
        </w:rPr>
        <w:footnoteReference w:id="38"/>
      </w:r>
      <w:r w:rsidRPr="00506D21">
        <w:rPr>
          <w:noProof/>
          <w:lang w:val="pt-PT"/>
        </w:rPr>
        <w:t>, beneficiará de uma implementação e reajustamento mais amplos, tendo em vista a plena exploração das oportunidades oferecidas pela tecnologia digital para simplificar, normalizar e modernizar os procedimentos. As e</w:t>
      </w:r>
      <w:r w:rsidRPr="00506D21">
        <w:rPr>
          <w:noProof/>
          <w:lang w:val="pt-PT"/>
        </w:rPr>
        <w:t>mpresas terão de se registar para efeitos de IVA apenas nos Estados-Membros em que estiverem estabelecidas. No seu conjunto, as empresas deverão poupar, em média, cerca de mil milhões de euros</w:t>
      </w:r>
      <w:r w:rsidRPr="00506D21">
        <w:rPr>
          <w:rStyle w:val="FootnoteReference"/>
          <w:noProof/>
        </w:rPr>
        <w:footnoteReference w:id="39"/>
      </w:r>
      <w:r w:rsidRPr="00506D21">
        <w:rPr>
          <w:noProof/>
          <w:lang w:val="pt-PT"/>
        </w:rPr>
        <w:t xml:space="preserve">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Um sistema desta natureza exige uma maior confiança e cooper</w:t>
      </w:r>
      <w:r w:rsidRPr="00506D21">
        <w:rPr>
          <w:noProof/>
          <w:lang w:val="pt-PT"/>
        </w:rPr>
        <w:t>ação entre administrações fiscais, dado que o Estado-Membro em que os bens são entregues depende do Estado-Membro de partida para cobrar o IVA devido sobre a prestação ou entrega transfronteiras. A eficiência na cobrança do IVA e na luta contra a fraude pe</w:t>
      </w:r>
      <w:r w:rsidRPr="00506D21">
        <w:rPr>
          <w:noProof/>
          <w:lang w:val="pt-PT"/>
        </w:rPr>
        <w:t>las administrações fiscais teria, por conseguinte, de ser alinhada ao mais alto nível. Um tal sistema implica igualmente alterações significativas para as empresas. A implementação deve ser gradual, a fim de garantir uma transição harmoniosa para as empres</w:t>
      </w:r>
      <w:r w:rsidRPr="00506D21">
        <w:rPr>
          <w:noProof/>
          <w:lang w:val="pt-PT"/>
        </w:rPr>
        <w:t>as e permitir a todos os Estados-Membros uma maior cooperação e o aperfeiçoamento das capacidades administrativas. Além disso, o sistema deve ser de fácil utilização e basear-se nas mais recentes tecnologias digitais disponíveis.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primeira etapa legislati</w:t>
      </w:r>
      <w:r w:rsidRPr="00506D21">
        <w:rPr>
          <w:noProof/>
          <w:lang w:val="pt-PT"/>
        </w:rPr>
        <w:t xml:space="preserve">va consiste em restabelecer o princípio da tributação das entregas de bens ou prestações de serviços transfronteiras e a alargar o balcão único às entregas de bens ou prestações de serviços transfronteiras do tipo B2B. No entanto, as empresas cumpridoras, </w:t>
      </w:r>
      <w:r w:rsidRPr="00506D21">
        <w:rPr>
          <w:noProof/>
          <w:lang w:val="pt-PT"/>
        </w:rPr>
        <w:t xml:space="preserve">certificadas pelas respetivas administrações fiscais, incluindo as PME, continuariam a ser responsáveis pelo pagamento do IVA sobre os bens ou serviços adquiridos noutros países da UE. Como as empresas cumpridoras representam a grande maioria dos sujeitos </w:t>
      </w:r>
      <w:r w:rsidRPr="00506D21">
        <w:rPr>
          <w:noProof/>
          <w:lang w:val="pt-PT"/>
        </w:rPr>
        <w:t xml:space="preserve">passivos que efetuam operações transfronteiras, os montantes de IVA que transitam pelo balcão único seriam consideravelmente reduzidos, o que facilitaria a adaptação das empresas.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Na segunda etapa legislativa, a tributação incide sobre todos os fluxos tra</w:t>
      </w:r>
      <w:r w:rsidRPr="00506D21">
        <w:rPr>
          <w:noProof/>
          <w:lang w:val="pt-PT"/>
        </w:rPr>
        <w:t>nsfronteiras, de modo a que todas as entregas de bens e prestações de serviços no mercado único, quer sejam nacionais quer transfronteiras, sejam tratados da mesma maneira. Para o efeito, é imprescindível melhorar significativamente a qualidade da cooperaç</w:t>
      </w:r>
      <w:r w:rsidRPr="00506D21">
        <w:rPr>
          <w:noProof/>
          <w:lang w:val="pt-PT"/>
        </w:rPr>
        <w:t>ão e dos instrumentos comuns de execução para instaurar a confiança mútua entre as administrações fiscais. A intensificação da cooperação através do Eurofisc e a melhoria das capacidades das administrações fiscais representam o primeiro passo para a consec</w:t>
      </w:r>
      <w:r w:rsidRPr="00506D21">
        <w:rPr>
          <w:noProof/>
          <w:lang w:val="pt-PT"/>
        </w:rPr>
        <w:t>ução desse objetivo. Apenas quando os Estados-Membros considerarem que a qualidade exigida foi atingida é que o sistema definitivo poderá ser plenamente implementado.</w:t>
      </w:r>
    </w:p>
    <w:p w:rsidR="00B97235" w:rsidRPr="00506D21" w:rsidRDefault="005A325F">
      <w:pPr>
        <w:pStyle w:val="Heading1"/>
        <w:rPr>
          <w:noProof/>
          <w:lang w:val="pt-PT"/>
        </w:rPr>
      </w:pPr>
      <w:bookmarkStart w:id="53" w:name="_Toc444158016"/>
      <w:bookmarkStart w:id="54" w:name="_Toc444158017"/>
      <w:bookmarkStart w:id="55" w:name="_Toc444158018"/>
      <w:bookmarkStart w:id="56" w:name="_Toc444158019"/>
      <w:bookmarkStart w:id="57" w:name="_Toc444158020"/>
      <w:bookmarkStart w:id="58" w:name="_Toc444158021"/>
      <w:bookmarkStart w:id="59" w:name="_Toc444158022"/>
      <w:bookmarkStart w:id="60" w:name="_Toc444158023"/>
      <w:bookmarkStart w:id="61" w:name="_Toc444158024"/>
      <w:bookmarkStart w:id="62" w:name="_Toc444158025"/>
      <w:bookmarkStart w:id="63" w:name="_Toc444158026"/>
      <w:bookmarkStart w:id="64" w:name="_Toc444158027"/>
      <w:bookmarkStart w:id="65" w:name="_Toc444158028"/>
      <w:bookmarkStart w:id="66" w:name="_Toc444158029"/>
      <w:bookmarkStart w:id="67" w:name="_Toc444158030"/>
      <w:bookmarkStart w:id="68" w:name="_Toc444158031"/>
      <w:bookmarkStart w:id="69" w:name="_Toc444158032"/>
      <w:bookmarkStart w:id="70" w:name="_Toc442781775"/>
      <w:bookmarkStart w:id="71" w:name="_Toc442781776"/>
      <w:bookmarkStart w:id="72" w:name="_Toc442781777"/>
      <w:bookmarkStart w:id="73" w:name="_Toc442781778"/>
      <w:bookmarkStart w:id="74" w:name="_Toc442781779"/>
      <w:bookmarkStart w:id="75" w:name="_Toc442781780"/>
      <w:bookmarkStart w:id="76" w:name="_Toc442781781"/>
      <w:bookmarkStart w:id="77" w:name="_Toc442781782"/>
      <w:bookmarkStart w:id="78" w:name="_Toc442781783"/>
      <w:bookmarkStart w:id="79" w:name="_Toc442781784"/>
      <w:bookmarkStart w:id="80" w:name="_Toc442781785"/>
      <w:bookmarkStart w:id="81" w:name="_Toc442781786"/>
      <w:bookmarkStart w:id="82" w:name="_Toc442781787"/>
      <w:bookmarkStart w:id="83" w:name="_Toc436644919"/>
      <w:bookmarkStart w:id="84" w:name="_Toc436645907"/>
      <w:bookmarkStart w:id="85" w:name="_Toc436644920"/>
      <w:bookmarkStart w:id="86" w:name="_Toc436645908"/>
      <w:bookmarkStart w:id="87" w:name="_Toc436644921"/>
      <w:bookmarkStart w:id="88" w:name="_Toc436645909"/>
      <w:bookmarkStart w:id="89" w:name="_Toc441577546"/>
      <w:bookmarkStart w:id="90" w:name="_Toc444158033"/>
      <w:bookmarkStart w:id="91" w:name="_Toc445104533"/>
      <w:bookmarkStart w:id="92" w:name="_Toc44597371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506D21">
        <w:rPr>
          <w:noProof/>
          <w:lang w:val="pt-PT"/>
        </w:rPr>
        <w:lastRenderedPageBreak/>
        <w:t>Para uma política modernizada das taxas</w:t>
      </w:r>
      <w:bookmarkEnd w:id="91"/>
      <w:bookmarkEnd w:id="92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A Diretiva IVA estabelece as regras gerais que </w:t>
      </w:r>
      <w:r w:rsidRPr="00506D21">
        <w:rPr>
          <w:noProof/>
          <w:lang w:val="pt-PT"/>
        </w:rPr>
        <w:t>regem a liberdade dos Estados-Membros em matéria de fixação das taxas de IVA. Estas regras visam garantir, acima de tudo, a neutralidade, simplicidade e viabilidade do sistema do IVA. O legislador optou por aplicar, como regra supletiva, uma taxa normal de</w:t>
      </w:r>
      <w:r w:rsidRPr="00506D21">
        <w:rPr>
          <w:noProof/>
          <w:lang w:val="pt-PT"/>
        </w:rPr>
        <w:t xml:space="preserve"> IVA para todas as entregas de bens e prestações de serviços tributáveis e fixar uma taxa mínima de 15 %. Estão, assim, previstas duas taxas reduzidas, fixadas em 5 % ou mais, aplicáveis unicamente a certos bens e serviços enumerados na Diretiva IVA</w:t>
      </w:r>
      <w:r w:rsidRPr="00506D21">
        <w:rPr>
          <w:rStyle w:val="FootnoteReference"/>
          <w:noProof/>
        </w:rPr>
        <w:footnoteReference w:id="40"/>
      </w:r>
      <w:r w:rsidRPr="00506D21">
        <w:rPr>
          <w:noProof/>
          <w:lang w:val="pt-PT"/>
        </w:rPr>
        <w:t>. Além</w:t>
      </w:r>
      <w:r w:rsidRPr="00506D21">
        <w:rPr>
          <w:noProof/>
          <w:lang w:val="pt-PT"/>
        </w:rPr>
        <w:t xml:space="preserve"> disso, são autorizadas várias taxas reduzidas, nomeadamente inferiores a 5 %, em certos Estados-Membros, em conformidade com as «derrogações específicas»</w:t>
      </w:r>
      <w:r w:rsidRPr="00506D21">
        <w:rPr>
          <w:rStyle w:val="FootnoteReference"/>
          <w:noProof/>
        </w:rPr>
        <w:footnoteReference w:id="41"/>
      </w:r>
      <w:r w:rsidRPr="00506D21">
        <w:rPr>
          <w:noProof/>
          <w:lang w:val="pt-PT"/>
        </w:rPr>
        <w:t>.</w:t>
      </w:r>
    </w:p>
    <w:p w:rsidR="00B97235" w:rsidRPr="00506D21" w:rsidRDefault="005A325F">
      <w:pPr>
        <w:jc w:val="both"/>
        <w:rPr>
          <w:noProof/>
          <w:lang w:val="pt-PT"/>
        </w:rPr>
      </w:pPr>
      <w:r w:rsidRPr="00506D21">
        <w:rPr>
          <w:noProof/>
          <w:lang w:val="pt-PT"/>
        </w:rPr>
        <w:t>Contudo, as regras atualmente em vigor não têm plenamente em conta a evolução tecnológica e económi</w:t>
      </w:r>
      <w:r w:rsidRPr="00506D21">
        <w:rPr>
          <w:noProof/>
          <w:lang w:val="pt-PT"/>
        </w:rPr>
        <w:t>ca. É o que acontece no caso dos livros e dos jornais digitais, que não podem beneficiar de taxas reduzidas aplicáveis às publicações em papel. Esta questão será abordada no âmbito da estratégia para o Mercado Único Digital.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Além disso, as regras foram con</w:t>
      </w:r>
      <w:r w:rsidRPr="00506D21">
        <w:rPr>
          <w:noProof/>
          <w:lang w:val="pt-PT"/>
        </w:rPr>
        <w:t>cebidas há mais de duas décadas com o objetivo de alcançar um sistema definitivo de IVA baseado no princípio do país de origem. Desde então, o IVA evoluiu para um sistema cada vez mais baseado no princípio do destino. As regras em matéria de taxas, contudo</w:t>
      </w:r>
      <w:r w:rsidRPr="00506D21">
        <w:rPr>
          <w:noProof/>
          <w:lang w:val="pt-PT"/>
        </w:rPr>
        <w:t>, nunca foram alteradas para refletir esta lógica, que permite uma maior diversidade das taxas de IVA. As diferenças de taxas de IVA podem, no entanto, ter influência sobre o funcionamento do mercado único num sistema em que os consumidores possam atravess</w:t>
      </w:r>
      <w:r w:rsidRPr="00506D21">
        <w:rPr>
          <w:noProof/>
          <w:lang w:val="pt-PT"/>
        </w:rPr>
        <w:t>ar as fronteiras para adquirir bens e serviços. Contudo, à exceção destes casos, ao contrário do que sucede no âmbito de um sistema baseado na origem, os fornecedores e prestadores estabelecidos num Estado-Membro de taxas reduzidas não retiram vantagens si</w:t>
      </w:r>
      <w:r w:rsidRPr="00506D21">
        <w:rPr>
          <w:noProof/>
          <w:lang w:val="pt-PT"/>
        </w:rPr>
        <w:t>gnificativas desta situação, de forma que as diferenças de taxas de IVA são menos suscetíveis de perturbar o funcionamento do mercado único.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As regras da Diretiva IVA visam preservar o funcionamento do mercado interno e evitar as distorções de concorrência</w:t>
      </w:r>
      <w:r w:rsidRPr="00506D21">
        <w:rPr>
          <w:noProof/>
          <w:lang w:val="pt-PT"/>
        </w:rPr>
        <w:t>. Em conformidade com o princípio da subsidiariedade, a Comissão recorda que a UE só pode atuar se e na medida em que os objetivos não possam ser suficientemente realizados pelos Estados-Membros e possam ser melhor alcançados a nível da União. Em resultado</w:t>
      </w:r>
      <w:r w:rsidRPr="00506D21">
        <w:rPr>
          <w:noProof/>
          <w:lang w:val="pt-PT"/>
        </w:rPr>
        <w:t xml:space="preserve"> das regras atualmente em vigor, os Estados-Membros têm de fazer face a um processo lento e difícil para alargar a aplicação de taxas reduzidas a novos domínios, uma vez que todas as decisões devem ser tomadas por unanimidade. Em consequência, a Diretiva I</w:t>
      </w:r>
      <w:r w:rsidRPr="00506D21">
        <w:rPr>
          <w:noProof/>
          <w:lang w:val="pt-PT"/>
        </w:rPr>
        <w:t xml:space="preserve">VA está a tornar-se obsoleta, por exemplo no que se refere aos produtos sujeitos ao progresso tecnológico.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Mais grave ainda, tendo em conta os prazos longos para adoção das alterações na legislação da UE, alguns Estados-Membros encontram-se em situação ir</w:t>
      </w:r>
      <w:r w:rsidRPr="00506D21">
        <w:rPr>
          <w:noProof/>
          <w:lang w:val="pt-PT"/>
        </w:rPr>
        <w:t>regular. Até à data, a Comissão teve de abrir mais de 40 processos de infração contra mais de dois terços dos Estados-Membros Uma reforma que concede mais liberdade aos Estados-Membros permitir-lhes-á tomar mais rapidamente as decisões que pretendem em mat</w:t>
      </w:r>
      <w:r w:rsidRPr="00506D21">
        <w:rPr>
          <w:noProof/>
          <w:lang w:val="pt-PT"/>
        </w:rPr>
        <w:t>éria de política fiscal, contribuindo para aliviar a UE de litígios desnecessários.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lastRenderedPageBreak/>
        <w:t>Por outro lado, o facto de os Estados-Membros fixarem livremente as suas taxas teria custos e inconvenientes, apesar de, só por si, não ameaçar o funcionamento do mercado ú</w:t>
      </w:r>
      <w:r w:rsidRPr="00506D21">
        <w:rPr>
          <w:noProof/>
          <w:lang w:val="pt-PT"/>
        </w:rPr>
        <w:t xml:space="preserve">nico. Esta situação é suscetível de provocar uma erosão das receitas do IVA, pois certos setores poderiam exigir um tratamento mais favorável. A longo prazo, tal poderia diminuir a matéria coletável, o que vai contra as recomendações de política económica </w:t>
      </w:r>
      <w:r w:rsidRPr="00506D21">
        <w:rPr>
          <w:noProof/>
          <w:lang w:val="pt-PT"/>
        </w:rPr>
        <w:t>da UE. Com efeito, a diferença entre as taxas reduzidas e as taxas normais tem vindo a aumentar nos últimos anos, diminuindo a eficácia do IVA e multiplicando as distorções. Por outro lado, uma maior descentralização pode tornar o sistema ainda mais comple</w:t>
      </w:r>
      <w:r w:rsidRPr="00506D21">
        <w:rPr>
          <w:noProof/>
          <w:lang w:val="pt-PT"/>
        </w:rPr>
        <w:t>xo, gerando custos suplementares para as empresas e criando uma situação de insegurança jurídica. Num sistema baseado no destino, no qual as empresas em cada Estado-Membro devem cobrar o IVA segundo as taxas aplicáveis noutros Estados-Membros, torna-se cad</w:t>
      </w:r>
      <w:r w:rsidRPr="00506D21">
        <w:rPr>
          <w:noProof/>
          <w:lang w:val="pt-PT"/>
        </w:rPr>
        <w:t>a vez mais importante que cada conjunto de regras nacionais seja simples e se baseie, na medida do possível, nas categorias de produtos harmonizados.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A opção por um sistema mais descentralizado depende, em última instância, das preferências políticas. Por </w:t>
      </w:r>
      <w:r w:rsidRPr="00506D21">
        <w:rPr>
          <w:noProof/>
          <w:lang w:val="pt-PT"/>
        </w:rPr>
        <w:t>conseguinte, a decisão de instituir um sistema desse tipo não é uma questão meramente técnica, mas requer um debate político. Existem várias subopções a nível técnico, mas, antes de mais, deve ser alcançado um consenso sobre as grandes orientações da refor</w:t>
      </w:r>
      <w:r w:rsidRPr="00506D21">
        <w:rPr>
          <w:noProof/>
          <w:lang w:val="pt-PT"/>
        </w:rPr>
        <w:t>ma. Duas grandes opções são apresentadas a seguir. Não são contraditórias. Representam diferentes graus de flexibilidade de que poderiam beneficiar os Estados-Membros.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pt-PT"/>
        </w:rPr>
      </w:pPr>
      <w:bookmarkStart w:id="93" w:name="_Toc445104534"/>
      <w:bookmarkStart w:id="94" w:name="_Toc445973719"/>
      <w:r w:rsidRPr="00506D21">
        <w:rPr>
          <w:rFonts w:ascii="Times New Roman" w:hAnsi="Times New Roman" w:cs="Times New Roman"/>
          <w:noProof/>
          <w:color w:val="auto"/>
          <w:lang w:val="pt-PT"/>
        </w:rPr>
        <w:t>Opção 1: Prorrogação e revisão regular da lista de bens e serviços a que podem ser aplic</w:t>
      </w:r>
      <w:r w:rsidRPr="00506D21">
        <w:rPr>
          <w:rFonts w:ascii="Times New Roman" w:hAnsi="Times New Roman" w:cs="Times New Roman"/>
          <w:noProof/>
          <w:color w:val="auto"/>
          <w:lang w:val="pt-PT"/>
        </w:rPr>
        <w:t>adas taxas reduzidas</w:t>
      </w:r>
      <w:bookmarkEnd w:id="93"/>
      <w:bookmarkEnd w:id="94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taxa normal mínima de IVA de 15 % é mantida. A lista dos bens e serviços elegíveis para a aplicação de uma taxa reduzida deve ser revista no contexto da passagem para o sistema definitivo e, posteriormente, a intervalos regulares, te</w:t>
      </w:r>
      <w:r w:rsidRPr="00506D21">
        <w:rPr>
          <w:noProof/>
          <w:lang w:val="pt-PT"/>
        </w:rPr>
        <w:t xml:space="preserve">ndo em conta, nomeadamente, as prioridades políticas. Os Estados-Membros podem apresentar à Comissão os seus pontos de vista sobre as necessidades de ajustamento.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 xml:space="preserve">A Comissão, com o apoio dos Estados-Membros, analisa se tais alterações podem representar um risco para o funcionamento do mercado único ou gerar distorções da concorrência e comunica as suas conclusões antes da adoção de qualquer alteração.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No âmbito des</w:t>
      </w:r>
      <w:r w:rsidRPr="00506D21">
        <w:rPr>
          <w:noProof/>
          <w:lang w:val="pt-PT"/>
        </w:rPr>
        <w:t>ta opção, todas as taxas reduzidas atualmente existentes, incluindo as derrogações legalmente aplicadas nos Estados-Membros, são mantidas e podem ser incluídas na lista de taxas reduzidas opcionais à disposição de todos os Estados-Membros, garantindo, assi</w:t>
      </w:r>
      <w:r w:rsidRPr="00506D21">
        <w:rPr>
          <w:noProof/>
          <w:lang w:val="pt-PT"/>
        </w:rPr>
        <w:t xml:space="preserve">m, a igualdade de tratamento. </w:t>
      </w:r>
    </w:p>
    <w:p w:rsidR="00B97235" w:rsidRPr="00506D21" w:rsidRDefault="005A325F">
      <w:pPr>
        <w:pStyle w:val="Heading2"/>
        <w:jc w:val="both"/>
        <w:rPr>
          <w:rFonts w:ascii="Times New Roman" w:hAnsi="Times New Roman" w:cs="Times New Roman"/>
          <w:noProof/>
          <w:color w:val="auto"/>
        </w:rPr>
      </w:pPr>
      <w:bookmarkStart w:id="95" w:name="_Toc445104535"/>
      <w:bookmarkStart w:id="96" w:name="_Toc445973720"/>
      <w:r w:rsidRPr="00506D21">
        <w:rPr>
          <w:rFonts w:ascii="Times New Roman" w:hAnsi="Times New Roman" w:cs="Times New Roman"/>
          <w:noProof/>
          <w:color w:val="auto"/>
        </w:rPr>
        <w:t>Opção 2: Supressão da lista</w:t>
      </w:r>
      <w:bookmarkEnd w:id="95"/>
      <w:bookmarkEnd w:id="96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abordagem mais ambiciosa no que respeita à concessão de uma maior liberdade aos Estados-Membros na fixação das taxas consiste em suprimir a lista e facultar-lhes uma maior margem de manobra quant</w:t>
      </w:r>
      <w:r w:rsidRPr="00506D21">
        <w:rPr>
          <w:noProof/>
          <w:lang w:val="pt-PT"/>
        </w:rPr>
        <w:t xml:space="preserve">o ao número de taxas reduzidas e ao seu nível.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Embora os Estados-Membros possam permanecer condicionados pela legislação da UE, nomeadamente as regras relativas ao mercado único ou à concorrência, e pelo quadro de governação económica da UE, esta opção im</w:t>
      </w:r>
      <w:r w:rsidRPr="00506D21">
        <w:rPr>
          <w:noProof/>
          <w:lang w:val="pt-PT"/>
        </w:rPr>
        <w:t xml:space="preserve">plica a aplicação de salvaguardas que evitem a concorrência fiscal desleal no mercado único e que garantam, simultaneamente, a segurança jurídica e reduzam os custos de conformidade. A liberdade de fixação das taxas do IVA deve, </w:t>
      </w:r>
      <w:r w:rsidRPr="00506D21">
        <w:rPr>
          <w:noProof/>
          <w:lang w:val="pt-PT"/>
        </w:rPr>
        <w:lastRenderedPageBreak/>
        <w:t>por conseguinte, ser acompa</w:t>
      </w:r>
      <w:r w:rsidRPr="00506D21">
        <w:rPr>
          <w:noProof/>
          <w:lang w:val="pt-PT"/>
        </w:rPr>
        <w:t>nhada de um certo número de regras de base que permitam reger os casos em que as taxas reduzidas podem ser aplicadas.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Em especial, os Estados-Membros podem ser convidados a informar a Comissão e os outros Estados-Membros sobre qualquer medida nova e a aval</w:t>
      </w:r>
      <w:r w:rsidRPr="00506D21">
        <w:rPr>
          <w:noProof/>
          <w:lang w:val="pt-PT"/>
        </w:rPr>
        <w:t>iar os eventuais efeitos sobre o mercado único. A fim de evitar a concorrência fiscal desleal relativamente às aquisições transfronteiras, uma solução possível pode consistir em impedir a aplicação de taxas reduzidas a bens e serviços de elevado valor acre</w:t>
      </w:r>
      <w:r w:rsidRPr="00506D21">
        <w:rPr>
          <w:noProof/>
          <w:lang w:val="pt-PT"/>
        </w:rPr>
        <w:t>scentado, em especial os bens facilmente transportáveis. A fim de assegurar a coerência global e a simplicidade do sistema de taxas, o número total das taxas reduzidas autorizadas pelos Estados-Membros pode ser limitado. Estes elementos restringem a possib</w:t>
      </w:r>
      <w:r w:rsidRPr="00506D21">
        <w:rPr>
          <w:noProof/>
          <w:lang w:val="pt-PT"/>
        </w:rPr>
        <w:t>ilidade de desagravamentos fiscais abusivos em setores cuidadosamente selecionados.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</w:rPr>
      </w:pPr>
      <w:r w:rsidRPr="00506D21">
        <w:rPr>
          <w:noProof/>
          <w:lang w:val="pt-PT"/>
        </w:rPr>
        <w:t>De referir igualmente que, no âmbito desta opção, todas as taxas reduzidas atualmente existentes, incluindo as derrogações, legalmente aplicadas nos Estados-Membros são man</w:t>
      </w:r>
      <w:r w:rsidRPr="00506D21">
        <w:rPr>
          <w:noProof/>
          <w:lang w:val="pt-PT"/>
        </w:rPr>
        <w:t xml:space="preserve">tidas e todos os Estados-Membros têm a possibilidade de a elas recorrer. </w:t>
      </w:r>
      <w:r w:rsidRPr="00506D21">
        <w:rPr>
          <w:noProof/>
        </w:rPr>
        <w:t>A taxa normal mínima de IVA é suprimida.</w:t>
      </w:r>
    </w:p>
    <w:p w:rsidR="00B97235" w:rsidRPr="00506D21" w:rsidRDefault="005A325F">
      <w:pPr>
        <w:pStyle w:val="Heading1"/>
        <w:rPr>
          <w:noProof/>
        </w:rPr>
      </w:pPr>
      <w:bookmarkStart w:id="97" w:name="_Toc441577549"/>
      <w:bookmarkStart w:id="98" w:name="_Toc441577550"/>
      <w:bookmarkStart w:id="99" w:name="_Toc441577551"/>
      <w:bookmarkStart w:id="100" w:name="_Toc441577552"/>
      <w:bookmarkStart w:id="101" w:name="_Toc441577553"/>
      <w:bookmarkStart w:id="102" w:name="_Toc441577554"/>
      <w:bookmarkStart w:id="103" w:name="_Toc441577555"/>
      <w:bookmarkStart w:id="104" w:name="_Toc441577556"/>
      <w:bookmarkStart w:id="105" w:name="_Toc441577557"/>
      <w:bookmarkStart w:id="106" w:name="_Toc441577558"/>
      <w:bookmarkStart w:id="107" w:name="_Toc441577559"/>
      <w:bookmarkStart w:id="108" w:name="_Toc441577560"/>
      <w:bookmarkStart w:id="109" w:name="_Toc441577561"/>
      <w:bookmarkStart w:id="110" w:name="_Toc441577562"/>
      <w:bookmarkStart w:id="111" w:name="_Toc441577563"/>
      <w:bookmarkStart w:id="112" w:name="_Toc441577564"/>
      <w:bookmarkStart w:id="113" w:name="_Toc441577565"/>
      <w:bookmarkStart w:id="114" w:name="_Toc441577566"/>
      <w:bookmarkStart w:id="115" w:name="_Toc441577567"/>
      <w:bookmarkStart w:id="116" w:name="_Toc441577568"/>
      <w:bookmarkStart w:id="117" w:name="_Toc441577569"/>
      <w:bookmarkStart w:id="118" w:name="_Toc441577573"/>
      <w:bookmarkStart w:id="119" w:name="_Toc439774650"/>
      <w:bookmarkStart w:id="120" w:name="_Toc445104536"/>
      <w:bookmarkStart w:id="121" w:name="_Toc445973721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506D21">
        <w:rPr>
          <w:noProof/>
        </w:rPr>
        <w:t>Conclusão</w:t>
      </w:r>
      <w:bookmarkEnd w:id="119"/>
      <w:bookmarkEnd w:id="120"/>
      <w:bookmarkEnd w:id="121"/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O plano de ação definiu o caminho a seguir para a criação de um espaço único IVA da UE. As iniciativas decorrentes da presente comun</w:t>
      </w:r>
      <w:r w:rsidRPr="00506D21">
        <w:rPr>
          <w:noProof/>
          <w:lang w:val="pt-PT"/>
        </w:rPr>
        <w:t>icação serão elaboradas em conformidade com as orientações do Programa «Legislar melhor» da Comissão</w:t>
      </w:r>
      <w:r w:rsidRPr="00506D21">
        <w:rPr>
          <w:rStyle w:val="FootnoteReference"/>
          <w:noProof/>
        </w:rPr>
        <w:footnoteReference w:id="42"/>
      </w:r>
      <w:r w:rsidRPr="00506D21">
        <w:rPr>
          <w:noProof/>
          <w:lang w:val="pt-PT"/>
        </w:rPr>
        <w:t xml:space="preserve">. </w:t>
      </w:r>
    </w:p>
    <w:p w:rsidR="00B97235" w:rsidRP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Comissão insta o Parlamento Europeu e o Conselho, apoiados pelo Comité Económico e Social Europeu, a apresentar, logo que possível, orientações políti</w:t>
      </w:r>
      <w:r w:rsidRPr="00506D21">
        <w:rPr>
          <w:noProof/>
          <w:lang w:val="pt-PT"/>
        </w:rPr>
        <w:t>cas claras e que confirmem a sua vontade de apoiar as orientações enunciadas na presente comunicação.</w:t>
      </w:r>
    </w:p>
    <w:p w:rsidR="00506D21" w:rsidRDefault="005A325F">
      <w:pPr>
        <w:spacing w:before="100" w:beforeAutospacing="1" w:after="100" w:afterAutospacing="1"/>
        <w:jc w:val="both"/>
        <w:rPr>
          <w:noProof/>
          <w:lang w:val="pt-PT"/>
        </w:rPr>
      </w:pPr>
      <w:r w:rsidRPr="00506D21">
        <w:rPr>
          <w:noProof/>
          <w:lang w:val="pt-PT"/>
        </w:rPr>
        <w:t>A fim de assegurar uma supervisão permanente da revisão geral do sistema de IVA da UE, que teve início em 2011, a Comissão irá continuar a apresentar rela</w:t>
      </w:r>
      <w:r w:rsidRPr="00506D21">
        <w:rPr>
          <w:noProof/>
          <w:lang w:val="pt-PT"/>
        </w:rPr>
        <w:t>tórios regulares sobre a evolução dessa revisão e indicará novas ações.</w:t>
      </w:r>
    </w:p>
    <w:p w:rsidR="00506D21" w:rsidRDefault="00506D21" w:rsidP="00506D21">
      <w:pPr>
        <w:rPr>
          <w:noProof/>
          <w:lang w:val="pt-PT"/>
        </w:rPr>
      </w:pPr>
      <w:r>
        <w:rPr>
          <w:noProof/>
          <w:lang w:val="pt-PT"/>
        </w:rPr>
        <w:br w:type="page"/>
      </w:r>
    </w:p>
    <w:p w:rsidR="00B97235" w:rsidRPr="00506D21" w:rsidRDefault="00B97235">
      <w:pPr>
        <w:spacing w:before="100" w:beforeAutospacing="1" w:after="100" w:afterAutospacing="1"/>
        <w:jc w:val="both"/>
        <w:rPr>
          <w:noProof/>
          <w:lang w:val="pt-PT"/>
        </w:rPr>
      </w:pPr>
    </w:p>
    <w:p w:rsidR="00B97235" w:rsidRPr="00506D21" w:rsidRDefault="005A325F">
      <w:pPr>
        <w:pStyle w:val="Heading1"/>
        <w:rPr>
          <w:noProof/>
        </w:rPr>
      </w:pPr>
      <w:bookmarkStart w:id="122" w:name="_Toc439774651"/>
      <w:bookmarkStart w:id="123" w:name="_Toc445104537"/>
      <w:bookmarkStart w:id="124" w:name="_Toc445973722"/>
      <w:r w:rsidRPr="00506D21">
        <w:rPr>
          <w:noProof/>
        </w:rPr>
        <w:t>Calendário</w:t>
      </w:r>
      <w:bookmarkEnd w:id="122"/>
      <w:bookmarkEnd w:id="123"/>
      <w:bookmarkEnd w:id="124"/>
    </w:p>
    <w:p w:rsidR="00B97235" w:rsidRPr="00506D21" w:rsidRDefault="005A325F">
      <w:pPr>
        <w:spacing w:before="100" w:beforeAutospacing="1" w:after="100" w:afterAutospacing="1"/>
        <w:jc w:val="both"/>
        <w:rPr>
          <w:b/>
          <w:noProof/>
          <w:lang w:val="pt-PT"/>
        </w:rPr>
      </w:pPr>
      <w:r w:rsidRPr="00506D21">
        <w:rPr>
          <w:b/>
          <w:noProof/>
          <w:lang w:val="pt-PT"/>
        </w:rPr>
        <w:t>Adaptação do sistema do IVA à economia digital e às necessidades das PME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696"/>
        <w:gridCol w:w="8652"/>
      </w:tblGrid>
      <w:tr w:rsidR="00506D21" w:rsidRPr="00506D21">
        <w:trPr>
          <w:trHeight w:val="552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2016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b/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 xml:space="preserve">Proposta de eliminação dos obstáculos ao comércio eletrónico transfronteiras (Mercado Único </w:t>
            </w:r>
            <w:r w:rsidRPr="00506D21">
              <w:rPr>
                <w:noProof/>
                <w:lang w:val="pt-PT"/>
              </w:rPr>
              <w:t>Digital — REFIT) — publicações eletrónicas</w:t>
            </w:r>
          </w:p>
        </w:tc>
      </w:tr>
      <w:tr w:rsidR="00506D21" w:rsidRPr="00506D21">
        <w:trPr>
          <w:trHeight w:val="552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2017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b/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>Pacote de medidas sobre o IVA aplicável às PME</w:t>
            </w:r>
          </w:p>
        </w:tc>
      </w:tr>
    </w:tbl>
    <w:p w:rsidR="00B97235" w:rsidRPr="00506D21" w:rsidRDefault="005A325F">
      <w:pPr>
        <w:spacing w:before="100" w:beforeAutospacing="1" w:after="100" w:afterAutospacing="1"/>
        <w:jc w:val="both"/>
        <w:rPr>
          <w:b/>
          <w:noProof/>
          <w:lang w:val="pt-PT"/>
        </w:rPr>
      </w:pPr>
      <w:r w:rsidRPr="00506D21">
        <w:rPr>
          <w:b/>
          <w:noProof/>
          <w:lang w:val="pt-PT"/>
        </w:rPr>
        <w:t>Rumo a um espaço único sólido do IVA na UE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696"/>
        <w:gridCol w:w="8652"/>
      </w:tblGrid>
      <w:tr w:rsidR="00506D21" w:rsidRPr="00506D21">
        <w:trPr>
          <w:trHeight w:val="550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2016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b/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>Medidas destinadas a melhorar a cooperação entre as administrações fiscais, bem como com os serviços aduaneiros</w:t>
            </w:r>
            <w:r w:rsidRPr="00506D21">
              <w:rPr>
                <w:noProof/>
                <w:lang w:val="pt-PT"/>
              </w:rPr>
              <w:t xml:space="preserve"> e as autoridades responsáveis pela aplicação da lei e a reforçar a capacidade das administrações fiscais</w:t>
            </w:r>
          </w:p>
        </w:tc>
      </w:tr>
      <w:tr w:rsidR="00506D21" w:rsidRPr="00506D21">
        <w:trPr>
          <w:trHeight w:val="550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2016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>Relatório de avaliação da diretiva relativa à assistência mútua em matéria de cobrança das dívidas fiscais</w:t>
            </w:r>
          </w:p>
        </w:tc>
      </w:tr>
      <w:tr w:rsidR="00506D21" w:rsidRPr="00506D21">
        <w:trPr>
          <w:trHeight w:val="550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2017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b/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>Proposta para melhorar a cooper</w:t>
            </w:r>
            <w:r w:rsidRPr="00506D21">
              <w:rPr>
                <w:noProof/>
                <w:lang w:val="pt-PT"/>
              </w:rPr>
              <w:t>ação administrativa em matéria de IVA e do Eurofisc</w:t>
            </w:r>
          </w:p>
        </w:tc>
      </w:tr>
      <w:tr w:rsidR="00506D21" w:rsidRPr="00506D21">
        <w:trPr>
          <w:trHeight w:val="550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2017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>Proposta relativa ao sistema definitivo de IVA para o comércio transfronteiras (espaço único do IVA na UE — primeira fase — REFIT)</w:t>
            </w:r>
          </w:p>
        </w:tc>
      </w:tr>
    </w:tbl>
    <w:p w:rsidR="00B97235" w:rsidRPr="00506D21" w:rsidRDefault="005A325F">
      <w:pPr>
        <w:spacing w:before="100" w:beforeAutospacing="1" w:after="100" w:afterAutospacing="1"/>
        <w:jc w:val="both"/>
        <w:rPr>
          <w:b/>
          <w:noProof/>
          <w:lang w:val="pt-PT"/>
        </w:rPr>
      </w:pPr>
      <w:r w:rsidRPr="00506D21">
        <w:rPr>
          <w:b/>
          <w:noProof/>
          <w:lang w:val="pt-PT"/>
        </w:rPr>
        <w:t>Para uma política modernizada das taxas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696"/>
        <w:gridCol w:w="8652"/>
      </w:tblGrid>
      <w:tr w:rsidR="00506D21" w:rsidRPr="00506D21">
        <w:trPr>
          <w:trHeight w:val="550"/>
        </w:trPr>
        <w:tc>
          <w:tcPr>
            <w:tcW w:w="0" w:type="auto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506D21">
              <w:rPr>
                <w:b/>
                <w:noProof/>
              </w:rPr>
              <w:t>2017</w:t>
            </w:r>
          </w:p>
        </w:tc>
        <w:tc>
          <w:tcPr>
            <w:tcW w:w="8652" w:type="dxa"/>
            <w:vAlign w:val="center"/>
          </w:tcPr>
          <w:p w:rsidR="00B97235" w:rsidRPr="00506D21" w:rsidRDefault="005A325F">
            <w:pPr>
              <w:spacing w:before="100" w:beforeAutospacing="1" w:after="100" w:afterAutospacing="1"/>
              <w:rPr>
                <w:b/>
                <w:noProof/>
                <w:lang w:val="pt-PT"/>
              </w:rPr>
            </w:pPr>
            <w:r w:rsidRPr="00506D21">
              <w:rPr>
                <w:noProof/>
                <w:lang w:val="pt-PT"/>
              </w:rPr>
              <w:t xml:space="preserve">Reforma das taxas do </w:t>
            </w:r>
            <w:r w:rsidRPr="00506D21">
              <w:rPr>
                <w:noProof/>
                <w:lang w:val="pt-PT"/>
              </w:rPr>
              <w:t>IVA (REFIT)</w:t>
            </w:r>
          </w:p>
        </w:tc>
      </w:tr>
    </w:tbl>
    <w:p w:rsidR="00B97235" w:rsidRPr="00506D21" w:rsidRDefault="00B97235">
      <w:pPr>
        <w:spacing w:before="100" w:beforeAutospacing="1" w:after="100" w:afterAutospacing="1"/>
        <w:jc w:val="both"/>
        <w:rPr>
          <w:noProof/>
          <w:lang w:val="pt-PT"/>
        </w:rPr>
      </w:pPr>
    </w:p>
    <w:p w:rsidR="00B97235" w:rsidRPr="00506D21" w:rsidRDefault="00B97235">
      <w:pPr>
        <w:pStyle w:val="Text2"/>
        <w:spacing w:before="100" w:beforeAutospacing="1" w:after="100" w:afterAutospacing="1"/>
        <w:ind w:left="0"/>
        <w:rPr>
          <w:noProof/>
          <w:lang w:val="pt-PT"/>
        </w:rPr>
      </w:pPr>
    </w:p>
    <w:sectPr w:rsidR="00B97235" w:rsidRPr="00506D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5F" w:rsidRDefault="005A325F">
      <w:r>
        <w:separator/>
      </w:r>
    </w:p>
  </w:endnote>
  <w:endnote w:type="continuationSeparator" w:id="0">
    <w:p w:rsidR="005A325F" w:rsidRDefault="005A325F">
      <w:r>
        <w:continuationSeparator/>
      </w:r>
    </w:p>
  </w:endnote>
  <w:endnote w:type="continuationNotice" w:id="1">
    <w:p w:rsidR="005A325F" w:rsidRDefault="005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5A325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344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235" w:rsidRDefault="005A3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235" w:rsidRDefault="00B9723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5F" w:rsidRDefault="005A325F">
      <w:r>
        <w:separator/>
      </w:r>
    </w:p>
  </w:footnote>
  <w:footnote w:type="continuationSeparator" w:id="0">
    <w:p w:rsidR="005A325F" w:rsidRDefault="005A325F">
      <w:r>
        <w:continuationSeparator/>
      </w:r>
    </w:p>
  </w:footnote>
  <w:footnote w:type="continuationNotice" w:id="1">
    <w:p w:rsidR="005A325F" w:rsidRDefault="005A325F"/>
  </w:footnote>
  <w:footnote w:id="2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Imposto sobre o valor acrescentado:</w:t>
      </w:r>
    </w:p>
  </w:footnote>
  <w:footnote w:id="3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17,5 % das receitas fiscais nacionais, incluindo as contribuições sociais (Eurostat).</w:t>
      </w:r>
    </w:p>
  </w:footnote>
  <w:footnote w:id="4">
    <w:p w:rsidR="00B97235" w:rsidRDefault="005A3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Ernst &amp; Young, </w:t>
      </w:r>
      <w:r>
        <w:rPr>
          <w:i/>
        </w:rPr>
        <w:t xml:space="preserve">Implementing the «destination principle» to intra-EU </w:t>
      </w:r>
      <w:r>
        <w:rPr>
          <w:i/>
        </w:rPr>
        <w:t>B2B supplies of goods – Feasibility and economic evaluation study</w:t>
      </w:r>
      <w:r>
        <w:t xml:space="preserve">, 2015. </w:t>
      </w:r>
    </w:p>
  </w:footnote>
  <w:footnote w:id="5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Os custos de conformidade para as empresas são estimados entre 2 e 8 % da cobrança do IVA (Institute for Fiscal Studies, </w:t>
      </w:r>
      <w:r>
        <w:rPr>
          <w:i/>
          <w:lang w:val="pt-PT"/>
        </w:rPr>
        <w:t>A retrospective evaluation of elements of the EU VAT syste</w:t>
      </w:r>
      <w:r>
        <w:rPr>
          <w:i/>
          <w:lang w:val="pt-PT"/>
        </w:rPr>
        <w:t>m</w:t>
      </w:r>
      <w:r>
        <w:rPr>
          <w:lang w:val="pt-PT"/>
        </w:rPr>
        <w:t>, 2011).</w:t>
      </w:r>
    </w:p>
  </w:footnote>
  <w:footnote w:id="6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A diferença entre as receitas de IVA esperadas e o IVA efetivamente cobrado pelas autoridades nacionais. Os desvios do IVA fornecem uma estimativa da perda de receitas devidas à fraude e à evasão, à elisão fiscal, às falências, às insolvências</w:t>
      </w:r>
      <w:r>
        <w:rPr>
          <w:lang w:val="pt-PT"/>
        </w:rPr>
        <w:t xml:space="preserve"> financeiras e aos erros de cálculo (CASE, </w:t>
      </w:r>
      <w:r>
        <w:rPr>
          <w:i/>
          <w:lang w:val="pt-PT"/>
        </w:rPr>
        <w:t>Study to quantify and analyse the VAT Gap in the EU Member States</w:t>
      </w:r>
      <w:r>
        <w:rPr>
          <w:lang w:val="pt-PT"/>
        </w:rPr>
        <w:t>, 2015).</w:t>
      </w:r>
    </w:p>
  </w:footnote>
  <w:footnote w:id="7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Ernst &amp; Young, 2015. </w:t>
      </w:r>
    </w:p>
  </w:footnote>
  <w:footnote w:id="8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No âmbito do programa para a adequação e a eficácia da regulamentação (REFIT).</w:t>
      </w:r>
    </w:p>
  </w:footnote>
  <w:footnote w:id="9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Ernst &amp; Young, 2015. </w:t>
      </w:r>
    </w:p>
  </w:footnote>
  <w:footnote w:id="10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COM(</w:t>
      </w:r>
      <w:r>
        <w:rPr>
          <w:lang w:val="pt-PT"/>
        </w:rPr>
        <w:t>2010) 695, documento de trabalho dos serviços da Comissão, SEC(2010) 1455 de 1.12.2010.</w:t>
      </w:r>
    </w:p>
  </w:footnote>
  <w:footnote w:id="11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COM(2011) 851 de 6.12.2011.</w:t>
      </w:r>
    </w:p>
  </w:footnote>
  <w:footnote w:id="12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hyperlink r:id="rId1" w:history="1">
        <w:r>
          <w:rPr>
            <w:rStyle w:val="Hyperlink"/>
            <w:lang w:val="pt-PT"/>
          </w:rPr>
          <w:t>http://www.europarl.europa</w:t>
        </w:r>
        <w:r>
          <w:rPr>
            <w:rStyle w:val="Hyperlink"/>
            <w:lang w:val="pt-PT"/>
          </w:rPr>
          <w:t>.eu/sides/getDoc.do?pubRef=-//EP//TEXT+TA+P7-TA-2011-0436+0+DOC+XML+V0//PT</w:t>
        </w:r>
      </w:hyperlink>
    </w:p>
  </w:footnote>
  <w:footnote w:id="13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hyperlink r:id="rId2" w:history="1">
        <w:r>
          <w:rPr>
            <w:rStyle w:val="Hyperlink"/>
            <w:lang w:val="pt-PT"/>
          </w:rPr>
          <w:t>http://www.consilium.europa.eu/uedocs/cms_data/docs/pressdata/en/ecofin/130257.</w:t>
        </w:r>
        <w:r>
          <w:rPr>
            <w:rStyle w:val="Hyperlink"/>
            <w:lang w:val="pt-PT"/>
          </w:rPr>
          <w:t>pdf</w:t>
        </w:r>
      </w:hyperlink>
      <w:r>
        <w:rPr>
          <w:lang w:val="pt-PT"/>
        </w:rPr>
        <w:t>.</w:t>
      </w:r>
    </w:p>
  </w:footnote>
  <w:footnote w:id="14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hyperlink r:id="rId3" w:history="1">
        <w:r>
          <w:rPr>
            <w:rStyle w:val="Hyperlink"/>
            <w:lang w:val="pt-PT"/>
          </w:rPr>
          <w:t>http://www.consilium.europa.eu/uedocs/cms_data/docs/pressdata/en/ecofin/138239.pdf</w:t>
        </w:r>
      </w:hyperlink>
      <w:r>
        <w:rPr>
          <w:lang w:val="pt-PT"/>
        </w:rPr>
        <w:t xml:space="preserve">  </w:t>
      </w:r>
    </w:p>
  </w:footnote>
  <w:footnote w:id="15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hyperlink r:id="rId4" w:anchor="new_rules" w:history="1">
        <w:r>
          <w:rPr>
            <w:rStyle w:val="Hyperlink"/>
            <w:lang w:val="pt-PT"/>
          </w:rPr>
          <w:t>http://ec.europa.eu/taxation_customs/taxation/vat/how_vat_works/telecom/index_en.htm#new_rules</w:t>
        </w:r>
      </w:hyperlink>
      <w:r>
        <w:rPr>
          <w:lang w:val="pt-PT"/>
        </w:rPr>
        <w:t xml:space="preserve"> </w:t>
      </w:r>
    </w:p>
  </w:footnote>
  <w:footnote w:id="16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Foram criados o grupo de peritos sobre o IVA e o Fórum da UE sobre o IVA, tendo sido publicadas notas </w:t>
      </w:r>
      <w:r>
        <w:rPr>
          <w:lang w:val="pt-PT"/>
        </w:rPr>
        <w:t>explicativas e orientações do Comité do IVA.</w:t>
      </w:r>
    </w:p>
  </w:footnote>
  <w:footnote w:id="17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Ao abrigo de regras especiais que datam dos anos 70, algumas atividades dos organismos do setor público ou consideradas de interesse público não estão sujeitas a IVA. Têm, desde então, vindo a ser cada vez ma</w:t>
      </w:r>
      <w:r>
        <w:rPr>
          <w:lang w:val="pt-PT"/>
        </w:rPr>
        <w:t>is objeto de desregulamentação ou de abertura ao setor privado, reforçando as preocupações relativas à sua complexidade e aos seus eventuais efeitos de distorção sobre a concorrência. A Comissão analisou as soluções possíveis.</w:t>
      </w:r>
    </w:p>
  </w:footnote>
  <w:footnote w:id="18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Os dados preliminares do e</w:t>
      </w:r>
      <w:r>
        <w:rPr>
          <w:lang w:val="pt-PT"/>
        </w:rPr>
        <w:t>studo da Comissão em curso sobre os obstáculos ligados ao IVA que afetam o comércio eletrónico transfronteiras.</w:t>
      </w:r>
    </w:p>
  </w:footnote>
  <w:footnote w:id="19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r>
        <w:rPr>
          <w:i/>
          <w:lang w:val="pt-PT"/>
        </w:rPr>
        <w:t>Idem</w:t>
      </w:r>
      <w:r>
        <w:rPr>
          <w:lang w:val="pt-PT"/>
        </w:rPr>
        <w:t>.</w:t>
      </w:r>
    </w:p>
  </w:footnote>
  <w:footnote w:id="20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r>
        <w:rPr>
          <w:i/>
          <w:lang w:val="pt-PT"/>
        </w:rPr>
        <w:t>Idem</w:t>
      </w:r>
      <w:r>
        <w:rPr>
          <w:lang w:val="pt-PT"/>
        </w:rPr>
        <w:t>.</w:t>
      </w:r>
    </w:p>
  </w:footnote>
  <w:footnote w:id="21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COM(2015) 192 de 6.5.2015.</w:t>
      </w:r>
    </w:p>
  </w:footnote>
  <w:footnote w:id="22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Por força do qual é não é necessário qualquer registo noutro Estado-Membro ou junto do balcão</w:t>
      </w:r>
      <w:r>
        <w:rPr>
          <w:lang w:val="pt-PT"/>
        </w:rPr>
        <w:t xml:space="preserve"> único para efetuar prestações ou entregas transfronteiras.</w:t>
      </w:r>
    </w:p>
  </w:footnote>
  <w:footnote w:id="23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Institute for Fiscal Studies, ver supra.</w:t>
      </w:r>
    </w:p>
  </w:footnote>
  <w:footnote w:id="24">
    <w:p w:rsidR="00B97235" w:rsidRDefault="005A325F">
      <w:pPr>
        <w:pStyle w:val="FootnoteText"/>
        <w:rPr>
          <w:i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COM(2015) 550 de 28.10.2015.</w:t>
      </w:r>
    </w:p>
  </w:footnote>
  <w:footnote w:id="25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COM(2013) 721 de 23.10.2013.</w:t>
      </w:r>
    </w:p>
  </w:footnote>
  <w:footnote w:id="26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Relatório Especial n.º 24/2015: Luta contra a fraude ao IVA intracomunitário: são </w:t>
      </w:r>
      <w:r>
        <w:rPr>
          <w:lang w:val="pt-PT"/>
        </w:rPr>
        <w:t>necessárias mais medidas, 3 de março de 2016.</w:t>
      </w:r>
    </w:p>
  </w:footnote>
  <w:footnote w:id="27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O Eurofisc é uma rede de funcionários nacionais criada com vista ao intercâmbio rápido de informações específicas sobre a fraude ao IVA.</w:t>
      </w:r>
    </w:p>
  </w:footnote>
  <w:footnote w:id="28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COM(2012) 363, de 11.7.2012, Proposta de Diretiva do Parlamento </w:t>
      </w:r>
      <w:r>
        <w:rPr>
          <w:lang w:val="pt-PT"/>
        </w:rPr>
        <w:t>Europeu e do Conselho relativa à luta contra a fraude lesiva dos interesses financeiros da União através do direito penal.</w:t>
      </w:r>
    </w:p>
  </w:footnote>
  <w:footnote w:id="29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COM(2013) 534, de 17.7.2013, Proposta da Regulamento do Conselho que institui a Procuradoria Europeia.</w:t>
      </w:r>
    </w:p>
  </w:footnote>
  <w:footnote w:id="30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O serviço de apoio às re</w:t>
      </w:r>
      <w:r>
        <w:rPr>
          <w:lang w:val="pt-PT"/>
        </w:rPr>
        <w:t>formas estruturais (SARE) da Comissão pode ter um papel a desempenhar.</w:t>
      </w:r>
    </w:p>
  </w:footnote>
  <w:footnote w:id="31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Diretiva 2006/112/CE, de 28 de novembro de 2006, relativa ao sistema comum do imposto sobre o valor acrescentado.</w:t>
      </w:r>
    </w:p>
  </w:footnote>
  <w:footnote w:id="32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Artigo 395.º da Diretiva IVA.</w:t>
      </w:r>
    </w:p>
  </w:footnote>
  <w:footnote w:id="33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Fraude «intracomunitária do oper</w:t>
      </w:r>
      <w:r>
        <w:rPr>
          <w:lang w:val="pt-PT"/>
        </w:rPr>
        <w:t>ador fictício» e fraude «carrossel».</w:t>
      </w:r>
    </w:p>
  </w:footnote>
  <w:footnote w:id="34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Representantes das empresas, dos fiscalistas e académicos do grupo de peritos sobre o IVA.</w:t>
      </w:r>
    </w:p>
  </w:footnote>
  <w:footnote w:id="35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Business to Business (de empresa a empresa)</w:t>
      </w:r>
    </w:p>
  </w:footnote>
  <w:footnote w:id="36">
    <w:p w:rsidR="00B97235" w:rsidRDefault="005A325F">
      <w:pPr>
        <w:pStyle w:val="FootnoteText"/>
        <w:rPr>
          <w:lang w:val="pt-PT"/>
        </w:rPr>
      </w:pPr>
      <w:r>
        <w:rPr>
          <w:vertAlign w:val="superscript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SWD(2014) 338 final, de 29.10.2014, sobre a aplicação do sistema de IVA def</w:t>
      </w:r>
      <w:r>
        <w:rPr>
          <w:lang w:val="pt-PT"/>
        </w:rPr>
        <w:t>initivo para o comércio transfronteiras.</w:t>
      </w:r>
    </w:p>
  </w:footnote>
  <w:footnote w:id="37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 xml:space="preserve">Em França, por exemplo, a fraude seria reduzida em cerca de 10 mil milhões de euros. Outros valores incluem: Itália: 7 mil milhões de euros, Reino Unido: 4 mil milhões de euros, Roménia: cerca de 17 % das atuais </w:t>
      </w:r>
      <w:r>
        <w:rPr>
          <w:lang w:val="pt-PT"/>
        </w:rPr>
        <w:t>receitas do IVA, Grécia: 12 %, Ernst &amp; Young, 2015.</w:t>
      </w:r>
    </w:p>
  </w:footnote>
  <w:footnote w:id="38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Ver a próxima proposta legislativa que é exposta supra.</w:t>
      </w:r>
    </w:p>
  </w:footnote>
  <w:footnote w:id="39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Ernst &amp; Young, ver supra.</w:t>
      </w:r>
    </w:p>
  </w:footnote>
  <w:footnote w:id="40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No anexo III da Diretiva IVA</w:t>
      </w:r>
    </w:p>
  </w:footnote>
  <w:footnote w:id="41">
    <w:p w:rsidR="00B97235" w:rsidRDefault="005A325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  <w:t>Artigos 109.º a 122.º da Diretiva IVA.</w:t>
      </w:r>
    </w:p>
  </w:footnote>
  <w:footnote w:id="42">
    <w:p w:rsidR="00B97235" w:rsidRDefault="005A3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SWD(2015) 111 de 19.5.2015.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35" w:rsidRDefault="00B9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4F5D2A"/>
    <w:multiLevelType w:val="hybridMultilevel"/>
    <w:tmpl w:val="C816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56"/>
    <w:multiLevelType w:val="hybridMultilevel"/>
    <w:tmpl w:val="04CA203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36"/>
    <w:multiLevelType w:val="hybridMultilevel"/>
    <w:tmpl w:val="FAD0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084A"/>
    <w:multiLevelType w:val="hybridMultilevel"/>
    <w:tmpl w:val="65B2B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339F"/>
    <w:multiLevelType w:val="hybridMultilevel"/>
    <w:tmpl w:val="2556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111F"/>
    <w:multiLevelType w:val="hybridMultilevel"/>
    <w:tmpl w:val="1F4649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B2BBD"/>
    <w:multiLevelType w:val="hybridMultilevel"/>
    <w:tmpl w:val="5B5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3089"/>
    <w:multiLevelType w:val="hybridMultilevel"/>
    <w:tmpl w:val="674C45E8"/>
    <w:lvl w:ilvl="0" w:tplc="F19236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318AF"/>
    <w:multiLevelType w:val="hybridMultilevel"/>
    <w:tmpl w:val="53B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57BC"/>
    <w:multiLevelType w:val="hybridMultilevel"/>
    <w:tmpl w:val="12B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02F65"/>
    <w:multiLevelType w:val="hybridMultilevel"/>
    <w:tmpl w:val="09C0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E18AA"/>
    <w:multiLevelType w:val="hybridMultilevel"/>
    <w:tmpl w:val="B664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145AC"/>
    <w:multiLevelType w:val="hybridMultilevel"/>
    <w:tmpl w:val="3374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608A0"/>
    <w:multiLevelType w:val="hybridMultilevel"/>
    <w:tmpl w:val="7C22B59A"/>
    <w:lvl w:ilvl="0" w:tplc="4E64CCA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E4D91"/>
    <w:multiLevelType w:val="hybridMultilevel"/>
    <w:tmpl w:val="D9B0F2F0"/>
    <w:lvl w:ilvl="0" w:tplc="011E2D5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50115"/>
    <w:multiLevelType w:val="multilevel"/>
    <w:tmpl w:val="789EB1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22743FB"/>
    <w:multiLevelType w:val="hybridMultilevel"/>
    <w:tmpl w:val="580C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B0337"/>
    <w:multiLevelType w:val="hybridMultilevel"/>
    <w:tmpl w:val="18F0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1799D"/>
    <w:multiLevelType w:val="hybridMultilevel"/>
    <w:tmpl w:val="F126E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6823C0"/>
    <w:multiLevelType w:val="hybridMultilevel"/>
    <w:tmpl w:val="BC20AFAA"/>
    <w:lvl w:ilvl="0" w:tplc="F19236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9"/>
  </w:num>
  <w:num w:numId="7">
    <w:abstractNumId w:val="9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8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2"/>
  </w:num>
  <w:num w:numId="24">
    <w:abstractNumId w:val="15"/>
  </w:num>
  <w:num w:numId="25">
    <w:abstractNumId w:val="2"/>
  </w:num>
  <w:num w:numId="26">
    <w:abstractNumId w:val="3"/>
  </w:num>
  <w:num w:numId="27">
    <w:abstractNumId w:val="14"/>
  </w:num>
  <w:num w:numId="28">
    <w:abstractNumId w:val="6"/>
  </w:num>
  <w:num w:numId="29">
    <w:abstractNumId w:val="5"/>
  </w:num>
  <w:num w:numId="30">
    <w:abstractNumId w:val="18"/>
  </w:num>
  <w:num w:numId="31">
    <w:abstractNumId w:val="7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 w:numId="51">
    <w:abstractNumId w:val="16"/>
  </w:num>
  <w:num w:numId="52">
    <w:abstractNumId w:val="16"/>
  </w:num>
  <w:num w:numId="53">
    <w:abstractNumId w:val="16"/>
  </w:num>
  <w:num w:numId="54">
    <w:abstractNumId w:val="17"/>
  </w:num>
  <w:num w:numId="55">
    <w:abstractNumId w:val="13"/>
  </w:num>
  <w:num w:numId="56">
    <w:abstractNumId w:val="1"/>
  </w:num>
  <w:num w:numId="57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4CCA555361FF461DA612DD47D28C54D4"/>
    <w:docVar w:name="LW_CROSSREFERENCE" w:val="&lt;UNUSED&gt;"/>
    <w:docVar w:name="LW_DocType" w:val="NORMAL"/>
    <w:docVar w:name="LW_EMISSION" w:val="7.4.2016"/>
    <w:docVar w:name="LW_EMISSION_ISODATE" w:val="2016-04-07"/>
    <w:docVar w:name="LW_EMISSION_LOCATION" w:val="BRX"/>
    <w:docVar w:name="LW_EMISSION_PREFIX" w:val="Bruxelas, "/>
    <w:docVar w:name="LW_EMISSION_SUFFIX" w:val=" "/>
    <w:docVar w:name="LW_ID_DOCTYPE_NONLW" w:val="CP-013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148"/>
    <w:docVar w:name="LW_REF.INTERNE" w:val="&lt;UNUSED&gt;"/>
    <w:docVar w:name="LW_SOUS.TITRE.OBJ" w:val="Rumo a um espaço único do IVA na UE - Chegou o momento de decidir"/>
    <w:docVar w:name="LW_SOUS.TITRE.OBJ.CP" w:val="Rumo a um espaço único do IVA na UE - Chegou o momento de decidir"/>
    <w:docVar w:name="LW_SUPERTITRE" w:val="&lt;UNUSED&gt;"/>
    <w:docVar w:name="LW_TITRE.OBJ.CP" w:val="relativa a um plano de ação sobre o IVA"/>
    <w:docVar w:name="LW_TYPE.DOC.CP" w:val="COMUNICAÇÃO DA COMISSÃO AO PARLAMENTO EUROPEU, AO CONSELHO E AO COMITÉ ECONÓMICO E SOCIAL EUROPEU"/>
    <w:docVar w:name="LW_TYPE.DOC.CP.USERTEXT" w:val="_x000b_"/>
  </w:docVars>
  <w:rsids>
    <w:rsidRoot w:val="00B97235"/>
    <w:rsid w:val="00506D21"/>
    <w:rsid w:val="005A325F"/>
    <w:rsid w:val="00B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pPr>
      <w:ind w:left="720" w:hanging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eastAsia="en-US"/>
    </w:rPr>
  </w:style>
  <w:style w:type="character" w:styleId="FootnoteReference">
    <w:name w:val="footnote reference"/>
    <w:aliases w:val="Footnote Reference Superscript,BVI fnr, BVI fnr,Footnote symbol,Footnote reference number,Times 10 Point,Exposant 3 Point,Footnote Reference Number,Footnote Reference_LVL6,Footnote Reference_LVL61,Footnote Reference_LVL62,Ref"/>
    <w:basedOn w:val="DefaultParagraphFont"/>
    <w:link w:val="Char1CharCharCarCarCarCarCarCarCarCarCarCar"/>
    <w:uiPriority w:val="99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paragraph" w:customStyle="1" w:styleId="Char1CharCharCarCarCarCarCarCarCarCarCarCar">
    <w:name w:val="Char1 Char Char Car Car Car Car Car Car Car Car Car Car"/>
    <w:basedOn w:val="Normal"/>
    <w:next w:val="Normal"/>
    <w:link w:val="FootnoteReference"/>
    <w:uiPriority w:val="99"/>
    <w:pPr>
      <w:spacing w:after="160" w:line="240" w:lineRule="exact"/>
    </w:pPr>
    <w:rPr>
      <w:sz w:val="20"/>
      <w:szCs w:val="20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5">
    <w:name w:val="List Bullet 5"/>
    <w:basedOn w:val="Normal"/>
    <w:autoRedefine/>
    <w:pPr>
      <w:numPr>
        <w:numId w:val="4"/>
      </w:numPr>
      <w:spacing w:after="240"/>
      <w:jc w:val="both"/>
    </w:pPr>
    <w:rPr>
      <w:szCs w:val="20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character" w:styleId="EndnoteReference">
    <w:name w:val="endnote reference"/>
    <w:basedOn w:val="DefaultParagraphFon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pPr>
      <w:ind w:left="720" w:hanging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eastAsia="en-US"/>
    </w:rPr>
  </w:style>
  <w:style w:type="character" w:styleId="FootnoteReference">
    <w:name w:val="footnote reference"/>
    <w:aliases w:val="Footnote Reference Superscript,BVI fnr, BVI fnr,Footnote symbol,Footnote reference number,Times 10 Point,Exposant 3 Point,Footnote Reference Number,Footnote Reference_LVL6,Footnote Reference_LVL61,Footnote Reference_LVL62,Ref"/>
    <w:basedOn w:val="DefaultParagraphFont"/>
    <w:link w:val="Char1CharCharCarCarCarCarCarCarCarCarCarCar"/>
    <w:uiPriority w:val="99"/>
    <w:rPr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paragraph" w:customStyle="1" w:styleId="Char1CharCharCarCarCarCarCarCarCarCarCarCar">
    <w:name w:val="Char1 Char Char Car Car Car Car Car Car Car Car Car Car"/>
    <w:basedOn w:val="Normal"/>
    <w:next w:val="Normal"/>
    <w:link w:val="FootnoteReference"/>
    <w:uiPriority w:val="99"/>
    <w:pPr>
      <w:spacing w:after="160" w:line="240" w:lineRule="exact"/>
    </w:pPr>
    <w:rPr>
      <w:sz w:val="20"/>
      <w:szCs w:val="20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5">
    <w:name w:val="List Bullet 5"/>
    <w:basedOn w:val="Normal"/>
    <w:autoRedefine/>
    <w:pPr>
      <w:numPr>
        <w:numId w:val="4"/>
      </w:numPr>
      <w:spacing w:after="240"/>
      <w:jc w:val="both"/>
    </w:pPr>
    <w:rPr>
      <w:szCs w:val="20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character" w:styleId="EndnoteReference">
    <w:name w:val="end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ilium.europa.eu/uedocs/cms_data/docs/pressdata/en/ecofin/138239.pdf" TargetMode="External"/><Relationship Id="rId2" Type="http://schemas.openxmlformats.org/officeDocument/2006/relationships/hyperlink" Target="http://www.consilium.europa.eu/uedocs/cms_data/docs/pressdata/en/ecofin/130257.pdf" TargetMode="External"/><Relationship Id="rId1" Type="http://schemas.openxmlformats.org/officeDocument/2006/relationships/hyperlink" Target="http://www.europarl.europa.eu/sides/getDoc.do?type=TA&amp;language=EN&amp;reference=P7-TA-2011-0436" TargetMode="External"/><Relationship Id="rId4" Type="http://schemas.openxmlformats.org/officeDocument/2006/relationships/hyperlink" Target="http://ec.europa.eu/taxation_customs/taxation/vat/how_vat_works/telecom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772D-CA4A-4804-A3C7-C2E5FE5A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22</cp:revision>
  <cp:lastPrinted>2016-03-10T14:18:00Z</cp:lastPrinted>
  <dcterms:created xsi:type="dcterms:W3CDTF">2016-03-16T15:55:00Z</dcterms:created>
  <dcterms:modified xsi:type="dcterms:W3CDTF">2016-04-05T11:26:00Z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Classification">
    <vt:lpwstr> </vt:lpwstr>
  </property>
  <property fmtid="{D5CDD505-2E9C-101B-9397-08002B2CF9AE}" pid="5" name="DocStatus">
    <vt:lpwstr>Green</vt:lpwstr>
  </property>
</Properties>
</file>