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C6" w:rsidRDefault="00280A37">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2D3F78464684699A8CDB5CA4E73D769" style="width:450.25pt;height:321.3pt">
            <v:imagedata r:id="rId9" o:title=""/>
          </v:shape>
        </w:pict>
      </w:r>
    </w:p>
    <w:bookmarkEnd w:id="0"/>
    <w:p w:rsidR="005165C6" w:rsidRDefault="005165C6">
      <w:pPr>
        <w:rPr>
          <w:noProof/>
          <w:lang w:eastAsia="en-GB"/>
        </w:rPr>
        <w:sectPr w:rsidR="005165C6">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lastRenderedPageBreak/>
        <w:t>A migração tem sido e continuará a ser nas próximas décadas uma questão decisiva para a Europa. As tendências subjacentes em matéria de desenvolvimento económico, alterações climáticas, globalização dos transportes e das comunicações, guerra e instabilidad</w:t>
      </w:r>
      <w:r>
        <w:rPr>
          <w:rFonts w:ascii="Times New Roman" w:hAnsi="Times New Roman"/>
          <w:noProof/>
          <w:sz w:val="24"/>
          <w:lang w:val="pt-PT"/>
        </w:rPr>
        <w:t>e nas regiões vizinhas deixam prever que as pessoas vão continuar a tentar entrar na Europa à procura de refúgio, uma vida melhor ou seguindo os seus familiares próximos. Os países europeus continuarão fiéis aos seus compromissos jurídicos e morais para co</w:t>
      </w:r>
      <w:r>
        <w:rPr>
          <w:rFonts w:ascii="Times New Roman" w:hAnsi="Times New Roman"/>
          <w:noProof/>
          <w:sz w:val="24"/>
          <w:lang w:val="pt-PT"/>
        </w:rPr>
        <w:t>m as pessoas que precisam de proteção contra a guerra e a perseguição. Além disso, à medida que a sua própria demografia for evoluindo, estes países precisarão de tirar partido das oportunidades e vantagens proporcionadas pela atração de talentos e qualifi</w:t>
      </w:r>
      <w:r>
        <w:rPr>
          <w:rFonts w:ascii="Times New Roman" w:hAnsi="Times New Roman"/>
          <w:noProof/>
          <w:sz w:val="24"/>
          <w:lang w:val="pt-PT"/>
        </w:rPr>
        <w:t xml:space="preserve">cações de </w:t>
      </w:r>
      <w:r>
        <w:rPr>
          <w:rFonts w:ascii="Times New Roman" w:hAnsi="Times New Roman"/>
          <w:noProof/>
          <w:spacing w:val="-3"/>
          <w:sz w:val="24"/>
          <w:lang w:val="pt-PT"/>
        </w:rPr>
        <w:t xml:space="preserve">países </w:t>
      </w:r>
      <w:r>
        <w:rPr>
          <w:rFonts w:ascii="Times New Roman" w:hAnsi="Times New Roman"/>
          <w:noProof/>
          <w:sz w:val="24"/>
          <w:lang w:val="pt-PT"/>
        </w:rPr>
        <w:t>estrangeiros.</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Numa resposta contínua à atual crise da migração e dos refugiados, em 10 de fevereiro a Comissão apresentou um relatório</w:t>
      </w:r>
      <w:r>
        <w:rPr>
          <w:rFonts w:ascii="Times New Roman" w:hAnsi="Times New Roman"/>
          <w:noProof/>
          <w:sz w:val="24"/>
          <w:vertAlign w:val="superscript"/>
        </w:rPr>
        <w:footnoteReference w:id="1"/>
      </w:r>
      <w:r>
        <w:rPr>
          <w:rFonts w:ascii="Times New Roman" w:hAnsi="Times New Roman"/>
          <w:noProof/>
          <w:sz w:val="24"/>
          <w:lang w:val="pt-PT"/>
        </w:rPr>
        <w:t xml:space="preserve"> sobre as ações prioritárias adotadas no âmbito da Agenda Europeia da Migração</w:t>
      </w:r>
      <w:r>
        <w:rPr>
          <w:rFonts w:ascii="Times New Roman" w:hAnsi="Times New Roman"/>
          <w:noProof/>
          <w:sz w:val="24"/>
          <w:vertAlign w:val="superscript"/>
        </w:rPr>
        <w:footnoteReference w:id="2"/>
      </w:r>
      <w:r>
        <w:rPr>
          <w:rFonts w:ascii="Times New Roman" w:hAnsi="Times New Roman"/>
          <w:noProof/>
          <w:sz w:val="24"/>
          <w:lang w:val="pt-PT"/>
        </w:rPr>
        <w:t xml:space="preserve"> para fazer face ao desa</w:t>
      </w:r>
      <w:r>
        <w:rPr>
          <w:rFonts w:ascii="Times New Roman" w:hAnsi="Times New Roman"/>
          <w:noProof/>
          <w:sz w:val="24"/>
          <w:lang w:val="pt-PT"/>
        </w:rPr>
        <w:t>fio imediato de restabelecer a ordem na rota do Mediterrâneo Oriental e dos Balcãs Ocidentais. Na sequência das reuniões do Conselho Europeu de 18 e 19 de fevereiro e de 17 e 18 de março e da reunião dos Chefes de Estado e de Governo de 7 de março</w:t>
      </w:r>
      <w:r>
        <w:rPr>
          <w:rFonts w:ascii="Times New Roman" w:hAnsi="Times New Roman"/>
          <w:noProof/>
          <w:sz w:val="24"/>
          <w:vertAlign w:val="superscript"/>
        </w:rPr>
        <w:footnoteReference w:id="3"/>
      </w:r>
      <w:r>
        <w:rPr>
          <w:rFonts w:ascii="Times New Roman" w:hAnsi="Times New Roman"/>
          <w:noProof/>
          <w:sz w:val="24"/>
          <w:lang w:val="pt-PT"/>
        </w:rPr>
        <w:t>, a Comi</w:t>
      </w:r>
      <w:r>
        <w:rPr>
          <w:rFonts w:ascii="Times New Roman" w:hAnsi="Times New Roman"/>
          <w:noProof/>
          <w:sz w:val="24"/>
          <w:lang w:val="pt-PT"/>
        </w:rPr>
        <w:t>ssão continuará a prestar apoio aos Estados-Membros no âmbito da execução de todas as ações acordadas para conter os fluxos migratórios irregulares e desordenados, proteger as fronteiras externas e salvaguardar a integridade do espaço Schengen, em especial</w:t>
      </w:r>
      <w:r>
        <w:rPr>
          <w:rFonts w:ascii="Times New Roman" w:hAnsi="Times New Roman"/>
          <w:noProof/>
          <w:sz w:val="24"/>
          <w:lang w:val="pt-PT"/>
        </w:rPr>
        <w:t xml:space="preserve"> as decisões sobre a recolocação, os centros de registo e as medidas destinadas a assegurar o regresso e a readmissão, garantindo ao mesmo tempo o acesso efetivo aos procedimentos de asilo por parte das pessoas que necessitam de proteção internacional.</w:t>
      </w:r>
      <w:bookmarkStart w:id="1" w:name="_GoBack"/>
      <w:bookmarkEnd w:id="1"/>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É </w:t>
      </w:r>
      <w:r>
        <w:rPr>
          <w:rFonts w:ascii="Times New Roman" w:hAnsi="Times New Roman"/>
          <w:noProof/>
          <w:sz w:val="24"/>
          <w:lang w:val="pt-PT"/>
        </w:rPr>
        <w:t xml:space="preserve">essencial aplicar as normas em vigor e melhorar o funcionamento dos instrumentos e mecanismos existentes para retomar o controlo da situação. Mas, ao mesmo tempo, tal como referido nas conclusões do Conselho Europeu de 18 e 19 de fevereiro e de 17 e 18 de </w:t>
      </w:r>
      <w:r>
        <w:rPr>
          <w:rFonts w:ascii="Times New Roman" w:hAnsi="Times New Roman"/>
          <w:noProof/>
          <w:sz w:val="24"/>
          <w:lang w:val="pt-PT"/>
        </w:rPr>
        <w:t>março</w:t>
      </w:r>
      <w:r>
        <w:rPr>
          <w:rStyle w:val="FootnoteReference"/>
          <w:rFonts w:ascii="Times New Roman" w:hAnsi="Times New Roman"/>
          <w:noProof/>
          <w:sz w:val="24"/>
        </w:rPr>
        <w:footnoteReference w:id="4"/>
      </w:r>
      <w:r>
        <w:rPr>
          <w:rFonts w:ascii="Times New Roman" w:hAnsi="Times New Roman"/>
          <w:noProof/>
          <w:sz w:val="24"/>
          <w:lang w:val="pt-PT"/>
        </w:rPr>
        <w:t>, chegou o momento de avançar na reforma do quadro da UE em vigor, de modo a assegurar uma política de asilo humana e eficaz. A conceção e a aplicação da política europeia em matéria de asilo e migração padecem de deficiências significativas e de lac</w:t>
      </w:r>
      <w:r>
        <w:rPr>
          <w:rFonts w:ascii="Times New Roman" w:hAnsi="Times New Roman"/>
          <w:noProof/>
          <w:sz w:val="24"/>
          <w:lang w:val="pt-PT"/>
        </w:rPr>
        <w:t>unas estruturais que a crise veio revelar. Neste momento, a UE precisa de criar os instrumentos necessários para gerir melhor os fluxos migratórios a médio e longo prazo, em conformidade com a abordagem definida na Agenda Europeia da Migração.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O objetivo </w:t>
      </w:r>
      <w:r>
        <w:rPr>
          <w:rFonts w:ascii="Times New Roman" w:hAnsi="Times New Roman"/>
          <w:noProof/>
          <w:sz w:val="24"/>
          <w:lang w:val="pt-PT"/>
        </w:rPr>
        <w:t>geral é passar de um sistema que, devido à sua conceção ou aplicação deficiente, faz pesar uma responsabilidade desproporcionada sobre determinados Estados-Membros e encoraja os fluxos migratórios descontrolados e irregulares, para um sistema mais justo qu</w:t>
      </w:r>
      <w:r>
        <w:rPr>
          <w:rFonts w:ascii="Times New Roman" w:hAnsi="Times New Roman"/>
          <w:noProof/>
          <w:sz w:val="24"/>
          <w:lang w:val="pt-PT"/>
        </w:rPr>
        <w:t>e proporcione canais ordeiros e seguros de entrada na UE aos nacionais de países terceiros que necessitem de proteção ou que sejam suscetíveis de contribuir para o desenvolvimento económico da União. A UE necessita de um sistema sólido e eficaz capaz de as</w:t>
      </w:r>
      <w:r>
        <w:rPr>
          <w:rFonts w:ascii="Times New Roman" w:hAnsi="Times New Roman"/>
          <w:noProof/>
          <w:sz w:val="24"/>
          <w:lang w:val="pt-PT"/>
        </w:rPr>
        <w:t>segurar uma gestão sustentável da migração no futuro, que seja justo para as sociedades de acolhimento e para os cidadãos da UE, bem como para os nacionais de países terceiros e os países de origem e de trânsito. Para poder funcionar, este sistema deve ser</w:t>
      </w:r>
      <w:r>
        <w:rPr>
          <w:rFonts w:ascii="Times New Roman" w:hAnsi="Times New Roman"/>
          <w:noProof/>
          <w:sz w:val="24"/>
          <w:lang w:val="pt-PT"/>
        </w:rPr>
        <w:t xml:space="preserve"> global e assentar nos princípios da responsabilidade e da solidariedade.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Nos últimos meses, foram dados passos significativos para combater determinadamente a migração ilegal e gerir mais eficazmente as fronteiras externas da UE. É essencial adotar a pr</w:t>
      </w:r>
      <w:r>
        <w:rPr>
          <w:rFonts w:ascii="Times New Roman" w:hAnsi="Times New Roman"/>
          <w:noProof/>
          <w:sz w:val="24"/>
          <w:lang w:val="pt-PT"/>
        </w:rPr>
        <w:t>oposta de regulamento que cria a Guarda Costeira e de Fronteiras Europeia</w:t>
      </w:r>
      <w:r>
        <w:rPr>
          <w:rFonts w:ascii="Times New Roman" w:hAnsi="Times New Roman"/>
          <w:noProof/>
          <w:sz w:val="24"/>
          <w:vertAlign w:val="superscript"/>
        </w:rPr>
        <w:footnoteReference w:id="5"/>
      </w:r>
      <w:r>
        <w:rPr>
          <w:rFonts w:ascii="Times New Roman" w:hAnsi="Times New Roman"/>
          <w:noProof/>
          <w:sz w:val="24"/>
          <w:lang w:val="pt-PT"/>
        </w:rPr>
        <w:t>, o mais tardar até junho, para que esta possa começar a exercer funções durante o verão. A aplicação dos planos de ação contra o tráfico de migrantes</w:t>
      </w:r>
      <w:r>
        <w:rPr>
          <w:rFonts w:ascii="Times New Roman" w:hAnsi="Times New Roman"/>
          <w:noProof/>
          <w:sz w:val="24"/>
          <w:vertAlign w:val="superscript"/>
        </w:rPr>
        <w:footnoteReference w:id="6"/>
      </w:r>
      <w:r>
        <w:rPr>
          <w:rFonts w:ascii="Times New Roman" w:hAnsi="Times New Roman"/>
          <w:noProof/>
          <w:sz w:val="24"/>
          <w:lang w:val="pt-PT"/>
        </w:rPr>
        <w:t xml:space="preserve"> e sobre o regresso</w:t>
      </w:r>
      <w:r>
        <w:rPr>
          <w:rFonts w:ascii="Times New Roman" w:hAnsi="Times New Roman"/>
          <w:noProof/>
          <w:sz w:val="24"/>
          <w:vertAlign w:val="superscript"/>
        </w:rPr>
        <w:footnoteReference w:id="7"/>
      </w:r>
      <w:r>
        <w:rPr>
          <w:rFonts w:ascii="Times New Roman" w:hAnsi="Times New Roman"/>
          <w:noProof/>
          <w:sz w:val="24"/>
          <w:lang w:val="pt-PT"/>
        </w:rPr>
        <w:t xml:space="preserve"> está també</w:t>
      </w:r>
      <w:r>
        <w:rPr>
          <w:rFonts w:ascii="Times New Roman" w:hAnsi="Times New Roman"/>
          <w:noProof/>
          <w:sz w:val="24"/>
          <w:lang w:val="pt-PT"/>
        </w:rPr>
        <w:t>m a progredir, tendo todas as agências e Estados-Membros em causa intensificado os seus trabalhos neste domínio.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Todavia, reduzir eficazmente os fluxos irregulares para a Europa e dentro dela e proteger as fronteiras externas da UE só é possível se </w:t>
      </w:r>
      <w:r>
        <w:rPr>
          <w:rFonts w:ascii="Times New Roman" w:hAnsi="Times New Roman"/>
          <w:noProof/>
          <w:sz w:val="24"/>
          <w:lang w:val="pt-PT"/>
        </w:rPr>
        <w:t>considerarmos o fenómeno da migração numa perspetiva alargada e global: isto significa que é necessário, ao mesmo tempo, reforçar os canais legais e seguros de entrada na Europa, melhorar a utilização e aplicação dos instrumentos jurídicos em vigor no domí</w:t>
      </w:r>
      <w:r>
        <w:rPr>
          <w:rFonts w:ascii="Times New Roman" w:hAnsi="Times New Roman"/>
          <w:noProof/>
          <w:sz w:val="24"/>
          <w:lang w:val="pt-PT"/>
        </w:rPr>
        <w:t>nio da migração legal, reforçar o Sistema Europeu Comum de Asilo, bem como continuar a combater as causas profundas da migração. Se quisermos melhorar a nossa forma de gerir a migração, temos de melhorar a nossa capacidade de atrair as qualificações e os t</w:t>
      </w:r>
      <w:r>
        <w:rPr>
          <w:rFonts w:ascii="Times New Roman" w:hAnsi="Times New Roman"/>
          <w:noProof/>
          <w:sz w:val="24"/>
          <w:lang w:val="pt-PT"/>
        </w:rPr>
        <w:t>alentos de que iremos necessitar no futuro e de tirar partido dos benefícios da migração, assegurando uma integração efetiva e a participação de todos - refugiados ou migrantes legais – na respetiva sociedades de acolhimento.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Juntamente com as outras medi</w:t>
      </w:r>
      <w:r>
        <w:rPr>
          <w:rFonts w:ascii="Times New Roman" w:hAnsi="Times New Roman"/>
          <w:noProof/>
          <w:sz w:val="24"/>
          <w:lang w:val="pt-PT"/>
        </w:rPr>
        <w:t>das que se seguiram à Agenda Europeia da Migração, a presente comunicação enumera as medidas a adotar para tornar a política de asilo europeia mais humana, justa e eficaz, bem como para gerir melhor a política de migração legal.</w:t>
      </w:r>
    </w:p>
    <w:p w:rsidR="005165C6" w:rsidRDefault="005165C6">
      <w:pPr>
        <w:spacing w:after="0"/>
        <w:jc w:val="both"/>
        <w:rPr>
          <w:rFonts w:ascii="Times New Roman" w:eastAsia="Times New Roman" w:hAnsi="Times New Roman" w:cs="Times New Roman"/>
          <w:b/>
          <w:noProof/>
          <w:sz w:val="28"/>
          <w:szCs w:val="28"/>
          <w:lang w:val="pt-PT"/>
        </w:rPr>
      </w:pPr>
    </w:p>
    <w:p w:rsidR="005165C6" w:rsidRDefault="00280A37">
      <w:pPr>
        <w:spacing w:after="0"/>
        <w:ind w:left="720" w:hanging="720"/>
        <w:jc w:val="both"/>
        <w:rPr>
          <w:rFonts w:ascii="Times New Roman" w:eastAsia="Times New Roman" w:hAnsi="Times New Roman" w:cs="Times New Roman"/>
          <w:b/>
          <w:smallCaps/>
          <w:noProof/>
          <w:sz w:val="28"/>
          <w:szCs w:val="28"/>
          <w:u w:val="single"/>
          <w:lang w:val="pt-PT"/>
        </w:rPr>
      </w:pPr>
      <w:r>
        <w:rPr>
          <w:rFonts w:ascii="Times New Roman" w:hAnsi="Times New Roman"/>
          <w:b/>
          <w:noProof/>
          <w:sz w:val="28"/>
          <w:lang w:val="pt-PT"/>
        </w:rPr>
        <w:t xml:space="preserve">I. </w:t>
      </w:r>
      <w:r>
        <w:rPr>
          <w:noProof/>
          <w:lang w:val="pt-PT"/>
        </w:rPr>
        <w:tab/>
      </w:r>
      <w:r>
        <w:rPr>
          <w:rFonts w:ascii="Times New Roman" w:hAnsi="Times New Roman"/>
          <w:b/>
          <w:smallCaps/>
          <w:noProof/>
          <w:sz w:val="28"/>
          <w:lang w:val="pt-PT"/>
        </w:rPr>
        <w:t xml:space="preserve">Rumo a uma política </w:t>
      </w:r>
      <w:r>
        <w:rPr>
          <w:rFonts w:ascii="Times New Roman" w:hAnsi="Times New Roman"/>
          <w:b/>
          <w:smallCaps/>
          <w:noProof/>
          <w:sz w:val="28"/>
          <w:lang w:val="pt-PT"/>
        </w:rPr>
        <w:t>comum de asilo sólida e sustentável</w:t>
      </w:r>
    </w:p>
    <w:p w:rsidR="005165C6" w:rsidRDefault="005165C6">
      <w:pPr>
        <w:spacing w:after="0"/>
        <w:jc w:val="both"/>
        <w:rPr>
          <w:rFonts w:ascii="Times New Roman" w:eastAsia="Times New Roman" w:hAnsi="Times New Roman" w:cs="Times New Roman"/>
          <w:b/>
          <w:noProof/>
          <w:sz w:val="24"/>
          <w:szCs w:val="24"/>
          <w:lang w:val="pt-PT"/>
        </w:rPr>
      </w:pPr>
    </w:p>
    <w:p w:rsidR="005165C6" w:rsidRDefault="00280A37">
      <w:pPr>
        <w:spacing w:after="0"/>
        <w:jc w:val="both"/>
        <w:rPr>
          <w:rFonts w:ascii="Times New Roman" w:eastAsia="Times New Roman" w:hAnsi="Times New Roman" w:cs="Times New Roman"/>
          <w:b/>
          <w:noProof/>
          <w:sz w:val="24"/>
          <w:szCs w:val="24"/>
          <w:lang w:val="pt-PT"/>
        </w:rPr>
      </w:pPr>
      <w:r>
        <w:rPr>
          <w:rFonts w:ascii="Times New Roman" w:hAnsi="Times New Roman"/>
          <w:b/>
          <w:noProof/>
          <w:sz w:val="24"/>
          <w:lang w:val="pt-PT"/>
        </w:rPr>
        <w:t>I.1</w:t>
      </w:r>
      <w:r>
        <w:rPr>
          <w:noProof/>
          <w:lang w:val="pt-PT"/>
        </w:rPr>
        <w:tab/>
      </w:r>
      <w:r>
        <w:rPr>
          <w:rFonts w:ascii="Times New Roman" w:hAnsi="Times New Roman"/>
          <w:b/>
          <w:noProof/>
          <w:sz w:val="24"/>
          <w:lang w:val="pt-PT"/>
        </w:rPr>
        <w:t>Deficiências estruturais do Sistema Europeu Comum de Asilo em tempos de crise migratória</w:t>
      </w:r>
    </w:p>
    <w:p w:rsidR="005165C6" w:rsidRDefault="005165C6">
      <w:pPr>
        <w:spacing w:after="0"/>
        <w:jc w:val="both"/>
        <w:rPr>
          <w:rFonts w:ascii="Times New Roman" w:eastAsia="Times New Roman" w:hAnsi="Times New Roman" w:cs="Times New Roman"/>
          <w:b/>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 chegada descontrolada e em grande escala de migrantes e requerentes de asilo em 2015 colocou sob pressão não só os sistemas</w:t>
      </w:r>
      <w:r>
        <w:rPr>
          <w:rFonts w:ascii="Times New Roman" w:hAnsi="Times New Roman"/>
          <w:noProof/>
          <w:sz w:val="24"/>
          <w:lang w:val="pt-PT"/>
        </w:rPr>
        <w:t xml:space="preserve"> de asilo de muitos Estados-Membros, mas também o Sistema Europeu Comum de Asilo no seu conjunto. Este sistema é constituído por um quadro jurídico, que abrange todos os aspetos do procedimento de asilo, e um organismo - o Gabinete Europeu de Apoio em maté</w:t>
      </w:r>
      <w:r>
        <w:rPr>
          <w:rFonts w:ascii="Times New Roman" w:hAnsi="Times New Roman"/>
          <w:noProof/>
          <w:sz w:val="24"/>
          <w:lang w:val="pt-PT"/>
        </w:rPr>
        <w:t>ria de Asilo (EASO) - que apoia a aplicação do quadro jurídico e facilita a cooperação prática entre os Estados-Membros. A crise revelou deficiências na conceção e na aplicação do sistema, em especial das disposições do Regulamento de Dublim.</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 Regulament</w:t>
      </w:r>
      <w:r>
        <w:rPr>
          <w:rFonts w:ascii="Times New Roman" w:hAnsi="Times New Roman"/>
          <w:noProof/>
          <w:sz w:val="24"/>
          <w:lang w:val="pt-PT"/>
        </w:rPr>
        <w:t>o de Dublim</w:t>
      </w:r>
      <w:r>
        <w:rPr>
          <w:rFonts w:ascii="Times New Roman" w:hAnsi="Times New Roman"/>
          <w:noProof/>
          <w:sz w:val="24"/>
          <w:vertAlign w:val="superscript"/>
        </w:rPr>
        <w:footnoteReference w:id="8"/>
      </w:r>
      <w:r>
        <w:rPr>
          <w:rFonts w:ascii="Times New Roman" w:hAnsi="Times New Roman"/>
          <w:noProof/>
          <w:sz w:val="24"/>
          <w:lang w:val="pt-PT"/>
        </w:rPr>
        <w:t xml:space="preserve"> estabelece os critérios e mecanismos de determinação do Estado</w:t>
      </w:r>
      <w:r>
        <w:rPr>
          <w:rFonts w:ascii="Times New Roman" w:hAnsi="Times New Roman"/>
          <w:noProof/>
          <w:sz w:val="24"/>
          <w:lang w:val="pt-PT"/>
        </w:rPr>
        <w:noBreakHyphen/>
        <w:t xml:space="preserve">Membro responsável pela análise de um pedido de proteção internacional. As pessoas que requerem ou às quais foi concedida proteção não têm o direito de escolher o Estado-Membro em </w:t>
      </w:r>
      <w:r>
        <w:rPr>
          <w:rFonts w:ascii="Times New Roman" w:hAnsi="Times New Roman"/>
          <w:noProof/>
          <w:sz w:val="24"/>
          <w:lang w:val="pt-PT"/>
        </w:rPr>
        <w:t xml:space="preserve">que pretendem instalar-se. Se o Estado-Membro no qual um requerente de asilo apresenta o seu pedido não for o Estado-Membro responsável pelo tratamento do mesmo, o requerente deve ser transferido para o Estado-Membro responsável.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O sistema de Dublim não </w:t>
      </w:r>
      <w:r>
        <w:rPr>
          <w:rFonts w:ascii="Times New Roman" w:hAnsi="Times New Roman"/>
          <w:noProof/>
          <w:sz w:val="24"/>
          <w:lang w:val="pt-PT"/>
        </w:rPr>
        <w:t>foi concebido para assegurar uma partilha sustentável da responsabilidade relativamente aos requerentes de asilo em toda a UE, uma lacuna que foi evidenciada pela crise atual. Na prática, o principal critério de atribuição da responsabilidade pelos pedidos</w:t>
      </w:r>
      <w:r>
        <w:rPr>
          <w:rFonts w:ascii="Times New Roman" w:hAnsi="Times New Roman"/>
          <w:noProof/>
          <w:sz w:val="24"/>
          <w:lang w:val="pt-PT"/>
        </w:rPr>
        <w:t xml:space="preserve"> de asilo é a entrada irregular através do território de um Estado-Membro. O recurso a este critério baseava-se no pressuposto de que deve existir uma ligação entre a atribuição da responsabilidade no domínio do asilo e o respeito, por parte dos Estados-Me</w:t>
      </w:r>
      <w:r>
        <w:rPr>
          <w:rFonts w:ascii="Times New Roman" w:hAnsi="Times New Roman"/>
          <w:noProof/>
          <w:sz w:val="24"/>
          <w:lang w:val="pt-PT"/>
        </w:rPr>
        <w:t>mbros, das suas obrigações em termos de proteção da fronteira externa. No entanto, a capacidade de exercer um controlo eficaz dos afluxos irregulares na fronteira externa depende, em certa medida, da cooperação com os países terceiros. Além disso, a experi</w:t>
      </w:r>
      <w:r>
        <w:rPr>
          <w:rFonts w:ascii="Times New Roman" w:hAnsi="Times New Roman"/>
          <w:noProof/>
          <w:sz w:val="24"/>
          <w:lang w:val="pt-PT"/>
        </w:rPr>
        <w:t>ência dos últimos anos mostrou que, em especial em situações de afluxo maciço ao longo de rotas migratórias específicas, o atual sistema atribui a responsabilidade jurídica pela grande maioria dos requerentes de asilo a um número limitado de Estados-Membro</w:t>
      </w:r>
      <w:r>
        <w:rPr>
          <w:rFonts w:ascii="Times New Roman" w:hAnsi="Times New Roman"/>
          <w:noProof/>
          <w:sz w:val="24"/>
          <w:lang w:val="pt-PT"/>
        </w:rPr>
        <w:t>s, uma situação que colocaria em dificuldades as capacidades de qualquer Estado-Membro. Isto explica também, em parte, por que razão nos últimos anos se tem verificado uma inobservância crescente das normas da UE. Os migrantes também recusam muitas vezes a</w:t>
      </w:r>
      <w:r>
        <w:rPr>
          <w:rFonts w:ascii="Times New Roman" w:hAnsi="Times New Roman"/>
          <w:noProof/>
          <w:sz w:val="24"/>
          <w:lang w:val="pt-PT"/>
        </w:rPr>
        <w:t>presentar pedidos de asilo ou cumprir as obrigações de identificação no primeiro Estado-Membro a que chegam, prosseguindo o seu caminho para o Estado-Membro em que desejam instalar-se e apresentando o pedido de asilo nesse país. Estes movimentos secundário</w:t>
      </w:r>
      <w:r>
        <w:rPr>
          <w:rFonts w:ascii="Times New Roman" w:hAnsi="Times New Roman"/>
          <w:noProof/>
          <w:sz w:val="24"/>
          <w:lang w:val="pt-PT"/>
        </w:rPr>
        <w:t>s estiveram na origem da apresentação de muitos pedidos de asilo em Estados-Membros que não são os da primeira entrada, situação que, por seu turno, levou vários Estados-Membros a reintroduzir controlos nas fronteiras internas para poderem gerir o afluxo d</w:t>
      </w:r>
      <w:r>
        <w:rPr>
          <w:rFonts w:ascii="Times New Roman" w:hAnsi="Times New Roman"/>
          <w:noProof/>
          <w:sz w:val="24"/>
          <w:lang w:val="pt-PT"/>
        </w:rPr>
        <w:t>e migrantes.</w:t>
      </w: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 </w:t>
      </w: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Mas, mesmo antes da atual crise, já existiam lacunas graves na aplicação do Regulamento de Dublim. Ainda que todos os Estados-Membros aplicassem as normas em vigor de forma mais eficaz e rigorosa e fossem adotadas medidas adicionais para evi</w:t>
      </w:r>
      <w:r>
        <w:rPr>
          <w:rFonts w:ascii="Times New Roman" w:hAnsi="Times New Roman"/>
          <w:noProof/>
          <w:sz w:val="24"/>
          <w:lang w:val="pt-PT"/>
        </w:rPr>
        <w:t>tar os movimentos secundários, seria altamente provável que o atual sistema não resistisse a uma pressão migratória contínua</w:t>
      </w:r>
      <w:r>
        <w:rPr>
          <w:rFonts w:ascii="Times New Roman" w:hAnsi="Times New Roman"/>
          <w:noProof/>
          <w:sz w:val="24"/>
          <w:vertAlign w:val="superscript"/>
        </w:rPr>
        <w:footnoteReference w:id="9"/>
      </w:r>
      <w:r>
        <w:rPr>
          <w:rFonts w:ascii="Times New Roman" w:hAnsi="Times New Roman"/>
          <w:noProof/>
          <w:sz w:val="24"/>
          <w:lang w:val="pt-PT"/>
        </w:rPr>
        <w:t>. Os problemas prendem-se com a dificuldade em obter e chegar a acordo sobre as provas da responsabilidade de um Estado-Membro pela</w:t>
      </w:r>
      <w:r>
        <w:rPr>
          <w:rFonts w:ascii="Times New Roman" w:hAnsi="Times New Roman"/>
          <w:noProof/>
          <w:sz w:val="24"/>
          <w:lang w:val="pt-PT"/>
        </w:rPr>
        <w:t xml:space="preserve"> análise de um pedido de asilo, o que conduz, por conseguinte, a um aumento do número de recusas de pedidos para aceitar a transferência de requerentes. Mesmo quando os Estados-Membros aceitam pedidos de transferência, só cerca de um quarto desses casos dã</w:t>
      </w:r>
      <w:r>
        <w:rPr>
          <w:rFonts w:ascii="Times New Roman" w:hAnsi="Times New Roman"/>
          <w:noProof/>
          <w:sz w:val="24"/>
          <w:lang w:val="pt-PT"/>
        </w:rPr>
        <w:t>o lugar a transferências efetivas e, uma vez concretizada uma transferência, são frequentes os casos de movimentos secundários de retorno ao Estado-Membro que procedeu à transferência. A eficácia do sistema é prejudicada ainda mais devido às normas atuais,</w:t>
      </w:r>
      <w:r>
        <w:rPr>
          <w:rFonts w:ascii="Times New Roman" w:hAnsi="Times New Roman"/>
          <w:noProof/>
          <w:sz w:val="24"/>
          <w:lang w:val="pt-PT"/>
        </w:rPr>
        <w:t xml:space="preserve"> que preveem uma transferência da responsabilidade entre Estados-Membros decorrido um certo período. Com efeito, se um requerente se esconder durante um período suficientemente longo num Estado-Membro sem ser efetivamente transferido, este último Estado-Me</w:t>
      </w:r>
      <w:r>
        <w:rPr>
          <w:rFonts w:ascii="Times New Roman" w:hAnsi="Times New Roman"/>
          <w:noProof/>
          <w:sz w:val="24"/>
          <w:lang w:val="pt-PT"/>
        </w:rPr>
        <w:t xml:space="preserve">mbro acabará por se tornar responsável pelo seu dossiê.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Outro obstáculo ao funcionamento eficaz do sistema de Dublim prende-se com a dificuldade em transferir requerentes para Estados-Membros que apresentam falhas sistémicas em aspetos essenciais dos seu</w:t>
      </w:r>
      <w:r>
        <w:rPr>
          <w:rFonts w:ascii="Times New Roman" w:hAnsi="Times New Roman"/>
          <w:noProof/>
          <w:sz w:val="24"/>
          <w:lang w:val="pt-PT"/>
        </w:rPr>
        <w:t>s procedimentos de asilo ou condições de acolhimento. A suspensão efetiva das transferências para a Grécia no âmbito do sistema de Dublim desde 2011 revelou-se uma falha particularmente grave do sistema, em especial tendo em conta o elevado número de migra</w:t>
      </w:r>
      <w:r>
        <w:rPr>
          <w:rFonts w:ascii="Times New Roman" w:hAnsi="Times New Roman"/>
          <w:noProof/>
          <w:sz w:val="24"/>
          <w:lang w:val="pt-PT"/>
        </w:rPr>
        <w:t>ntes que têm chegado a este país nos últimos meses</w:t>
      </w:r>
      <w:r>
        <w:rPr>
          <w:rStyle w:val="FootnoteReference"/>
          <w:rFonts w:ascii="Times New Roman" w:hAnsi="Times New Roman"/>
          <w:noProof/>
          <w:sz w:val="24"/>
        </w:rPr>
        <w:footnoteReference w:id="10"/>
      </w:r>
      <w:r>
        <w:rPr>
          <w:rFonts w:ascii="Times New Roman" w:hAnsi="Times New Roman"/>
          <w:noProof/>
          <w:sz w:val="24"/>
          <w:lang w:val="pt-PT"/>
        </w:rPr>
        <w:t>.</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 Sistema Europeu Comum de Asilo também se caracteriza por diferenças de tratamento dos requerentes de asilo nos vários Estados-Membros, nomeadamente no que diz respeito à duração dos procedimentos de a</w:t>
      </w:r>
      <w:r>
        <w:rPr>
          <w:rFonts w:ascii="Times New Roman" w:hAnsi="Times New Roman"/>
          <w:noProof/>
          <w:sz w:val="24"/>
          <w:lang w:val="pt-PT"/>
        </w:rPr>
        <w:t>silo e às condições de acolhimento, o que, por seu turno, encoraja os movimentos secundários. Estas divergências devem-se, em parte, às disposições muitas vezes facultativas previstas na Diretiva Procedimentos de Asilo</w:t>
      </w:r>
      <w:r>
        <w:rPr>
          <w:rFonts w:ascii="Times New Roman" w:hAnsi="Times New Roman"/>
          <w:noProof/>
          <w:sz w:val="24"/>
          <w:vertAlign w:val="superscript"/>
        </w:rPr>
        <w:footnoteReference w:id="11"/>
      </w:r>
      <w:r>
        <w:rPr>
          <w:rFonts w:ascii="Times New Roman" w:hAnsi="Times New Roman"/>
          <w:noProof/>
          <w:sz w:val="24"/>
          <w:lang w:val="pt-PT"/>
        </w:rPr>
        <w:t xml:space="preserve"> e na Diretiva Condições de Acolhimen</w:t>
      </w:r>
      <w:r>
        <w:rPr>
          <w:rFonts w:ascii="Times New Roman" w:hAnsi="Times New Roman"/>
          <w:noProof/>
          <w:sz w:val="24"/>
          <w:lang w:val="pt-PT"/>
        </w:rPr>
        <w:t>to</w:t>
      </w:r>
      <w:r>
        <w:rPr>
          <w:rFonts w:ascii="Times New Roman" w:hAnsi="Times New Roman"/>
          <w:noProof/>
          <w:sz w:val="24"/>
          <w:vertAlign w:val="superscript"/>
        </w:rPr>
        <w:footnoteReference w:id="12"/>
      </w:r>
      <w:r>
        <w:rPr>
          <w:rFonts w:ascii="Times New Roman" w:hAnsi="Times New Roman"/>
          <w:noProof/>
          <w:sz w:val="24"/>
          <w:lang w:val="pt-PT"/>
        </w:rPr>
        <w:t xml:space="preserve"> em vigor. Além disso, embora a Diretiva que estabelece normas relativas às condições a preencher pelos requerentes de asilo</w:t>
      </w:r>
      <w:r>
        <w:rPr>
          <w:rFonts w:ascii="Times New Roman" w:hAnsi="Times New Roman"/>
          <w:noProof/>
          <w:sz w:val="24"/>
          <w:vertAlign w:val="superscript"/>
        </w:rPr>
        <w:footnoteReference w:id="13"/>
      </w:r>
      <w:r>
        <w:rPr>
          <w:rFonts w:ascii="Times New Roman" w:hAnsi="Times New Roman"/>
          <w:noProof/>
          <w:sz w:val="24"/>
          <w:lang w:val="pt-PT"/>
        </w:rPr>
        <w:t xml:space="preserve"> estabeleça disposições sobre o reconhecimento e a proteção a oferecer a nível da UE, na prática, a taxa de reconhecimento varia, por vezes significativamente, de um Estado-Membro para outro</w:t>
      </w:r>
      <w:r>
        <w:rPr>
          <w:rFonts w:ascii="Times New Roman" w:hAnsi="Times New Roman"/>
          <w:noProof/>
          <w:sz w:val="24"/>
          <w:vertAlign w:val="superscript"/>
        </w:rPr>
        <w:footnoteReference w:id="14"/>
      </w:r>
      <w:r>
        <w:rPr>
          <w:rFonts w:ascii="Times New Roman" w:hAnsi="Times New Roman"/>
          <w:noProof/>
          <w:sz w:val="24"/>
          <w:lang w:val="pt-PT"/>
        </w:rPr>
        <w:t>. Há também falta de convergência no que se refere à decisão de c</w:t>
      </w:r>
      <w:r>
        <w:rPr>
          <w:rFonts w:ascii="Times New Roman" w:hAnsi="Times New Roman"/>
          <w:noProof/>
          <w:sz w:val="24"/>
          <w:lang w:val="pt-PT"/>
        </w:rPr>
        <w:t>oncessão do estatuto de refugiado (que deve ser concedido às pessoas que fogem de perseguições) ou de proteção subsidiária (que deve ser concedida às pessoas que fogem do risco de sofrerem danos graves, incluindo de conflitos armados) aos requerentes de um</w:t>
      </w:r>
      <w:r>
        <w:rPr>
          <w:rFonts w:ascii="Times New Roman" w:hAnsi="Times New Roman"/>
          <w:noProof/>
          <w:sz w:val="24"/>
          <w:lang w:val="pt-PT"/>
        </w:rPr>
        <w:t xml:space="preserve"> determinado país de origem. Esta divergência também tem constituído um incentivo aos movimentos secundários, tal como as variações da duração das autorizações de residência e de acesso à assistência social e ao reagrupamento familiar.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A UE dispõe de um </w:t>
      </w:r>
      <w:r>
        <w:rPr>
          <w:rFonts w:ascii="Times New Roman" w:hAnsi="Times New Roman"/>
          <w:noProof/>
          <w:sz w:val="24"/>
          <w:lang w:val="pt-PT"/>
        </w:rPr>
        <w:t>dos sistemas de asilo mais protetores e generosos do mundo, e a concessão do estatuto de proteção internacional nos Estados-Membros tem conduzido, na prática e quase invariavelmente, à instalação permanente na UE, apesar de o seu objetivo inicial e princip</w:t>
      </w:r>
      <w:r>
        <w:rPr>
          <w:rFonts w:ascii="Times New Roman" w:hAnsi="Times New Roman"/>
          <w:noProof/>
          <w:sz w:val="24"/>
          <w:lang w:val="pt-PT"/>
        </w:rPr>
        <w:t>al consistir em conceder proteção apenas e enquanto o risco de perseguição ou de danos graves subsistir. Logo que mudem as circunstâncias no país de origem ou a situação do requerente, a proteção deixa de ser necessária. No entanto, embora a Diretiva relat</w:t>
      </w:r>
      <w:r>
        <w:rPr>
          <w:rFonts w:ascii="Times New Roman" w:hAnsi="Times New Roman"/>
          <w:noProof/>
          <w:sz w:val="24"/>
          <w:lang w:val="pt-PT"/>
        </w:rPr>
        <w:t>iva às condições a preencher pelos requerentes de asilo contenha disposições sobre a cessação do estatuto, atualmente estas não são aplicadas sistematicamente.</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Com base nas prioridades imediatas identificadas na Agenda Europeia da Migração, a Comissão ado</w:t>
      </w:r>
      <w:r>
        <w:rPr>
          <w:rFonts w:ascii="Times New Roman" w:hAnsi="Times New Roman"/>
          <w:noProof/>
          <w:sz w:val="24"/>
          <w:lang w:val="pt-PT"/>
        </w:rPr>
        <w:t>tou medidas financeiras, jurídicas</w:t>
      </w:r>
      <w:r>
        <w:rPr>
          <w:rFonts w:ascii="Times New Roman" w:hAnsi="Times New Roman"/>
          <w:noProof/>
          <w:sz w:val="24"/>
          <w:vertAlign w:val="superscript"/>
        </w:rPr>
        <w:footnoteReference w:id="15"/>
      </w:r>
      <w:r>
        <w:rPr>
          <w:rFonts w:ascii="Times New Roman" w:hAnsi="Times New Roman"/>
          <w:noProof/>
          <w:sz w:val="24"/>
          <w:lang w:val="pt-PT"/>
        </w:rPr>
        <w:t xml:space="preserve"> e operacionais para melhorar a aplicação das normas do Sistema Europeu Comum de Asilo, tal como referido na Comunicação de 10 de fevereiro de 2016. Em particular, propôs os dois regimes de recolocação temporários acordad</w:t>
      </w:r>
      <w:r>
        <w:rPr>
          <w:rFonts w:ascii="Times New Roman" w:hAnsi="Times New Roman"/>
          <w:noProof/>
          <w:sz w:val="24"/>
          <w:lang w:val="pt-PT"/>
        </w:rPr>
        <w:t xml:space="preserve">os em setembro, que preveem a transferência da responsabilidade por determinados requerentes de asilo da Itália e da Grécia para outros Estados-Membros.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É imperativo que estas medidas sejam aplicadas na íntegra e rapidamente para fazer face aos desafios </w:t>
      </w:r>
      <w:r>
        <w:rPr>
          <w:rFonts w:ascii="Times New Roman" w:hAnsi="Times New Roman"/>
          <w:noProof/>
          <w:sz w:val="24"/>
          <w:lang w:val="pt-PT"/>
        </w:rPr>
        <w:t>imediatos. A União deve assegurar, graças a uma ação concertada entre todos os Estados-Membros e com o pleno apoio da Comissão e dos organismos da União, a correta aplicação do quadro jurídico vigente, de modo a consolidar a estabilidade e a ordem no funci</w:t>
      </w:r>
      <w:r>
        <w:rPr>
          <w:rFonts w:ascii="Times New Roman" w:hAnsi="Times New Roman"/>
          <w:noProof/>
          <w:sz w:val="24"/>
          <w:lang w:val="pt-PT"/>
        </w:rPr>
        <w:t>onamento do Sistema Europeu Comum de Asilo. Ao mesmo tempo, a UE deve retirar ensinamentos da crise atual e começar a resolver as suas deficiências estruturais a longo prazo. Por conseguinte, são necessárias ações para garantir um sistema humano, equitativ</w:t>
      </w:r>
      <w:r>
        <w:rPr>
          <w:rFonts w:ascii="Times New Roman" w:hAnsi="Times New Roman"/>
          <w:noProof/>
          <w:sz w:val="24"/>
          <w:lang w:val="pt-PT"/>
        </w:rPr>
        <w:t>o e eficaz para o futuro.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b/>
          <w:noProof/>
          <w:sz w:val="24"/>
          <w:lang w:val="pt-PT"/>
        </w:rPr>
        <w:t>I.2 Corrigir as deficiências estruturais: cinco prioridades</w:t>
      </w:r>
    </w:p>
    <w:p w:rsidR="005165C6" w:rsidRDefault="005165C6">
      <w:pPr>
        <w:spacing w:after="0" w:line="240" w:lineRule="auto"/>
        <w:jc w:val="both"/>
        <w:rPr>
          <w:rFonts w:ascii="Times New Roman" w:eastAsia="Times New Roman" w:hAnsi="Times New Roman" w:cs="Times New Roman"/>
          <w:bCs/>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Neste contexto, a Comissão considera que o Sistema Europeu Comum de Asilo deve ser melhorado do ponto de vista estrutural em cinco áreas prioritárias.</w:t>
      </w:r>
    </w:p>
    <w:p w:rsidR="005165C6" w:rsidRDefault="005165C6">
      <w:pPr>
        <w:spacing w:after="0" w:line="240" w:lineRule="auto"/>
        <w:jc w:val="both"/>
        <w:rPr>
          <w:rFonts w:ascii="Times New Roman" w:eastAsia="Times New Roman" w:hAnsi="Times New Roman" w:cs="Times New Roman"/>
          <w:bCs/>
          <w:noProof/>
          <w:sz w:val="24"/>
          <w:szCs w:val="24"/>
          <w:lang w:val="pt-PT"/>
        </w:rPr>
      </w:pP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i/>
          <w:noProof/>
          <w:sz w:val="24"/>
          <w:lang w:val="pt-PT"/>
        </w:rPr>
        <w:t>Prioridades</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a) </w:t>
      </w:r>
      <w:r>
        <w:rPr>
          <w:rFonts w:ascii="Times New Roman" w:hAnsi="Times New Roman"/>
          <w:noProof/>
          <w:sz w:val="24"/>
          <w:u w:val="single"/>
          <w:lang w:val="pt-PT"/>
        </w:rPr>
        <w:t>Estabelecer um sistema sustentável e equitativo de determinação do Estado-Membro responsável pelos requerentes de asilo</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Objetivo: </w:t>
      </w:r>
      <w:r>
        <w:rPr>
          <w:rFonts w:ascii="Times New Roman" w:hAnsi="Times New Roman"/>
          <w:noProof/>
          <w:sz w:val="24"/>
          <w:lang w:val="pt-PT"/>
        </w:rPr>
        <w:t>Adaptar o Sistema Europeu Comum de Asilo de modo a que este seja capaz de lidar melhor com a chegada de um elevado número de r</w:t>
      </w:r>
      <w:r>
        <w:rPr>
          <w:rFonts w:ascii="Times New Roman" w:hAnsi="Times New Roman"/>
          <w:noProof/>
          <w:sz w:val="24"/>
          <w:lang w:val="pt-PT"/>
        </w:rPr>
        <w:t xml:space="preserve">equerentes de asilo/refugiados através de pontos de entrada específicos e assegurar um elevado grau de solidariedade e uma partilha equitativa da responsabilidade entre os Estados-Membros graças a uma repartição equitativa dos requerentes de asilo.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Ações:</w:t>
      </w:r>
      <w:r>
        <w:rPr>
          <w:rFonts w:ascii="Times New Roman" w:hAnsi="Times New Roman"/>
          <w:i/>
          <w:noProof/>
          <w:sz w:val="24"/>
          <w:lang w:val="pt-PT"/>
        </w:rPr>
        <w:t xml:space="preserve"> </w:t>
      </w:r>
      <w:r>
        <w:rPr>
          <w:rFonts w:ascii="Times New Roman" w:hAnsi="Times New Roman"/>
          <w:noProof/>
          <w:sz w:val="24"/>
          <w:lang w:val="pt-PT"/>
        </w:rPr>
        <w:t xml:space="preserve">A Comissão proporá a alteração do Regulamento de Dublim, quer racionalizando-o e complementando-o com um mecanismo corretor para assegurar a equidade, quer passando para um novo sistema baseado numa chave de repartição.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noProof/>
          <w:sz w:val="24"/>
          <w:lang w:val="pt-PT"/>
        </w:rPr>
        <w:t>b)</w:t>
      </w:r>
      <w:r>
        <w:rPr>
          <w:rFonts w:ascii="Times New Roman" w:hAnsi="Times New Roman"/>
          <w:i/>
          <w:noProof/>
          <w:sz w:val="24"/>
          <w:lang w:val="pt-PT"/>
        </w:rPr>
        <w:t xml:space="preserve"> </w:t>
      </w:r>
      <w:r>
        <w:rPr>
          <w:rFonts w:ascii="Times New Roman" w:hAnsi="Times New Roman"/>
          <w:noProof/>
          <w:sz w:val="24"/>
          <w:u w:val="single"/>
          <w:lang w:val="pt-PT"/>
        </w:rPr>
        <w:t>Reforçar o sistema Eurodac</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Obje</w:t>
      </w:r>
      <w:r>
        <w:rPr>
          <w:rFonts w:ascii="Times New Roman" w:hAnsi="Times New Roman"/>
          <w:i/>
          <w:noProof/>
          <w:sz w:val="24"/>
          <w:lang w:val="pt-PT"/>
        </w:rPr>
        <w:t xml:space="preserve">tivo: </w:t>
      </w:r>
      <w:r>
        <w:rPr>
          <w:rFonts w:ascii="Times New Roman" w:hAnsi="Times New Roman"/>
          <w:noProof/>
          <w:sz w:val="24"/>
          <w:lang w:val="pt-PT"/>
        </w:rPr>
        <w:t xml:space="preserve">Apoiar a aplicação do Regulamento de Dublim e facilitar a luta contra a migração irregular.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i/>
          <w:noProof/>
          <w:sz w:val="24"/>
          <w:lang w:val="pt-PT"/>
        </w:rPr>
        <w:t xml:space="preserve">Ações: </w:t>
      </w:r>
      <w:r>
        <w:rPr>
          <w:rFonts w:ascii="Times New Roman" w:hAnsi="Times New Roman"/>
          <w:noProof/>
          <w:sz w:val="24"/>
          <w:lang w:val="pt-PT"/>
        </w:rPr>
        <w:t>A Comissão proporá a adaptação do sistema Eurodac de modo a refletir as alterações introduzidas no mecanismo de Dublim e a alargar a sua finalidade pa</w:t>
      </w:r>
      <w:r>
        <w:rPr>
          <w:rFonts w:ascii="Times New Roman" w:hAnsi="Times New Roman"/>
          <w:noProof/>
          <w:sz w:val="24"/>
          <w:lang w:val="pt-PT"/>
        </w:rPr>
        <w:t>ra além do asilo.</w:t>
      </w:r>
      <w:r>
        <w:rPr>
          <w:rFonts w:ascii="Times New Roman" w:hAnsi="Times New Roman"/>
          <w:i/>
          <w:noProof/>
          <w:sz w:val="24"/>
          <w:lang w:val="pt-PT"/>
        </w:rPr>
        <w:t xml:space="preserve">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noProof/>
          <w:sz w:val="24"/>
          <w:lang w:val="pt-PT"/>
        </w:rPr>
        <w:t xml:space="preserve">c) </w:t>
      </w:r>
      <w:r>
        <w:rPr>
          <w:rFonts w:ascii="Times New Roman" w:hAnsi="Times New Roman"/>
          <w:noProof/>
          <w:sz w:val="24"/>
          <w:u w:val="single"/>
          <w:lang w:val="pt-PT"/>
        </w:rPr>
        <w:t>Alcançar um maior grau de convergência no sistema de asilo da UE</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Objetivo: </w:t>
      </w:r>
      <w:r>
        <w:rPr>
          <w:rFonts w:ascii="Times New Roman" w:hAnsi="Times New Roman"/>
          <w:noProof/>
          <w:sz w:val="24"/>
          <w:lang w:val="pt-PT"/>
        </w:rPr>
        <w:t xml:space="preserve">Continuar a reforçar e a harmonizar o Sistema Europeu Comum de Asilo, a fim de garantir uma maior igualdade de tratamento em toda a UE e reduzir os fatores de </w:t>
      </w:r>
      <w:r>
        <w:rPr>
          <w:rFonts w:ascii="Times New Roman" w:hAnsi="Times New Roman"/>
          <w:noProof/>
          <w:sz w:val="24"/>
          <w:lang w:val="pt-PT"/>
        </w:rPr>
        <w:t xml:space="preserve">atração indevidos para entrar na UE.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 Ações: </w:t>
      </w:r>
      <w:r>
        <w:rPr>
          <w:rFonts w:ascii="Times New Roman" w:hAnsi="Times New Roman"/>
          <w:noProof/>
          <w:sz w:val="24"/>
          <w:lang w:val="pt-PT"/>
        </w:rPr>
        <w:t xml:space="preserve">A Comissão proporá um novo regulamento que institui um procedimento de asilo único e comum na UE e que substituirá a Diretiva Procedimentos de Asilo, um novo regulamento relativo às condições a preencher pelos </w:t>
      </w:r>
      <w:r>
        <w:rPr>
          <w:rFonts w:ascii="Times New Roman" w:hAnsi="Times New Roman"/>
          <w:noProof/>
          <w:sz w:val="24"/>
          <w:lang w:val="pt-PT"/>
        </w:rPr>
        <w:t>requerentes de asilo que substituirá a Diretiva sobre a mesma matéria, bem como alterações específicas à Diretiva Condições de Acolhimento.</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noProof/>
          <w:sz w:val="24"/>
          <w:lang w:val="pt-PT"/>
        </w:rPr>
        <w:t xml:space="preserve">d) </w:t>
      </w:r>
      <w:r>
        <w:rPr>
          <w:rFonts w:ascii="Times New Roman" w:hAnsi="Times New Roman"/>
          <w:noProof/>
          <w:sz w:val="24"/>
          <w:u w:val="single"/>
          <w:lang w:val="pt-PT"/>
        </w:rPr>
        <w:t>Prevenir os movimentos secundários dentro da UE</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Objetivo: </w:t>
      </w:r>
      <w:r>
        <w:rPr>
          <w:rFonts w:ascii="Times New Roman" w:hAnsi="Times New Roman"/>
          <w:noProof/>
          <w:sz w:val="24"/>
          <w:lang w:val="pt-PT"/>
        </w:rPr>
        <w:t>Assegurar que o funcionamento do mecanismo de Dublim nã</w:t>
      </w:r>
      <w:r>
        <w:rPr>
          <w:rFonts w:ascii="Times New Roman" w:hAnsi="Times New Roman"/>
          <w:noProof/>
          <w:sz w:val="24"/>
          <w:lang w:val="pt-PT"/>
        </w:rPr>
        <w:t>o é perturbado por abusos e pelo fenómeno da introdução de pedidos múltiplos em vários países (</w:t>
      </w:r>
      <w:r>
        <w:rPr>
          <w:rFonts w:ascii="Times New Roman" w:hAnsi="Times New Roman"/>
          <w:i/>
          <w:noProof/>
          <w:sz w:val="24"/>
          <w:lang w:val="pt-PT"/>
        </w:rPr>
        <w:t>asylum shopping</w:t>
      </w:r>
      <w:r>
        <w:rPr>
          <w:rFonts w:ascii="Times New Roman" w:hAnsi="Times New Roman"/>
          <w:noProof/>
          <w:sz w:val="24"/>
          <w:lang w:val="pt-PT"/>
        </w:rPr>
        <w:t xml:space="preserve">) pelos requerentes e beneficiários de proteção internacional.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Ações: </w:t>
      </w:r>
      <w:r>
        <w:rPr>
          <w:rFonts w:ascii="Times New Roman" w:hAnsi="Times New Roman"/>
          <w:noProof/>
          <w:sz w:val="24"/>
          <w:lang w:val="pt-PT"/>
        </w:rPr>
        <w:t>A Comissão incluirá medidas reforçadas a nível dos procedimentos nas suas p</w:t>
      </w:r>
      <w:r>
        <w:rPr>
          <w:rFonts w:ascii="Times New Roman" w:hAnsi="Times New Roman"/>
          <w:noProof/>
          <w:sz w:val="24"/>
          <w:lang w:val="pt-PT"/>
        </w:rPr>
        <w:t>ropostas de novos regulamentos sobre procedimentos de asilo e condições a preencher pelos requerentes de asilo, bem como na proposta de diretiva sobre condições de acolhimento, a fim de dissuadir e sancionar os movimentos irregulares para outros Estados-Me</w:t>
      </w:r>
      <w:r>
        <w:rPr>
          <w:rFonts w:ascii="Times New Roman" w:hAnsi="Times New Roman"/>
          <w:noProof/>
          <w:sz w:val="24"/>
          <w:lang w:val="pt-PT"/>
        </w:rPr>
        <w:t xml:space="preserve">mbros. </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i/>
          <w:noProof/>
          <w:sz w:val="24"/>
          <w:szCs w:val="24"/>
          <w:lang w:val="pt-PT"/>
        </w:rPr>
      </w:pPr>
      <w:r>
        <w:rPr>
          <w:rFonts w:ascii="Times New Roman" w:hAnsi="Times New Roman"/>
          <w:noProof/>
          <w:sz w:val="24"/>
          <w:lang w:val="pt-PT"/>
        </w:rPr>
        <w:t xml:space="preserve">e) </w:t>
      </w:r>
      <w:r>
        <w:rPr>
          <w:rFonts w:ascii="Times New Roman" w:hAnsi="Times New Roman"/>
          <w:noProof/>
          <w:sz w:val="24"/>
          <w:u w:val="single"/>
          <w:lang w:val="pt-PT"/>
        </w:rPr>
        <w:t>Novas atribuições do EASO</w:t>
      </w:r>
    </w:p>
    <w:p w:rsidR="005165C6" w:rsidRDefault="00280A37">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Objetivo: </w:t>
      </w:r>
      <w:r>
        <w:rPr>
          <w:rFonts w:ascii="Times New Roman" w:hAnsi="Times New Roman"/>
          <w:noProof/>
          <w:sz w:val="24"/>
          <w:lang w:val="pt-PT"/>
        </w:rPr>
        <w:t>Facilitar o funcionamento do Sistema Europeu Comum de Asilo e do mecanismo de repartição de Dublim revisto, elaborar ações direcionadas em domínios essenciais e assegurar uma abordagem mais harmonizada das nec</w:t>
      </w:r>
      <w:r>
        <w:rPr>
          <w:rFonts w:ascii="Times New Roman" w:hAnsi="Times New Roman"/>
          <w:noProof/>
          <w:sz w:val="24"/>
          <w:lang w:val="pt-PT"/>
        </w:rPr>
        <w:t xml:space="preserve">essidades de proteção em todos os Estados-Membros. </w:t>
      </w:r>
    </w:p>
    <w:p w:rsidR="005165C6" w:rsidRDefault="00280A3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sz w:val="24"/>
          <w:szCs w:val="24"/>
          <w:lang w:val="pt-PT"/>
        </w:rPr>
      </w:pPr>
      <w:r>
        <w:rPr>
          <w:rFonts w:ascii="Times New Roman" w:hAnsi="Times New Roman"/>
          <w:i/>
          <w:noProof/>
          <w:sz w:val="24"/>
          <w:lang w:val="pt-PT"/>
        </w:rPr>
        <w:t xml:space="preserve">Ações: </w:t>
      </w:r>
      <w:r>
        <w:rPr>
          <w:rFonts w:ascii="Times New Roman" w:hAnsi="Times New Roman"/>
          <w:noProof/>
          <w:sz w:val="24"/>
          <w:lang w:val="pt-PT"/>
        </w:rPr>
        <w:t xml:space="preserve">A Comissão proporá a alteração do mandato do EASO, de modo a que este possa desempenhar um novo papel na aplicação das políticas e funções operacionais reforçadas, proporcionando recursos </w:t>
      </w:r>
      <w:r>
        <w:rPr>
          <w:rFonts w:ascii="Times New Roman" w:hAnsi="Times New Roman"/>
          <w:noProof/>
          <w:sz w:val="24"/>
          <w:lang w:val="pt-PT"/>
        </w:rPr>
        <w:t>financeiros e meios jurídicos suficientes para o efeito.</w:t>
      </w:r>
    </w:p>
    <w:p w:rsidR="005165C6" w:rsidRDefault="005165C6">
      <w:pPr>
        <w:spacing w:after="0" w:line="240" w:lineRule="auto"/>
        <w:jc w:val="both"/>
        <w:rPr>
          <w:rFonts w:ascii="Times New Roman" w:eastAsia="Times New Roman" w:hAnsi="Times New Roman" w:cs="Times New Roman"/>
          <w:bCs/>
          <w:noProof/>
          <w:sz w:val="24"/>
          <w:szCs w:val="24"/>
          <w:lang w:val="pt-PT"/>
        </w:rPr>
      </w:pP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b/>
          <w:noProof/>
          <w:sz w:val="24"/>
          <w:lang w:val="pt-PT"/>
        </w:rPr>
        <w:t>a)</w:t>
      </w:r>
      <w:r>
        <w:rPr>
          <w:rFonts w:ascii="Times New Roman" w:hAnsi="Times New Roman"/>
          <w:noProof/>
          <w:sz w:val="24"/>
          <w:lang w:val="pt-PT"/>
        </w:rPr>
        <w:t xml:space="preserve"> </w:t>
      </w:r>
      <w:r>
        <w:rPr>
          <w:rFonts w:ascii="Times New Roman" w:hAnsi="Times New Roman"/>
          <w:b/>
          <w:i/>
          <w:noProof/>
          <w:sz w:val="24"/>
          <w:u w:val="single"/>
          <w:lang w:val="pt-PT"/>
        </w:rPr>
        <w:t>Estabelecer um sistema sustentável e equitativo de determinação do Estado-Membro responsável pela análise de um pedido de asilo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 Regulamento de Dublim estabelece os critérios e mecanismos de d</w:t>
      </w:r>
      <w:r>
        <w:rPr>
          <w:rFonts w:ascii="Times New Roman" w:hAnsi="Times New Roman"/>
          <w:noProof/>
          <w:sz w:val="24"/>
          <w:lang w:val="pt-PT"/>
        </w:rPr>
        <w:t>eterminação do Estado</w:t>
      </w:r>
      <w:r>
        <w:rPr>
          <w:rFonts w:ascii="Times New Roman" w:hAnsi="Times New Roman"/>
          <w:noProof/>
          <w:sz w:val="24"/>
          <w:lang w:val="pt-PT"/>
        </w:rPr>
        <w:noBreakHyphen/>
        <w:t>Membro responsável pela análise de um pedido de proteção internacional. O seu objetivo é assegurar um acesso rápido por parte dos requerentes de asilo a um procedimento de asilo e a análise de um pedido por um único Estado-Membro clar</w:t>
      </w:r>
      <w:r>
        <w:rPr>
          <w:rFonts w:ascii="Times New Roman" w:hAnsi="Times New Roman"/>
          <w:noProof/>
          <w:sz w:val="24"/>
          <w:lang w:val="pt-PT"/>
        </w:rPr>
        <w:t>amente determinado. Estes objetivos continuam válidos. A alternativa – permitir aos requerentes de asilo escolher o Estado-Membro responsável pelo seu pedido – constituiria um fator de atração, mesmo que existisse uma completa igualdade entre os Estados-Me</w:t>
      </w:r>
      <w:r>
        <w:rPr>
          <w:rFonts w:ascii="Times New Roman" w:hAnsi="Times New Roman"/>
          <w:noProof/>
          <w:sz w:val="24"/>
          <w:lang w:val="pt-PT"/>
        </w:rPr>
        <w:t xml:space="preserve">mbros no que se refere às condições de acolhimento dos requerentes de asilo e ao tratamento dos pedidos. Esta alternativa também não garantiria a solidariedade nem uma partilha equitativa das responsabilidades. A necessidade de tais critérios e mecanismos </w:t>
      </w:r>
      <w:r>
        <w:rPr>
          <w:rFonts w:ascii="Times New Roman" w:hAnsi="Times New Roman"/>
          <w:noProof/>
          <w:sz w:val="24"/>
          <w:lang w:val="pt-PT"/>
        </w:rPr>
        <w:t>está prevista no Tratado.</w:t>
      </w:r>
      <w:r>
        <w:rPr>
          <w:noProof/>
          <w:lang w:val="pt-PT"/>
        </w:rPr>
        <w:t xml:space="preserve">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 Comissão tenciona apresentar, com caráter prioritário, uma proposta de reforma do sistema de Dublim. Nesta fase devem ser consideradas duas opções principais para reformar o modo de determinar a responsabilidade no âmbito do s</w:t>
      </w:r>
      <w:r>
        <w:rPr>
          <w:rFonts w:ascii="Times New Roman" w:hAnsi="Times New Roman"/>
          <w:noProof/>
          <w:sz w:val="24"/>
          <w:lang w:val="pt-PT"/>
        </w:rPr>
        <w:t>istema de Dublim. Em ambos os casos, o Estado</w:t>
      </w:r>
      <w:r>
        <w:rPr>
          <w:rFonts w:ascii="Times New Roman" w:hAnsi="Times New Roman"/>
          <w:noProof/>
          <w:sz w:val="24"/>
          <w:lang w:val="pt-PT"/>
        </w:rPr>
        <w:noBreakHyphen/>
        <w:t xml:space="preserve">Membro do primeiro ponto de entrada deve identificar, registar e recolher as impressões digitais de todos os migrantes, bem como repatriar aqueles que não necessitam de proteção. Além disso, enquanto expressão </w:t>
      </w:r>
      <w:r>
        <w:rPr>
          <w:rFonts w:ascii="Times New Roman" w:hAnsi="Times New Roman"/>
          <w:noProof/>
          <w:sz w:val="24"/>
          <w:lang w:val="pt-PT"/>
        </w:rPr>
        <w:t>de solidariedade adicional, poderá ser necessário ponderar o financiamento da UE em relação a ambas as opções. Como ambas seriam concebidas para fazer face a situações de afluxo maciço, poderá também ser ponderada a possibilidade de revogar a Diretiva Prot</w:t>
      </w:r>
      <w:r>
        <w:rPr>
          <w:rFonts w:ascii="Times New Roman" w:hAnsi="Times New Roman"/>
          <w:noProof/>
          <w:sz w:val="24"/>
          <w:lang w:val="pt-PT"/>
        </w:rPr>
        <w:t>eção Temporária</w:t>
      </w:r>
      <w:r>
        <w:rPr>
          <w:rFonts w:ascii="Times New Roman" w:hAnsi="Times New Roman"/>
          <w:noProof/>
          <w:sz w:val="24"/>
          <w:vertAlign w:val="superscript"/>
        </w:rPr>
        <w:footnoteReference w:id="16"/>
      </w:r>
      <w:r>
        <w:rPr>
          <w:rFonts w:ascii="Times New Roman" w:hAnsi="Times New Roman"/>
          <w:noProof/>
          <w:sz w:val="24"/>
          <w:lang w:val="pt-PT"/>
        </w:rPr>
        <w:t>.</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numPr>
          <w:ilvl w:val="0"/>
          <w:numId w:val="2"/>
        </w:numPr>
        <w:spacing w:after="0" w:line="240" w:lineRule="auto"/>
        <w:contextualSpacing/>
        <w:jc w:val="both"/>
        <w:rPr>
          <w:rFonts w:ascii="Times New Roman" w:eastAsia="Times New Roman" w:hAnsi="Times New Roman" w:cs="Times New Roman"/>
          <w:i/>
          <w:noProof/>
          <w:sz w:val="24"/>
          <w:szCs w:val="24"/>
          <w:lang w:val="pt-PT"/>
        </w:rPr>
      </w:pPr>
      <w:r>
        <w:rPr>
          <w:rFonts w:ascii="Times New Roman" w:hAnsi="Times New Roman"/>
          <w:i/>
          <w:noProof/>
          <w:sz w:val="24"/>
          <w:lang w:val="pt-PT"/>
        </w:rPr>
        <w:t>Opção 1: Complementar o atual sistema com um mecanismo corretor para assegurar a equidade</w:t>
      </w:r>
    </w:p>
    <w:p w:rsidR="005165C6" w:rsidRDefault="005165C6">
      <w:pPr>
        <w:spacing w:after="0" w:line="240" w:lineRule="auto"/>
        <w:ind w:left="720"/>
        <w:contextualSpacing/>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No âmbito desta opção, seriam preservados na sua essência os atuais critérios de atribuição da responsabilidade, mas o sistema seria complementado</w:t>
      </w:r>
      <w:r>
        <w:rPr>
          <w:rFonts w:ascii="Times New Roman" w:hAnsi="Times New Roman"/>
          <w:noProof/>
          <w:sz w:val="24"/>
          <w:lang w:val="pt-PT"/>
        </w:rPr>
        <w:t xml:space="preserve"> com um mecanismo corretor para assegurar a equidade, baseado numa chave de repartição, que permitiria fazer ajustamentos na atribuição da responsabilidade em determinadas circunstâncias. Embora mantivesse uma ligação entre a atribuição da responsabilidade</w:t>
      </w:r>
      <w:r>
        <w:rPr>
          <w:rFonts w:ascii="Times New Roman" w:hAnsi="Times New Roman"/>
          <w:noProof/>
          <w:sz w:val="24"/>
          <w:lang w:val="pt-PT"/>
        </w:rPr>
        <w:t xml:space="preserve"> no domínio do asilo e o respeito, por parte dos Estados</w:t>
      </w:r>
      <w:r>
        <w:rPr>
          <w:rFonts w:ascii="Times New Roman" w:hAnsi="Times New Roman"/>
          <w:noProof/>
          <w:sz w:val="24"/>
          <w:lang w:val="pt-PT"/>
        </w:rPr>
        <w:noBreakHyphen/>
        <w:t>Membros, das suas obrigações em termos de proteção da fronteira externa, esta opção permitiria enfrentar mais eficazmente as situações de afluxo maciço através de determinados Estados-Membros e garan</w:t>
      </w:r>
      <w:r>
        <w:rPr>
          <w:rFonts w:ascii="Times New Roman" w:hAnsi="Times New Roman"/>
          <w:noProof/>
          <w:sz w:val="24"/>
          <w:lang w:val="pt-PT"/>
        </w:rPr>
        <w:t>tiria uma maior equidade na atribuição da responsabilidade entre os Estados-Membros. O mecanismo corretor poderia ser combinado com alterações ao Regulamento de Dublim, a fim de tornar os procedimentos mais eficazes, nomeadamente graças à supressão das clá</w:t>
      </w:r>
      <w:r>
        <w:rPr>
          <w:rFonts w:ascii="Times New Roman" w:hAnsi="Times New Roman"/>
          <w:noProof/>
          <w:sz w:val="24"/>
          <w:lang w:val="pt-PT"/>
        </w:rPr>
        <w:t>usulas sobre a cessação da responsabilidade.</w:t>
      </w: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 </w:t>
      </w: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O mecanismo corretor suplementar poderá basear-se no regime de recolocação em situações de crise, proposto pela Comissão em setembro do ano passado</w:t>
      </w:r>
      <w:r>
        <w:rPr>
          <w:rFonts w:ascii="Times New Roman" w:hAnsi="Times New Roman"/>
          <w:noProof/>
          <w:sz w:val="24"/>
          <w:vertAlign w:val="superscript"/>
        </w:rPr>
        <w:footnoteReference w:id="17"/>
      </w:r>
      <w:r>
        <w:rPr>
          <w:rFonts w:ascii="Times New Roman" w:hAnsi="Times New Roman"/>
          <w:noProof/>
          <w:sz w:val="24"/>
          <w:lang w:val="pt-PT"/>
        </w:rPr>
        <w:t xml:space="preserve">, que deve ser acionado em situações suscetíveis de </w:t>
      </w:r>
      <w:r>
        <w:rPr>
          <w:rFonts w:ascii="Times New Roman" w:hAnsi="Times New Roman"/>
          <w:noProof/>
          <w:sz w:val="24"/>
          <w:lang w:val="pt-PT"/>
        </w:rPr>
        <w:t>comprometer a aplicação do Regulamento de Dublim devido a uma forte pressão caracterizada pelo afluxo maciço e desproporcionado de nacionais de países terceiros que imponha constrangimentos significativos ao sistema de asilo de um Estado-Membro. Poderá ser</w:t>
      </w:r>
      <w:r>
        <w:rPr>
          <w:rFonts w:ascii="Times New Roman" w:hAnsi="Times New Roman"/>
          <w:noProof/>
          <w:sz w:val="24"/>
          <w:lang w:val="pt-PT"/>
        </w:rPr>
        <w:t xml:space="preserve"> estudada a possibilidade de subordinar a ativação do mecanismo suplementar à ativação prévia do apoio operacional nas fronteiras externas por parte da futura Guarda Costeira e de Fronteiras Europeia</w:t>
      </w:r>
      <w:r>
        <w:rPr>
          <w:rFonts w:ascii="Times New Roman" w:hAnsi="Times New Roman"/>
          <w:noProof/>
          <w:sz w:val="24"/>
          <w:vertAlign w:val="superscript"/>
        </w:rPr>
        <w:footnoteReference w:id="18"/>
      </w:r>
      <w:r>
        <w:rPr>
          <w:rFonts w:ascii="Times New Roman" w:hAnsi="Times New Roman"/>
          <w:noProof/>
          <w:sz w:val="24"/>
          <w:lang w:val="pt-PT"/>
        </w:rPr>
        <w:t>.</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Para apoiar eficazmente um Estado-Membro confrontado </w:t>
      </w:r>
      <w:r>
        <w:rPr>
          <w:rFonts w:ascii="Times New Roman" w:hAnsi="Times New Roman"/>
          <w:noProof/>
          <w:sz w:val="24"/>
          <w:lang w:val="pt-PT"/>
        </w:rPr>
        <w:t>com um afluxo maciço de migrantes, poderão ser ponderados ajustamentos no mecanismo suplementar proposto pela Comissão no ano passado. Em especial, a fim de atenuar injustiças graves na repartição entre Estados-Membros, a recolocação poderia ter lugar logo</w:t>
      </w:r>
      <w:r>
        <w:rPr>
          <w:rFonts w:ascii="Times New Roman" w:hAnsi="Times New Roman"/>
          <w:noProof/>
          <w:sz w:val="24"/>
          <w:lang w:val="pt-PT"/>
        </w:rPr>
        <w:t xml:space="preserve"> que seja atingido um limiar previamente definido do número de requerentes de asilo num determinado Estado-Membro. Esse limiar poderá ser determinado, por exemplo, de modo a que a recolocação só ocorra quando o número de requerentes de asilo atribuídos a u</w:t>
      </w:r>
      <w:r>
        <w:rPr>
          <w:rFonts w:ascii="Times New Roman" w:hAnsi="Times New Roman"/>
          <w:noProof/>
          <w:sz w:val="24"/>
          <w:lang w:val="pt-PT"/>
        </w:rPr>
        <w:t>m dado Estado-Membro exceder significativamente o número que resultaria de uma distribuição de requerentes de asilo em toda a UE baseada em determinados critérios objetivos. Outro ajustamento poderia permitir a recolocação de qualquer requerente com uma pr</w:t>
      </w:r>
      <w:r>
        <w:rPr>
          <w:rFonts w:ascii="Times New Roman" w:hAnsi="Times New Roman"/>
          <w:noProof/>
          <w:sz w:val="24"/>
          <w:lang w:val="pt-PT"/>
        </w:rPr>
        <w:t>obabilidade razoável de beneficiar de proteção internacional</w:t>
      </w:r>
      <w:r>
        <w:rPr>
          <w:rStyle w:val="FootnoteReference"/>
          <w:rFonts w:ascii="Times New Roman" w:hAnsi="Times New Roman"/>
          <w:noProof/>
          <w:sz w:val="24"/>
        </w:rPr>
        <w:footnoteReference w:id="19"/>
      </w:r>
      <w:r>
        <w:rPr>
          <w:rFonts w:ascii="Times New Roman" w:hAnsi="Times New Roman"/>
          <w:noProof/>
          <w:sz w:val="24"/>
          <w:lang w:val="pt-PT"/>
        </w:rPr>
        <w:t>, e não só os requerentes com uma nacionalidade para a qual a taxa de reconhecimento seja de, pelo menos, 75 %.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numPr>
          <w:ilvl w:val="0"/>
          <w:numId w:val="2"/>
        </w:numPr>
        <w:spacing w:after="0" w:line="240" w:lineRule="auto"/>
        <w:contextualSpacing/>
        <w:jc w:val="both"/>
        <w:rPr>
          <w:rFonts w:ascii="Times New Roman" w:eastAsia="Times New Roman" w:hAnsi="Times New Roman" w:cs="Times New Roman"/>
          <w:i/>
          <w:noProof/>
          <w:sz w:val="24"/>
          <w:szCs w:val="24"/>
          <w:lang w:val="pt-PT"/>
        </w:rPr>
      </w:pPr>
      <w:r>
        <w:rPr>
          <w:rFonts w:ascii="Times New Roman" w:hAnsi="Times New Roman"/>
          <w:i/>
          <w:noProof/>
          <w:sz w:val="24"/>
          <w:lang w:val="pt-PT"/>
        </w:rPr>
        <w:t>Opção 2: Criar um novo sistema de atribuição dos pedidos de asilo na UE com base n</w:t>
      </w:r>
      <w:r>
        <w:rPr>
          <w:rFonts w:ascii="Times New Roman" w:hAnsi="Times New Roman"/>
          <w:i/>
          <w:noProof/>
          <w:sz w:val="24"/>
          <w:lang w:val="pt-PT"/>
        </w:rPr>
        <w:t>uma chave de repartição</w:t>
      </w:r>
    </w:p>
    <w:p w:rsidR="005165C6" w:rsidRDefault="005165C6">
      <w:pPr>
        <w:spacing w:after="0" w:line="240" w:lineRule="auto"/>
        <w:ind w:left="720"/>
        <w:contextualSpacing/>
        <w:jc w:val="both"/>
        <w:rPr>
          <w:rFonts w:ascii="Times New Roman" w:eastAsia="Times New Roman" w:hAnsi="Times New Roman" w:cs="Times New Roman"/>
          <w:b/>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Ao abrigo de um novo sistema de atribuição dos pedidos de asilo na UE, a determinação da responsabilidade deixaria de estar ligada, na maior parte dos casos, ao primeiro Estado-Membro em que é apresentado o pedido ou em que o migra</w:t>
      </w:r>
      <w:r>
        <w:rPr>
          <w:rFonts w:ascii="Times New Roman" w:hAnsi="Times New Roman"/>
          <w:noProof/>
          <w:sz w:val="24"/>
          <w:lang w:val="pt-PT"/>
        </w:rPr>
        <w:t>nte entra de forma irregular. Em vez disso, a responsabilidade seria atribuída, principalmente, com base numa chave de repartição que reflita a dimensão, a riqueza e as capacidades de absorção relativas dos Estados-Membros</w:t>
      </w:r>
      <w:r>
        <w:rPr>
          <w:rStyle w:val="FootnoteReference"/>
          <w:rFonts w:ascii="Times New Roman" w:hAnsi="Times New Roman"/>
          <w:noProof/>
          <w:sz w:val="24"/>
        </w:rPr>
        <w:footnoteReference w:id="20"/>
      </w:r>
      <w:r>
        <w:rPr>
          <w:rFonts w:ascii="Times New Roman" w:hAnsi="Times New Roman"/>
          <w:noProof/>
          <w:sz w:val="24"/>
          <w:lang w:val="pt-PT"/>
        </w:rPr>
        <w:t>. Tal implicaria uma alteração fu</w:t>
      </w:r>
      <w:r>
        <w:rPr>
          <w:rFonts w:ascii="Times New Roman" w:hAnsi="Times New Roman"/>
          <w:noProof/>
          <w:sz w:val="24"/>
          <w:lang w:val="pt-PT"/>
        </w:rPr>
        <w:t xml:space="preserve">ndamental do sistema atual. No entanto, determinados critérios – nomeadamente os laços familiares ou de dependência, o interesse superior da criança e a posse de um visto ou de uma autorização de residência – prevaleceriam, como sucede atualmente, sobre a </w:t>
      </w:r>
      <w:r>
        <w:rPr>
          <w:rFonts w:ascii="Times New Roman" w:hAnsi="Times New Roman"/>
          <w:noProof/>
          <w:sz w:val="24"/>
          <w:lang w:val="pt-PT"/>
        </w:rPr>
        <w:t>aplicação da chave de repartição e poderiam dar origem a uma redução correspondente do número de migrantes atribuídos ao Estado-Membro ao abrigo da chave de repartição. Além disso, uma vez definitivamente estabelecida a responsabilidade de um dado Estado</w:t>
      </w:r>
      <w:r>
        <w:rPr>
          <w:rFonts w:ascii="Times New Roman" w:hAnsi="Times New Roman"/>
          <w:noProof/>
          <w:sz w:val="24"/>
          <w:lang w:val="pt-PT"/>
        </w:rPr>
        <w:noBreakHyphen/>
        <w:t>M</w:t>
      </w:r>
      <w:r>
        <w:rPr>
          <w:rFonts w:ascii="Times New Roman" w:hAnsi="Times New Roman"/>
          <w:noProof/>
          <w:sz w:val="24"/>
          <w:lang w:val="pt-PT"/>
        </w:rPr>
        <w:t>embro, este passaria a ser o único responsável pela análise do pedido de um determinado requerente, o que dissuadiria os movimentos secundários e permitiria encurtar os procedimentos e torná-los mais eficazes.</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Contrariamente à opção 1, com base na chave de repartição, a maior parte dos requerentes seriam diretamente atribuídos a outro Estado-Membro ao apresentarem um pedido em qualquer local da UE. No entanto, os Estados-Membros em que é apresentado o primeiro p</w:t>
      </w:r>
      <w:r>
        <w:rPr>
          <w:rFonts w:ascii="Times New Roman" w:hAnsi="Times New Roman"/>
          <w:noProof/>
          <w:sz w:val="24"/>
          <w:lang w:val="pt-PT"/>
        </w:rPr>
        <w:t>edido seriam responsáveis pela análise dos pedidos de asilo, por exemplo de requerentes provenientes de países de origem que a UE tenha designado como seguros, de modo a facilitar o seu regresso rápido e a manter uma ligação com as obrigações dos Estados-M</w:t>
      </w:r>
      <w:r>
        <w:rPr>
          <w:rFonts w:ascii="Times New Roman" w:hAnsi="Times New Roman"/>
          <w:noProof/>
          <w:sz w:val="24"/>
          <w:lang w:val="pt-PT"/>
        </w:rPr>
        <w:t>embros em matéria de proteção da fronteira externa. São possíveis diferentes variantes desta opção, em função do grau de responsabilidade atribuída ao Estado-Membro em que é apresentado o pedido para verificar se são aplicáveis critérios determinantes como</w:t>
      </w:r>
      <w:r>
        <w:rPr>
          <w:rFonts w:ascii="Times New Roman" w:hAnsi="Times New Roman"/>
          <w:noProof/>
          <w:sz w:val="24"/>
          <w:lang w:val="pt-PT"/>
        </w:rPr>
        <w:t xml:space="preserve">, por exemplo, os eventuais laços familiares do requerente noutro Estado-Membro. Uma alternativa poderia consistir na realização dessa verificação pelo Estado-Membro em que é apresentado o pedido; outra poderia ser a realização dessa verificação apenas no </w:t>
      </w:r>
      <w:r>
        <w:rPr>
          <w:rFonts w:ascii="Times New Roman" w:hAnsi="Times New Roman"/>
          <w:noProof/>
          <w:sz w:val="24"/>
          <w:lang w:val="pt-PT"/>
        </w:rPr>
        <w:t xml:space="preserve">Estado-Membro ao qual tenha sido atribuída a responsabilidade com base na chave de repartição.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numPr>
          <w:ilvl w:val="0"/>
          <w:numId w:val="2"/>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i/>
          <w:noProof/>
          <w:sz w:val="24"/>
        </w:rPr>
        <w:t>Perspetiva a longo prazo</w:t>
      </w:r>
    </w:p>
    <w:p w:rsidR="005165C6" w:rsidRDefault="005165C6">
      <w:pPr>
        <w:spacing w:after="0" w:line="240" w:lineRule="auto"/>
        <w:jc w:val="both"/>
        <w:rPr>
          <w:rFonts w:ascii="Times New Roman" w:eastAsia="Times New Roman" w:hAnsi="Times New Roman" w:cs="Times New Roman"/>
          <w:noProof/>
          <w:sz w:val="24"/>
          <w:szCs w:val="24"/>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Tal como já foi assinalado na Agenda Europeia da Migração, a longo prazo poderá ponderar-se a possibilidade de transferir a responsab</w:t>
      </w:r>
      <w:r>
        <w:rPr>
          <w:rFonts w:ascii="Times New Roman" w:hAnsi="Times New Roman"/>
          <w:noProof/>
          <w:sz w:val="24"/>
          <w:lang w:val="pt-PT"/>
        </w:rPr>
        <w:t>ilidade pelo tratamento dos pedidos de asilo do nível nacional para o nível da UE, por exemplo transformando o EASO num organismo de tomada de decisão em primeira instância a nível da União, com representações nacionais em cada Estado</w:t>
      </w:r>
      <w:r>
        <w:rPr>
          <w:rFonts w:ascii="Times New Roman" w:hAnsi="Times New Roman"/>
          <w:noProof/>
          <w:sz w:val="24"/>
          <w:lang w:val="pt-PT"/>
        </w:rPr>
        <w:noBreakHyphen/>
        <w:t>Membro, e criando uma</w:t>
      </w:r>
      <w:r>
        <w:rPr>
          <w:rFonts w:ascii="Times New Roman" w:hAnsi="Times New Roman"/>
          <w:noProof/>
          <w:sz w:val="24"/>
          <w:lang w:val="pt-PT"/>
        </w:rPr>
        <w:t xml:space="preserve"> estrutura de recurso a nível da UE. No âmbito desta abordagem, os Estados-Membros continuariam a ser responsáveis pelo acolhimento dos requerentes de asilo e dos refugiados, uma vez reconhecidos, que lhes seriam atribuídos com base numa chave de repartiçã</w:t>
      </w:r>
      <w:r>
        <w:rPr>
          <w:rFonts w:ascii="Times New Roman" w:hAnsi="Times New Roman"/>
          <w:noProof/>
          <w:sz w:val="24"/>
          <w:lang w:val="pt-PT"/>
        </w:rPr>
        <w:t xml:space="preserve">o, como sugerido acima.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Deste modo, seria possível estabelecer um processo de tomada de decisão único e centralizado, em primeira instância e em fase de recurso, e garantir a plena harmonização dos procedimentos, bem como uma avaliação coerente das neces</w:t>
      </w:r>
      <w:r>
        <w:rPr>
          <w:rFonts w:ascii="Times New Roman" w:hAnsi="Times New Roman"/>
          <w:noProof/>
          <w:sz w:val="24"/>
          <w:lang w:val="pt-PT"/>
        </w:rPr>
        <w:t xml:space="preserve">sidades de proteção a nível da UE. A repartição dos requerentes de asilo entre os Estados-Membros com base numa chave de repartição asseguraria paralelamente uma partilha equitativa da responsabilidade pelo seu acolhimento. Para além de ser necessária uma </w:t>
      </w:r>
      <w:r>
        <w:rPr>
          <w:rFonts w:ascii="Times New Roman" w:hAnsi="Times New Roman"/>
          <w:noProof/>
          <w:sz w:val="24"/>
          <w:lang w:val="pt-PT"/>
        </w:rPr>
        <w:t>transformação institucional de grande envergadura, estes novos organismos da UE responsáveis pelo asilo necessitariam de recursos consideráveis para tratar um número muito significativo de pedidos atualmente tratados pelas autoridades dos Estados-Membros</w:t>
      </w:r>
      <w:r>
        <w:rPr>
          <w:rFonts w:ascii="Times New Roman" w:hAnsi="Times New Roman"/>
          <w:noProof/>
          <w:sz w:val="24"/>
          <w:vertAlign w:val="superscript"/>
        </w:rPr>
        <w:footnoteReference w:id="21"/>
      </w:r>
      <w:r>
        <w:rPr>
          <w:rFonts w:ascii="Times New Roman" w:hAnsi="Times New Roman"/>
          <w:noProof/>
          <w:sz w:val="24"/>
          <w:lang w:val="pt-PT"/>
        </w:rPr>
        <w:t>.</w:t>
      </w:r>
      <w:r>
        <w:rPr>
          <w:rFonts w:ascii="Times New Roman" w:hAnsi="Times New Roman"/>
          <w:noProof/>
          <w:sz w:val="24"/>
          <w:lang w:val="pt-PT"/>
        </w:rPr>
        <w:t xml:space="preserve"> Por conseguinte, seria difícil prever uma solução de tão longo alcance a curto ou médio prazo.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i/>
          <w:noProof/>
          <w:sz w:val="24"/>
          <w:szCs w:val="24"/>
          <w:lang w:val="pt-PT"/>
        </w:rPr>
      </w:pPr>
      <w:r>
        <w:rPr>
          <w:rFonts w:ascii="Times New Roman" w:hAnsi="Times New Roman"/>
          <w:b/>
          <w:i/>
          <w:noProof/>
          <w:sz w:val="24"/>
          <w:lang w:val="pt-PT"/>
        </w:rPr>
        <w:t>b)</w:t>
      </w:r>
      <w:r>
        <w:rPr>
          <w:rFonts w:ascii="Times New Roman" w:hAnsi="Times New Roman"/>
          <w:i/>
          <w:noProof/>
          <w:sz w:val="24"/>
          <w:lang w:val="pt-PT"/>
        </w:rPr>
        <w:t xml:space="preserve"> </w:t>
      </w:r>
      <w:r>
        <w:rPr>
          <w:rFonts w:ascii="Times New Roman" w:hAnsi="Times New Roman"/>
          <w:b/>
          <w:i/>
          <w:noProof/>
          <w:sz w:val="24"/>
          <w:u w:val="single"/>
          <w:lang w:val="pt-PT"/>
        </w:rPr>
        <w:t>Reforçar o sistema Eurodac</w:t>
      </w:r>
      <w:r>
        <w:rPr>
          <w:noProof/>
          <w:lang w:val="pt-PT"/>
        </w:rPr>
        <w:tab/>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Os Estados-Membros utilizam o sistema Eurodac e as impressões digitais conservadas na sua base de dados para provar que um </w:t>
      </w:r>
      <w:r>
        <w:rPr>
          <w:rFonts w:ascii="Times New Roman" w:hAnsi="Times New Roman"/>
          <w:noProof/>
          <w:sz w:val="24"/>
          <w:lang w:val="pt-PT"/>
        </w:rPr>
        <w:t>determinado requerente de proteção internacional ou migrante em situação irregular esteve presente num Estado-Membro antes de chegar a outro Estado</w:t>
      </w:r>
      <w:r>
        <w:rPr>
          <w:rFonts w:ascii="Times New Roman" w:hAnsi="Times New Roman"/>
          <w:noProof/>
          <w:sz w:val="24"/>
          <w:lang w:val="pt-PT"/>
        </w:rPr>
        <w:noBreakHyphen/>
        <w:t>Membro, a fim de apoiar a aplicação do Regulamento de Dublim. A Comissão proporá a adaptação do sistema Euro</w:t>
      </w:r>
      <w:r>
        <w:rPr>
          <w:rFonts w:ascii="Times New Roman" w:hAnsi="Times New Roman"/>
          <w:noProof/>
          <w:sz w:val="24"/>
          <w:lang w:val="pt-PT"/>
        </w:rPr>
        <w:t xml:space="preserve">dac de modo a refletir as alterações introduzidas no mecanismo de Dublim, para assegurar que fornece as provas, sob a forma de impressões digitais, necessárias ao seu funcionamento.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Além disso, tendo em conta as dificuldades encontradas pelos Estados-Mem</w:t>
      </w:r>
      <w:r>
        <w:rPr>
          <w:rFonts w:ascii="Times New Roman" w:hAnsi="Times New Roman"/>
          <w:noProof/>
          <w:sz w:val="24"/>
          <w:lang w:val="pt-PT"/>
        </w:rPr>
        <w:t>bros para controlar com eficácia as entradas irregulares nas fronteiras externas e os movimentos subsequentes, convém alargar a finalidade do Eurodac para além do domínio do asilo. O Eurodac pode ser utilizado para reforçar substancialmente a capacidade do</w:t>
      </w:r>
      <w:r>
        <w:rPr>
          <w:rFonts w:ascii="Times New Roman" w:hAnsi="Times New Roman"/>
          <w:noProof/>
          <w:sz w:val="24"/>
          <w:lang w:val="pt-PT"/>
        </w:rPr>
        <w:t>s Estados-Membros visando detetar migrantes em situação irregular na UE, já que, graças ao armazenamento de dados dactiloscópicos de todas as categorias, permite efetuar comparações com todos os dados armazenados.</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hAnsi="Times New Roman" w:cs="Times New Roman"/>
          <w:noProof/>
          <w:sz w:val="24"/>
          <w:szCs w:val="24"/>
          <w:lang w:val="pt-PT"/>
        </w:rPr>
      </w:pPr>
      <w:r>
        <w:rPr>
          <w:rFonts w:ascii="Times New Roman" w:hAnsi="Times New Roman"/>
          <w:noProof/>
          <w:sz w:val="24"/>
          <w:lang w:val="pt-PT"/>
        </w:rPr>
        <w:t>A Comissão proporá alargar o âmbito do Eu</w:t>
      </w:r>
      <w:r>
        <w:rPr>
          <w:rFonts w:ascii="Times New Roman" w:hAnsi="Times New Roman"/>
          <w:noProof/>
          <w:sz w:val="24"/>
          <w:lang w:val="pt-PT"/>
        </w:rPr>
        <w:t>rodac como forma de contribuir para combater a migração irregular, permitindo que o sistema seja utilizado para facilitar o regresso dos migrantes em situação irregular. Para o efeito, o Eurodac será utilizado como meio destinado a acelerar a identificação</w:t>
      </w:r>
      <w:r>
        <w:rPr>
          <w:rFonts w:ascii="Times New Roman" w:hAnsi="Times New Roman"/>
          <w:noProof/>
          <w:sz w:val="24"/>
          <w:lang w:val="pt-PT"/>
        </w:rPr>
        <w:t xml:space="preserve"> dos migrantes e a emissão de novos documentos aos mesmos, e permitirá avaliar melhor as probabilidades de fuga, reforçando assim a eficácia e a rapidez dos procedimentos de regresso e de readmissão.</w:t>
      </w:r>
    </w:p>
    <w:p w:rsidR="005165C6" w:rsidRDefault="005165C6">
      <w:pPr>
        <w:spacing w:after="0" w:line="240" w:lineRule="auto"/>
        <w:jc w:val="both"/>
        <w:rPr>
          <w:noProof/>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cs="Times New Roman"/>
          <w:noProof/>
          <w:sz w:val="24"/>
          <w:szCs w:val="24"/>
          <w:lang w:val="pt-PT"/>
        </w:rPr>
        <w:t xml:space="preserve">Tal como enunciado na sua </w:t>
      </w:r>
      <w:r>
        <w:rPr>
          <w:rFonts w:ascii="Times New Roman" w:eastAsia="Times New Roman" w:hAnsi="Times New Roman" w:cs="Times New Roman"/>
          <w:noProof/>
          <w:sz w:val="24"/>
          <w:szCs w:val="24"/>
          <w:lang w:val="pt-PT" w:eastAsia="en-GB"/>
        </w:rPr>
        <w:t>comunicação sobre a criação d</w:t>
      </w:r>
      <w:r>
        <w:rPr>
          <w:rFonts w:ascii="Times New Roman" w:eastAsia="Times New Roman" w:hAnsi="Times New Roman" w:cs="Times New Roman"/>
          <w:noProof/>
          <w:sz w:val="24"/>
          <w:szCs w:val="24"/>
          <w:lang w:val="pt-PT" w:eastAsia="en-GB"/>
        </w:rPr>
        <w:t xml:space="preserve">e sistemas de informação mais sólidos e inteligentes </w:t>
      </w:r>
      <w:r>
        <w:rPr>
          <w:rFonts w:ascii="Times New Roman" w:hAnsi="Times New Roman" w:cs="Times New Roman"/>
          <w:noProof/>
          <w:sz w:val="24"/>
          <w:szCs w:val="24"/>
          <w:lang w:val="pt-PT"/>
        </w:rPr>
        <w:t>para as fronteiras e a segurança</w:t>
      </w:r>
      <w:r>
        <w:rPr>
          <w:rFonts w:ascii="Times New Roman" w:hAnsi="Times New Roman" w:cs="Times New Roman"/>
          <w:noProof/>
          <w:sz w:val="24"/>
          <w:szCs w:val="24"/>
          <w:vertAlign w:val="superscript"/>
          <w:lang w:val="pt-PT"/>
        </w:rPr>
        <w:footnoteReference w:id="22"/>
      </w:r>
      <w:r>
        <w:rPr>
          <w:rFonts w:ascii="Times New Roman" w:hAnsi="Times New Roman" w:cs="Times New Roman"/>
          <w:noProof/>
          <w:sz w:val="24"/>
          <w:szCs w:val="24"/>
          <w:lang w:val="pt-PT"/>
        </w:rPr>
        <w:t>, n</w:t>
      </w:r>
      <w:r>
        <w:rPr>
          <w:rFonts w:ascii="Times New Roman" w:hAnsi="Times New Roman"/>
          <w:noProof/>
          <w:sz w:val="24"/>
          <w:lang w:val="pt-PT"/>
        </w:rPr>
        <w:t>o quadro da avaliação geral do atual sistema, a Comissão identificará também as lacunas que devem ser colmatadas a longo prazo através do desenvolvimento de certas fun</w:t>
      </w:r>
      <w:r>
        <w:rPr>
          <w:rFonts w:ascii="Times New Roman" w:hAnsi="Times New Roman"/>
          <w:noProof/>
          <w:sz w:val="24"/>
          <w:lang w:val="pt-PT"/>
        </w:rPr>
        <w:t>cionalidades técnicas do sistema, incluindo a possibilidade de utilizar outros identificadores biométricos, em consonância com as normas em matéria de proteção de dados.</w:t>
      </w:r>
    </w:p>
    <w:p w:rsidR="005165C6" w:rsidRDefault="005165C6">
      <w:pPr>
        <w:spacing w:after="0" w:line="240" w:lineRule="auto"/>
        <w:ind w:left="720" w:hanging="720"/>
        <w:rPr>
          <w:rFonts w:ascii="Times New Roman" w:eastAsia="Times New Roman" w:hAnsi="Times New Roman" w:cs="Times New Roman"/>
          <w:noProof/>
          <w:sz w:val="24"/>
          <w:szCs w:val="24"/>
          <w:lang w:val="pt-PT"/>
        </w:rPr>
      </w:pPr>
    </w:p>
    <w:p w:rsidR="005165C6" w:rsidRDefault="005165C6">
      <w:pPr>
        <w:spacing w:after="0" w:line="240" w:lineRule="auto"/>
        <w:ind w:left="720" w:hanging="720"/>
        <w:rPr>
          <w:rFonts w:ascii="Times New Roman" w:eastAsia="Times New Roman" w:hAnsi="Times New Roman" w:cs="Times New Roman"/>
          <w:noProof/>
          <w:sz w:val="24"/>
          <w:szCs w:val="24"/>
          <w:lang w:val="pt-PT"/>
        </w:rPr>
      </w:pPr>
    </w:p>
    <w:p w:rsidR="005165C6" w:rsidRDefault="00280A37">
      <w:pPr>
        <w:spacing w:after="0" w:line="240" w:lineRule="auto"/>
        <w:ind w:left="720" w:hanging="720"/>
        <w:rPr>
          <w:rFonts w:ascii="Times New Roman" w:eastAsia="Times New Roman" w:hAnsi="Times New Roman" w:cs="Times New Roman"/>
          <w:noProof/>
          <w:sz w:val="24"/>
          <w:szCs w:val="24"/>
          <w:lang w:val="pt-PT"/>
        </w:rPr>
      </w:pPr>
      <w:r>
        <w:rPr>
          <w:rFonts w:ascii="Times New Roman" w:hAnsi="Times New Roman"/>
          <w:b/>
          <w:noProof/>
          <w:sz w:val="24"/>
          <w:lang w:val="pt-PT"/>
        </w:rPr>
        <w:t>c)</w:t>
      </w:r>
      <w:r>
        <w:rPr>
          <w:noProof/>
          <w:lang w:val="pt-PT"/>
        </w:rPr>
        <w:tab/>
      </w:r>
      <w:r>
        <w:rPr>
          <w:rFonts w:ascii="Times New Roman" w:hAnsi="Times New Roman"/>
          <w:b/>
          <w:i/>
          <w:noProof/>
          <w:sz w:val="24"/>
          <w:u w:val="single"/>
          <w:lang w:val="pt-PT"/>
        </w:rPr>
        <w:t>Um maior grau de convergência e um verdadeiro Sistema Europeu Comum de Asilo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Em </w:t>
      </w:r>
      <w:r>
        <w:rPr>
          <w:rFonts w:ascii="Times New Roman" w:hAnsi="Times New Roman"/>
          <w:noProof/>
          <w:sz w:val="24"/>
          <w:lang w:val="pt-PT"/>
        </w:rPr>
        <w:t xml:space="preserve">termos mais gerais, a Comissão tenciona propor uma harmonização global dos procedimentos em toda a UE, transformando a atual Diretiva Procedimentos de Asilo num </w:t>
      </w:r>
      <w:r>
        <w:rPr>
          <w:rFonts w:ascii="Times New Roman" w:hAnsi="Times New Roman"/>
          <w:b/>
          <w:noProof/>
          <w:sz w:val="24"/>
          <w:lang w:val="pt-PT"/>
        </w:rPr>
        <w:t>novo regulamento que estabelece um procedimento de asilo único e comum na UE</w:t>
      </w:r>
      <w:r>
        <w:rPr>
          <w:rFonts w:ascii="Times New Roman" w:hAnsi="Times New Roman"/>
          <w:noProof/>
          <w:sz w:val="24"/>
          <w:lang w:val="pt-PT"/>
        </w:rPr>
        <w:t xml:space="preserve">, que substituiria </w:t>
      </w:r>
      <w:r>
        <w:rPr>
          <w:rFonts w:ascii="Times New Roman" w:hAnsi="Times New Roman"/>
          <w:noProof/>
          <w:sz w:val="24"/>
          <w:lang w:val="pt-PT"/>
        </w:rPr>
        <w:t>as atuais disposições díspares dos Estados-Membros e reduziria os incentivos à entrada na UE e à circulação no seu interior. Após ter consultado os Estados-Membros e as partes interessadas, a Comissão tenciona propor a adoção de novas normas - em vez das a</w:t>
      </w:r>
      <w:r>
        <w:rPr>
          <w:rFonts w:ascii="Times New Roman" w:hAnsi="Times New Roman"/>
          <w:noProof/>
          <w:sz w:val="24"/>
          <w:lang w:val="pt-PT"/>
        </w:rPr>
        <w:t>tuais normas discricionárias - sobre os aspetos essenciais do procedimento de asilo, incluindo normas sobre a admissibilidade, a utilização de procedimentos de fronteira e acelerados, o tratamento dos pedidos subsequentes e o direito de permanência no terr</w:t>
      </w:r>
      <w:r>
        <w:rPr>
          <w:rFonts w:ascii="Times New Roman" w:hAnsi="Times New Roman"/>
          <w:noProof/>
          <w:sz w:val="24"/>
          <w:lang w:val="pt-PT"/>
        </w:rPr>
        <w:t>itório. Uma característica essencial de um procedimento comum deste tipo será a harmonização da sua duração máxima, tanto em primeira instância como na fase de recurso.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Um aspeto crucial da abordagem comum prende-se com a utilização do mecanismo de design</w:t>
      </w:r>
      <w:r>
        <w:rPr>
          <w:rFonts w:ascii="Times New Roman" w:hAnsi="Times New Roman"/>
          <w:noProof/>
          <w:sz w:val="24"/>
          <w:lang w:val="pt-PT"/>
        </w:rPr>
        <w:t>ação de «países seguros». Em setembro de 2015, a Comissão propôs a adoção de um regulamento que estabelece uma lista comum da UE de «países de origem seguros»</w:t>
      </w:r>
      <w:r>
        <w:rPr>
          <w:rFonts w:ascii="Times New Roman" w:hAnsi="Times New Roman"/>
          <w:noProof/>
          <w:sz w:val="24"/>
          <w:vertAlign w:val="superscript"/>
        </w:rPr>
        <w:footnoteReference w:id="23"/>
      </w:r>
      <w:r>
        <w:rPr>
          <w:rFonts w:ascii="Times New Roman" w:hAnsi="Times New Roman"/>
          <w:noProof/>
          <w:sz w:val="24"/>
          <w:lang w:val="pt-PT"/>
        </w:rPr>
        <w:t>, a fim de facilitar o tratamento rápido dos pedidos apresentados por pessoas provenientes desses</w:t>
      </w:r>
      <w:r>
        <w:rPr>
          <w:rFonts w:ascii="Times New Roman" w:hAnsi="Times New Roman"/>
          <w:noProof/>
          <w:sz w:val="24"/>
          <w:lang w:val="pt-PT"/>
        </w:rPr>
        <w:t xml:space="preserve"> países. É importante que esse regulamento seja adotado sem demora pelo Parlamento Europeu e pelo Conselho. O objetivo é dispor de uma lista totalmente harmonizada dos países de origem seguros a nível da UE, com base nas propostas da Comissão, dando priori</w:t>
      </w:r>
      <w:r>
        <w:rPr>
          <w:rFonts w:ascii="Times New Roman" w:hAnsi="Times New Roman"/>
          <w:noProof/>
          <w:sz w:val="24"/>
          <w:lang w:val="pt-PT"/>
        </w:rPr>
        <w:t>dade à inclusão dos países terceiros de que seja originário um número significativo de requerentes. Além disso, a Comissão tenciona propor a harmonização das consequências processuais do recurso ao mecanismo do «país de origem seguro» e eliminar a atual di</w:t>
      </w:r>
      <w:r>
        <w:rPr>
          <w:rFonts w:ascii="Times New Roman" w:hAnsi="Times New Roman"/>
          <w:noProof/>
          <w:sz w:val="24"/>
          <w:lang w:val="pt-PT"/>
        </w:rPr>
        <w:t>scricionariedade relativamente à sua utilização.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No que respeita ao mecanismo do «país terceiro seguro», que permite declarar certos pedidos não admissíveis quando é possível beneficiar de proteção num país terceiro, na sua Comunicação de 10 de fevereiro </w:t>
      </w:r>
      <w:r>
        <w:rPr>
          <w:rFonts w:ascii="Times New Roman" w:hAnsi="Times New Roman"/>
          <w:noProof/>
          <w:sz w:val="24"/>
          <w:lang w:val="pt-PT"/>
        </w:rPr>
        <w:t>de 2016 a Comissão encorajou os Estados-Membros a preverem e exigirem a sua aplicação na legislação nacional. Além disso, a Comissão tenciona propor uma abordagem mais harmonizada da sua utilização a nível da União, no pleno respeito das obrigações interna</w:t>
      </w:r>
      <w:r>
        <w:rPr>
          <w:rFonts w:ascii="Times New Roman" w:hAnsi="Times New Roman"/>
          <w:noProof/>
          <w:sz w:val="24"/>
          <w:lang w:val="pt-PT"/>
        </w:rPr>
        <w:t>cionais consagradas na Carta dos Direitos Fundamentais da União Europeia, na Convenção Europeia dos Direitos do Homem (CEDH) e na Convenção de Genebra, a fim de garantir que o mecanismo é aplicado da mesma forma em todos os Estados-Membros e de estabelecer</w:t>
      </w:r>
      <w:r>
        <w:rPr>
          <w:rFonts w:ascii="Times New Roman" w:hAnsi="Times New Roman"/>
          <w:noProof/>
          <w:sz w:val="24"/>
          <w:lang w:val="pt-PT"/>
        </w:rPr>
        <w:t xml:space="preserve"> um mecanismo para a adoção de uma lista da UE de países terceiros seguros.</w:t>
      </w:r>
    </w:p>
    <w:p w:rsidR="005165C6" w:rsidRDefault="005165C6">
      <w:pPr>
        <w:spacing w:after="0" w:line="240" w:lineRule="auto"/>
        <w:contextualSpacing/>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Além disso, deve ser garantida a concessão aos requerentes do tipo de proteção a que têm direito (estatuto de refugiado ou proteção subsidiária), mas apenas enquanto dela necessit</w:t>
      </w:r>
      <w:r>
        <w:rPr>
          <w:rFonts w:ascii="Times New Roman" w:hAnsi="Times New Roman"/>
          <w:noProof/>
          <w:sz w:val="24"/>
          <w:lang w:val="pt-PT"/>
        </w:rPr>
        <w:t xml:space="preserve">arem, bem como de um conjunto mais harmonizado de direitos, mantendo ao mesmo tempo a coerência com a Convenção de Genebra e a CEDH. Por conseguinte, a Comissão tenciona propor, após consulta dos Estados-Membros, a </w:t>
      </w:r>
      <w:r>
        <w:rPr>
          <w:rFonts w:ascii="Times New Roman" w:hAnsi="Times New Roman"/>
          <w:b/>
          <w:noProof/>
          <w:sz w:val="24"/>
          <w:lang w:val="pt-PT"/>
        </w:rPr>
        <w:t>substituição da atual Diretiva relativa à</w:t>
      </w:r>
      <w:r>
        <w:rPr>
          <w:rFonts w:ascii="Times New Roman" w:hAnsi="Times New Roman"/>
          <w:b/>
          <w:noProof/>
          <w:sz w:val="24"/>
          <w:lang w:val="pt-PT"/>
        </w:rPr>
        <w:t>s condições a preencher pelos requerentes de asilo por um regulamento que estabeleça normas uniformes sobre os procedimentos e os direitos a conceder aos beneficiários de proteção internacional</w:t>
      </w:r>
      <w:r>
        <w:rPr>
          <w:rFonts w:ascii="Times New Roman" w:hAnsi="Times New Roman"/>
          <w:noProof/>
          <w:sz w:val="24"/>
          <w:lang w:val="pt-PT"/>
        </w:rPr>
        <w:t>. A concessão de alguns desses direitos poderia corresponder ao</w:t>
      </w:r>
      <w:r>
        <w:rPr>
          <w:rFonts w:ascii="Times New Roman" w:hAnsi="Times New Roman"/>
          <w:noProof/>
          <w:sz w:val="24"/>
          <w:lang w:val="pt-PT"/>
        </w:rPr>
        <w:t xml:space="preserve"> regime aplicável em cada Estado</w:t>
      </w:r>
      <w:r>
        <w:rPr>
          <w:rFonts w:ascii="Times New Roman" w:hAnsi="Times New Roman"/>
          <w:noProof/>
          <w:sz w:val="24"/>
          <w:lang w:val="pt-PT"/>
        </w:rPr>
        <w:noBreakHyphen/>
        <w:t>Membro em relação aos outros nacionais de países terceiros ou aos nacionais desse Estado-Membro. No entanto, embora respeitando plenamente os direitos fundamentais e as normas internacionais, a Comissão examinará cuidadosam</w:t>
      </w:r>
      <w:r>
        <w:rPr>
          <w:rFonts w:ascii="Times New Roman" w:hAnsi="Times New Roman"/>
          <w:noProof/>
          <w:sz w:val="24"/>
          <w:lang w:val="pt-PT"/>
        </w:rPr>
        <w:t>ente a necessidade de adaptar o nível dos direitos, a fim de reduzir tanto os fatores de atração indevidos como os movimentos secundários. A Comissão tenciona também clarificar melhor a diferença entre o estatuto de refugiado e o estatuto de proteção subsi</w:t>
      </w:r>
      <w:r>
        <w:rPr>
          <w:rFonts w:ascii="Times New Roman" w:hAnsi="Times New Roman"/>
          <w:noProof/>
          <w:sz w:val="24"/>
          <w:lang w:val="pt-PT"/>
        </w:rPr>
        <w:t>diária, bem como diferenciar melhor os direitos correspondentes a cada um deles.</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Por outro lado, o referido regulamento conterá medidas destinadas a garantir que é efetuado um controlo sistemático e regular, pelo menos nos primeiros anos após a concessão </w:t>
      </w:r>
      <w:r>
        <w:rPr>
          <w:rFonts w:ascii="Times New Roman" w:hAnsi="Times New Roman"/>
          <w:noProof/>
          <w:sz w:val="24"/>
          <w:lang w:val="pt-PT"/>
        </w:rPr>
        <w:t>de um estatuto de proteção, e que, antes de se conceder o estatuto de residente de longa duração a uma pessoa, a renovação da autorização de residência seja subordinada à confirmação de que ainda existe necessidade de proteção, com base numa análise da sit</w:t>
      </w:r>
      <w:r>
        <w:rPr>
          <w:rFonts w:ascii="Times New Roman" w:hAnsi="Times New Roman"/>
          <w:noProof/>
          <w:sz w:val="24"/>
          <w:lang w:val="pt-PT"/>
        </w:rPr>
        <w:t>uação atual no país de origem do interessado e da sua situação pessoal. Atualmente, são poucos os Estados-Membros que dispõem de um sistema de reavaliação regular do estatuto deste tipo. Tendo em conta a natureza intrinsecamente mais temporária do estatuto</w:t>
      </w:r>
      <w:r>
        <w:rPr>
          <w:rFonts w:ascii="Times New Roman" w:hAnsi="Times New Roman"/>
          <w:noProof/>
          <w:sz w:val="24"/>
          <w:lang w:val="pt-PT"/>
        </w:rPr>
        <w:t xml:space="preserve"> de proteção subsidiária, devem ser previstas reavaliações mais regulares da sua cessação.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Serão igualmente propostas normas mais harmonizadas sobre os documentos de identidade dos beneficiários de proteção internacional. Além disso, poderão ser tomadas n</w:t>
      </w:r>
      <w:r>
        <w:rPr>
          <w:rFonts w:ascii="Times New Roman" w:hAnsi="Times New Roman"/>
          <w:noProof/>
          <w:sz w:val="24"/>
          <w:lang w:val="pt-PT"/>
        </w:rPr>
        <w:t>ovas iniciativas a mais longo prazo para desenvolver o reconhecimento mútuo da proteção concedida nos vários Estados-Membros, que poderão servir de base a um quadro para as transferências de proteção.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hAnsi="Times New Roman"/>
          <w:noProof/>
          <w:sz w:val="24"/>
          <w:lang w:val="pt-PT"/>
        </w:rPr>
      </w:pPr>
      <w:r>
        <w:rPr>
          <w:rFonts w:ascii="Times New Roman" w:hAnsi="Times New Roman"/>
          <w:b/>
          <w:noProof/>
          <w:sz w:val="24"/>
          <w:lang w:val="pt-PT"/>
        </w:rPr>
        <w:t>Também serão propostas alterações à Diretiva Condições</w:t>
      </w:r>
      <w:r>
        <w:rPr>
          <w:rFonts w:ascii="Times New Roman" w:hAnsi="Times New Roman"/>
          <w:b/>
          <w:noProof/>
          <w:sz w:val="24"/>
          <w:lang w:val="pt-PT"/>
        </w:rPr>
        <w:t xml:space="preserve"> de Acolhimento</w:t>
      </w:r>
      <w:r>
        <w:rPr>
          <w:rFonts w:ascii="Times New Roman" w:hAnsi="Times New Roman"/>
          <w:b/>
          <w:noProof/>
          <w:sz w:val="24"/>
          <w:vertAlign w:val="superscript"/>
        </w:rPr>
        <w:footnoteReference w:id="24"/>
      </w:r>
      <w:r>
        <w:rPr>
          <w:rFonts w:ascii="Times New Roman" w:hAnsi="Times New Roman"/>
          <w:noProof/>
          <w:sz w:val="24"/>
          <w:lang w:val="pt-PT"/>
        </w:rPr>
        <w:t>, na sequência de consultas com os Estados-Membros, a fim de aumentar o mais possível o nível de harmonização entre os Estados-Membros. É essencial prosseguir a harmonização do tratamento dos requerentes de asilo em toda a UE, não só para l</w:t>
      </w:r>
      <w:r>
        <w:rPr>
          <w:rFonts w:ascii="Times New Roman" w:hAnsi="Times New Roman"/>
          <w:noProof/>
          <w:sz w:val="24"/>
          <w:lang w:val="pt-PT"/>
        </w:rPr>
        <w:t xml:space="preserve">hes garantir um tratamento humano, mas também para reduzir os incentivos à entrada na Europa e à circulação para outros Estados-Membros no interior da Europa. Como primeiro passo, a Comissão solicitou ao EASO que, em colaboração com a recém-criada rede de </w:t>
      </w:r>
      <w:r>
        <w:rPr>
          <w:rFonts w:ascii="Times New Roman" w:hAnsi="Times New Roman"/>
          <w:noProof/>
          <w:sz w:val="24"/>
          <w:lang w:val="pt-PT"/>
        </w:rPr>
        <w:t xml:space="preserve">autoridades de acolhimento de requerentes de asilo da UE e com a Agência dos Direitos Fundamentais, elaborasse normas técnicas comuns e orientações para os sistemas de acolhimento dos Estados-Membros. Estas novas normas servirão igualmente como referência </w:t>
      </w:r>
      <w:r>
        <w:rPr>
          <w:rFonts w:ascii="Times New Roman" w:hAnsi="Times New Roman"/>
          <w:noProof/>
          <w:sz w:val="24"/>
          <w:lang w:val="pt-PT"/>
        </w:rPr>
        <w:t>para facilitar a monitorização.</w:t>
      </w:r>
    </w:p>
    <w:p w:rsidR="005165C6" w:rsidRPr="00280A37" w:rsidRDefault="005165C6">
      <w:pPr>
        <w:rPr>
          <w:noProof/>
          <w:lang w:val="pt-PT"/>
        </w:rPr>
      </w:pPr>
    </w:p>
    <w:p w:rsidR="005165C6" w:rsidRDefault="00280A37">
      <w:pPr>
        <w:spacing w:after="0" w:line="240" w:lineRule="auto"/>
        <w:ind w:left="720" w:hanging="720"/>
        <w:jc w:val="both"/>
        <w:rPr>
          <w:rFonts w:ascii="Times New Roman" w:eastAsia="Times New Roman" w:hAnsi="Times New Roman" w:cs="Times New Roman"/>
          <w:i/>
          <w:noProof/>
          <w:sz w:val="24"/>
          <w:szCs w:val="24"/>
          <w:lang w:val="pt-PT"/>
        </w:rPr>
      </w:pPr>
      <w:r>
        <w:rPr>
          <w:rFonts w:ascii="Times New Roman" w:hAnsi="Times New Roman"/>
          <w:b/>
          <w:noProof/>
          <w:sz w:val="24"/>
          <w:lang w:val="pt-PT"/>
        </w:rPr>
        <w:t>d)</w:t>
      </w:r>
      <w:r>
        <w:rPr>
          <w:noProof/>
          <w:lang w:val="pt-PT"/>
        </w:rPr>
        <w:tab/>
      </w:r>
      <w:r>
        <w:rPr>
          <w:rFonts w:ascii="Times New Roman" w:hAnsi="Times New Roman"/>
          <w:b/>
          <w:i/>
          <w:noProof/>
          <w:sz w:val="24"/>
          <w:u w:val="single"/>
          <w:lang w:val="pt-PT"/>
        </w:rPr>
        <w:t>Prevenir os movimentos secundários dentro da UE</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A Comissão tenciona propor uma série de medidas que cobrem todo o acervo em matéria de asilo, a fim de garantir que o funcionamento do sistema não é perturbado pelos movim</w:t>
      </w:r>
      <w:r>
        <w:rPr>
          <w:rFonts w:ascii="Times New Roman" w:hAnsi="Times New Roman"/>
          <w:noProof/>
          <w:sz w:val="24"/>
          <w:lang w:val="pt-PT"/>
        </w:rPr>
        <w:t>entos secundários dos requerentes de asilo e dos beneficiários de proteção internacional para o Estado</w:t>
      </w:r>
      <w:r>
        <w:rPr>
          <w:rFonts w:ascii="Times New Roman" w:hAnsi="Times New Roman"/>
          <w:noProof/>
          <w:sz w:val="24"/>
          <w:lang w:val="pt-PT"/>
        </w:rPr>
        <w:noBreakHyphen/>
        <w:t xml:space="preserve">Membro da sua escolha. </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Se os requerentes não permanecerem no Estado-Membro responsável pelo seu caso, deverão ser</w:t>
      </w:r>
      <w:r>
        <w:rPr>
          <w:rFonts w:ascii="Times New Roman" w:hAnsi="Times New Roman"/>
          <w:noProof/>
          <w:sz w:val="24"/>
          <w:lang w:val="pt-PT"/>
        </w:rPr>
        <w:noBreakHyphen/>
        <w:t>lhes aplicadas sanções proporcionadas</w:t>
      </w:r>
      <w:r>
        <w:rPr>
          <w:rFonts w:ascii="Times New Roman" w:hAnsi="Times New Roman"/>
          <w:noProof/>
          <w:sz w:val="24"/>
          <w:lang w:val="pt-PT"/>
        </w:rPr>
        <w:t>. Os outros Estados-Membros terão a obrigação de reenviar os requerentes de asilo que tiverem fugido para o Estado-Membro responsável pelo seu pedido, onde ficarão sujeitos a um procedimento de apreciação acelerado no âmbito do qual o seu direito de perman</w:t>
      </w:r>
      <w:r>
        <w:rPr>
          <w:rFonts w:ascii="Times New Roman" w:hAnsi="Times New Roman"/>
          <w:noProof/>
          <w:sz w:val="24"/>
          <w:lang w:val="pt-PT"/>
        </w:rPr>
        <w:t>ecer no território na pendência do recurso não será automático, sem prejuízo do princípio da não repulsão e do direito a vias de recurso efetivas. Além disso, um requerente que tenha fugido ou seja provável que o faça deve ser dirigido para uma zona design</w:t>
      </w:r>
      <w:r>
        <w:rPr>
          <w:rFonts w:ascii="Times New Roman" w:hAnsi="Times New Roman"/>
          <w:noProof/>
          <w:sz w:val="24"/>
          <w:lang w:val="pt-PT"/>
        </w:rPr>
        <w:t xml:space="preserve">ada no Estado-Membro ou, se necessário, detido e, sempre que possível, as condições materiais de acolhimento só devem ser fornecidas em espécie. Por outro lado, poderão ser desenvolvidas e reforçadas as atuais disposições do acervo que associam o facto de </w:t>
      </w:r>
      <w:r>
        <w:rPr>
          <w:rFonts w:ascii="Times New Roman" w:hAnsi="Times New Roman"/>
          <w:noProof/>
          <w:sz w:val="24"/>
          <w:lang w:val="pt-PT"/>
        </w:rPr>
        <w:t>um requerente não ter apresentado um pedido o mais rapidamente possível, apesar de o ter podido fazer, à avaliação da credibilidade do mesmo. Como consequência, o facto de uma pessoa ter saído de forma irregular do Estado-Membro responsável poderá ser tido</w:t>
      </w:r>
      <w:r>
        <w:rPr>
          <w:rFonts w:ascii="Times New Roman" w:hAnsi="Times New Roman"/>
          <w:noProof/>
          <w:sz w:val="24"/>
          <w:lang w:val="pt-PT"/>
        </w:rPr>
        <w:t xml:space="preserve"> em consideração na apreciação do respetivo pedido de asilo.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Além disso, a fim de prevenir os movimentos secundários dos beneficiários de proteção internacional, serão reforçadas as normas estabelecidas na Diretiva relativa às condições a preencher pelos </w:t>
      </w:r>
      <w:r>
        <w:rPr>
          <w:rFonts w:ascii="Times New Roman" w:hAnsi="Times New Roman"/>
          <w:noProof/>
          <w:sz w:val="24"/>
          <w:lang w:val="pt-PT"/>
        </w:rPr>
        <w:t>requerentes de asilo aplicáveis às obrigações de prestação de informações, cooperação e apresentação de relatórios (tal como para os requerentes de asilo). Será estabelecido de forma clara que os refugiados só gozam de direitos e benefícios no Estado</w:t>
      </w:r>
      <w:r>
        <w:rPr>
          <w:rFonts w:ascii="Times New Roman" w:hAnsi="Times New Roman"/>
          <w:noProof/>
          <w:sz w:val="24"/>
          <w:lang w:val="pt-PT"/>
        </w:rPr>
        <w:noBreakHyphen/>
        <w:t>Membr</w:t>
      </w:r>
      <w:r>
        <w:rPr>
          <w:rFonts w:ascii="Times New Roman" w:hAnsi="Times New Roman"/>
          <w:noProof/>
          <w:sz w:val="24"/>
          <w:lang w:val="pt-PT"/>
        </w:rPr>
        <w:t>o que lhes concedeu proteção e no qual têm a obrigação de permanecer. Por outro lado, o Regulamento de Dublim será alterado a fim de obrigar os Estados-Membros a voltarem a receber os beneficiários de proteção internacional que devem permanecer no Estado-M</w:t>
      </w:r>
      <w:r>
        <w:rPr>
          <w:rFonts w:ascii="Times New Roman" w:hAnsi="Times New Roman"/>
          <w:noProof/>
          <w:sz w:val="24"/>
          <w:lang w:val="pt-PT"/>
        </w:rPr>
        <w:t>embro que lhes concedeu proteção. O facto de uma pessoa ter saído de forma irregular do território desse Estado-Membro poderá constituir um motivo para se iniciar a reavaliação do respetivo estatuto.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Embora respeitando plenamente os requisitos da Carta do</w:t>
      </w:r>
      <w:r>
        <w:rPr>
          <w:rFonts w:ascii="Times New Roman" w:hAnsi="Times New Roman"/>
          <w:noProof/>
          <w:sz w:val="24"/>
          <w:lang w:val="pt-PT"/>
        </w:rPr>
        <w:t>s Direitos Fundamentais, a concessão de qualquer direito associado ao procedimento de asilo, incluindo condições materiais de acolhimento, será subordinada ao registo, recolha de impressões digitais, presença e permanência no Estado-Membro responsável. Ser</w:t>
      </w:r>
      <w:r>
        <w:rPr>
          <w:rFonts w:ascii="Times New Roman" w:hAnsi="Times New Roman"/>
          <w:noProof/>
          <w:sz w:val="24"/>
          <w:lang w:val="pt-PT"/>
        </w:rPr>
        <w:t>ão reforçadas as disposições em matéria de informação aos requerentes sobre a obrigação de apresentar um pedido de asilo o mais rapidamente possível após a chegada à UE, bem como de permanecer no Estado-Membro responsável. Também serão reforçadas as normas</w:t>
      </w:r>
      <w:r>
        <w:rPr>
          <w:rFonts w:ascii="Times New Roman" w:hAnsi="Times New Roman"/>
          <w:noProof/>
          <w:sz w:val="24"/>
          <w:lang w:val="pt-PT"/>
        </w:rPr>
        <w:t xml:space="preserve"> relativas à obrigação de os requerentes cooperarem e de comunicarem com as autoridades, e serão adotadas medidas específicas para lidar com os requerentes que apresentem um risco elevado de fuga, nomeadamente o recurso a procedimentos de apreciação aceler</w:t>
      </w:r>
      <w:r>
        <w:rPr>
          <w:rFonts w:ascii="Times New Roman" w:hAnsi="Times New Roman"/>
          <w:noProof/>
          <w:sz w:val="24"/>
          <w:lang w:val="pt-PT"/>
        </w:rPr>
        <w:t>ados. Além disso, serão propostas normas comuns da UE sobre os documentos a emitir aos requerentes de asilo, que deverão certificar a identidade do seu titular e indicar claramente que este não tem, em princípio, o direito de se deslocar para outro Estado-</w:t>
      </w:r>
      <w:r>
        <w:rPr>
          <w:rFonts w:ascii="Times New Roman" w:hAnsi="Times New Roman"/>
          <w:noProof/>
          <w:sz w:val="24"/>
          <w:lang w:val="pt-PT"/>
        </w:rPr>
        <w:t>Membro. Embora os Estados-Membros possam manter a possibilidade de emitir aos requerentes um documento de viagem quando sobrevenham razões humanitárias graves que exijam a sua presença noutro Estado-Membro, as disposições legislativas devem ser clarificada</w:t>
      </w:r>
      <w:r>
        <w:rPr>
          <w:rFonts w:ascii="Times New Roman" w:hAnsi="Times New Roman"/>
          <w:noProof/>
          <w:sz w:val="24"/>
          <w:lang w:val="pt-PT"/>
        </w:rPr>
        <w:t>s, de modo a assegurar que os documentos de viagem nunca são emitidos fora destas circunstâncias excecionais.</w:t>
      </w: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 </w:t>
      </w:r>
    </w:p>
    <w:p w:rsidR="005165C6" w:rsidRDefault="00280A37">
      <w:pPr>
        <w:spacing w:after="0" w:line="240" w:lineRule="auto"/>
        <w:jc w:val="both"/>
        <w:rPr>
          <w:rFonts w:ascii="Times New Roman" w:hAnsi="Times New Roman"/>
          <w:noProof/>
          <w:sz w:val="24"/>
          <w:lang w:val="pt-PT"/>
        </w:rPr>
      </w:pPr>
      <w:r>
        <w:rPr>
          <w:rFonts w:ascii="Times New Roman" w:hAnsi="Times New Roman"/>
          <w:noProof/>
          <w:sz w:val="24"/>
          <w:lang w:val="pt-PT"/>
        </w:rPr>
        <w:t xml:space="preserve">A </w:t>
      </w:r>
      <w:r>
        <w:rPr>
          <w:rFonts w:ascii="Times New Roman" w:hAnsi="Times New Roman"/>
          <w:b/>
          <w:noProof/>
          <w:sz w:val="24"/>
          <w:lang w:val="pt-PT"/>
        </w:rPr>
        <w:t>Diretiva relativa aos residentes de longa duração</w:t>
      </w:r>
      <w:r>
        <w:rPr>
          <w:rFonts w:ascii="Times New Roman" w:hAnsi="Times New Roman"/>
          <w:b/>
          <w:noProof/>
          <w:sz w:val="24"/>
          <w:vertAlign w:val="superscript"/>
        </w:rPr>
        <w:footnoteReference w:id="25"/>
      </w:r>
      <w:r>
        <w:rPr>
          <w:rFonts w:ascii="Times New Roman" w:hAnsi="Times New Roman"/>
          <w:noProof/>
          <w:sz w:val="24"/>
          <w:lang w:val="pt-PT"/>
        </w:rPr>
        <w:t xml:space="preserve"> também será alterada, a fim de prever que o período de cinco anos após o qual os beneficiár</w:t>
      </w:r>
      <w:r>
        <w:rPr>
          <w:rFonts w:ascii="Times New Roman" w:hAnsi="Times New Roman"/>
          <w:noProof/>
          <w:sz w:val="24"/>
          <w:lang w:val="pt-PT"/>
        </w:rPr>
        <w:t>ios de proteção internacional são elegíveis para beneficiar do estatuto de residente de longa duração deve ser reiniciado sempre que a pessoa em causa abandonar sem autorização o território do Estado-Membro que lhe concedeu proteção.</w:t>
      </w:r>
    </w:p>
    <w:p w:rsidR="005165C6" w:rsidRDefault="005165C6">
      <w:pPr>
        <w:spacing w:after="0" w:line="240" w:lineRule="auto"/>
        <w:jc w:val="both"/>
        <w:rPr>
          <w:rFonts w:ascii="Times New Roman" w:eastAsia="Times New Roman" w:hAnsi="Times New Roman" w:cs="Times New Roman"/>
          <w:noProof/>
          <w:sz w:val="24"/>
          <w:szCs w:val="24"/>
          <w:lang w:val="pt-PT"/>
        </w:rPr>
      </w:pPr>
    </w:p>
    <w:p w:rsidR="005165C6" w:rsidRDefault="00280A37">
      <w:pPr>
        <w:spacing w:after="0" w:line="240" w:lineRule="auto"/>
        <w:jc w:val="both"/>
        <w:rPr>
          <w:rFonts w:ascii="Times New Roman" w:eastAsia="Times New Roman" w:hAnsi="Times New Roman" w:cs="Times New Roman"/>
          <w:noProof/>
          <w:sz w:val="24"/>
          <w:szCs w:val="24"/>
          <w:lang w:val="pt-PT"/>
        </w:rPr>
      </w:pPr>
      <w:r>
        <w:rPr>
          <w:rFonts w:ascii="Times New Roman" w:hAnsi="Times New Roman"/>
          <w:noProof/>
          <w:sz w:val="24"/>
          <w:lang w:val="pt-PT"/>
        </w:rPr>
        <w:t xml:space="preserve">De um modo geral, os </w:t>
      </w:r>
      <w:r>
        <w:rPr>
          <w:rFonts w:ascii="Times New Roman" w:hAnsi="Times New Roman"/>
          <w:noProof/>
          <w:sz w:val="24"/>
          <w:lang w:val="pt-PT"/>
        </w:rPr>
        <w:t>Estados-Membros devem ser obrigados a prever sanções efetivas, proporcionadas e dissuasivas para os movimentos secundários irregulares.</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i/>
          <w:noProof/>
          <w:sz w:val="24"/>
          <w:szCs w:val="24"/>
          <w:lang w:val="pt-PT" w:eastAsia="en-GB"/>
        </w:rPr>
      </w:pPr>
      <w:r>
        <w:rPr>
          <w:rFonts w:ascii="Times New Roman" w:eastAsia="Times New Roman" w:hAnsi="Times New Roman" w:cs="Times New Roman"/>
          <w:b/>
          <w:i/>
          <w:noProof/>
          <w:sz w:val="24"/>
          <w:szCs w:val="24"/>
          <w:lang w:val="pt-PT" w:eastAsia="en-GB"/>
        </w:rPr>
        <w:t>(e)</w:t>
      </w:r>
      <w:r>
        <w:rPr>
          <w:rFonts w:ascii="Times New Roman" w:eastAsia="Times New Roman" w:hAnsi="Times New Roman" w:cs="Times New Roman"/>
          <w:b/>
          <w:i/>
          <w:noProof/>
          <w:sz w:val="24"/>
          <w:szCs w:val="24"/>
          <w:lang w:val="pt-PT" w:eastAsia="en-GB"/>
        </w:rPr>
        <w:tab/>
      </w:r>
      <w:r>
        <w:rPr>
          <w:rFonts w:ascii="Times New Roman" w:eastAsia="Times New Roman" w:hAnsi="Times New Roman" w:cs="Times New Roman"/>
          <w:b/>
          <w:i/>
          <w:noProof/>
          <w:sz w:val="24"/>
          <w:szCs w:val="24"/>
          <w:u w:val="single"/>
          <w:lang w:val="pt-PT" w:eastAsia="en-GB"/>
        </w:rPr>
        <w:t>Novas atribuições do EASO</w:t>
      </w:r>
    </w:p>
    <w:p w:rsidR="005165C6" w:rsidRDefault="00280A37">
      <w:pPr>
        <w:tabs>
          <w:tab w:val="left" w:pos="5961"/>
        </w:tabs>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b/>
      </w:r>
    </w:p>
    <w:p w:rsidR="005165C6" w:rsidRDefault="00280A37">
      <w:pPr>
        <w:spacing w:after="0" w:line="240" w:lineRule="auto"/>
        <w:jc w:val="both"/>
        <w:rPr>
          <w:rFonts w:ascii="Times New Roman" w:eastAsia="Times New Roman" w:hAnsi="Times New Roman" w:cs="Times New Roman"/>
          <w:b/>
          <w:noProof/>
          <w:sz w:val="24"/>
          <w:szCs w:val="24"/>
          <w:lang w:val="pt-PT" w:eastAsia="en-GB"/>
        </w:rPr>
      </w:pPr>
      <w:r>
        <w:rPr>
          <w:rFonts w:ascii="Times New Roman" w:eastAsia="Times New Roman" w:hAnsi="Times New Roman" w:cs="Times New Roman"/>
          <w:noProof/>
          <w:sz w:val="24"/>
          <w:szCs w:val="24"/>
          <w:lang w:val="pt-PT" w:eastAsia="en-GB"/>
        </w:rPr>
        <w:t xml:space="preserve">A Comissão vai propor que as atribuições do EASO sejam reforçadas de modo a que este possa exercer novas funções a nível da </w:t>
      </w:r>
      <w:r>
        <w:rPr>
          <w:rFonts w:ascii="Times New Roman" w:eastAsia="Times New Roman" w:hAnsi="Times New Roman" w:cs="Times New Roman"/>
          <w:b/>
          <w:noProof/>
          <w:sz w:val="24"/>
          <w:szCs w:val="24"/>
          <w:lang w:val="pt-PT" w:eastAsia="en-GB"/>
        </w:rPr>
        <w:t>execução de políticas e desempenhar um papel operacional reforçado</w:t>
      </w:r>
      <w:r>
        <w:rPr>
          <w:rFonts w:ascii="Times New Roman" w:eastAsia="Times New Roman" w:hAnsi="Times New Roman" w:cs="Times New Roman"/>
          <w:noProof/>
          <w:sz w:val="24"/>
          <w:szCs w:val="24"/>
          <w:lang w:val="pt-PT" w:eastAsia="en-GB"/>
        </w:rPr>
        <w:t xml:space="preserve">, de modo a </w:t>
      </w:r>
      <w:r>
        <w:rPr>
          <w:rFonts w:ascii="Times New Roman" w:eastAsia="Times New Roman" w:hAnsi="Times New Roman" w:cs="Times New Roman"/>
          <w:b/>
          <w:noProof/>
          <w:sz w:val="24"/>
          <w:szCs w:val="24"/>
          <w:lang w:val="pt-PT" w:eastAsia="en-GB"/>
        </w:rPr>
        <w:t xml:space="preserve">facilitar </w:t>
      </w:r>
      <w:r>
        <w:rPr>
          <w:rFonts w:ascii="Times New Roman" w:eastAsia="Times New Roman" w:hAnsi="Times New Roman" w:cs="Times New Roman"/>
          <w:noProof/>
          <w:sz w:val="24"/>
          <w:szCs w:val="24"/>
          <w:lang w:val="pt-PT" w:eastAsia="en-GB"/>
        </w:rPr>
        <w:t xml:space="preserve">o </w:t>
      </w:r>
      <w:r>
        <w:rPr>
          <w:rFonts w:ascii="Times New Roman" w:eastAsia="Times New Roman" w:hAnsi="Times New Roman" w:cs="Times New Roman"/>
          <w:b/>
          <w:noProof/>
          <w:sz w:val="24"/>
          <w:szCs w:val="24"/>
          <w:lang w:val="pt-PT" w:eastAsia="en-GB"/>
        </w:rPr>
        <w:t>bom funcionamento do Sistema Europeu Comum</w:t>
      </w:r>
      <w:r>
        <w:rPr>
          <w:rFonts w:ascii="Times New Roman" w:eastAsia="Times New Roman" w:hAnsi="Times New Roman" w:cs="Times New Roman"/>
          <w:b/>
          <w:noProof/>
          <w:sz w:val="24"/>
          <w:szCs w:val="24"/>
          <w:lang w:val="pt-PT" w:eastAsia="en-GB"/>
        </w:rPr>
        <w:t xml:space="preserve"> de Asilo</w:t>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b/>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O EASO, em estreita cooperação com a Comissão e sem prejuízo das responsabilidades desta enquanto guardiã dos Tratados, passaria a ser responsável pela gestão de um mecanismo de avaliação específico para controlar o cumprimento pelos Estados-Me</w:t>
      </w:r>
      <w:r>
        <w:rPr>
          <w:rFonts w:ascii="Times New Roman" w:eastAsia="Times New Roman" w:hAnsi="Times New Roman" w:cs="Times New Roman"/>
          <w:noProof/>
          <w:sz w:val="24"/>
          <w:szCs w:val="24"/>
          <w:lang w:val="pt-PT" w:eastAsia="en-GB"/>
        </w:rPr>
        <w:t>mbros das normas em matéria de asilo que sejam essenciais para o correto funcionamento do sistema de Dublim, nomeadamente no que respeita às condições de acolhimento, ao acesso aos procedimentos de asilo e ao respeito das garantias fundamentais. Isto impli</w:t>
      </w:r>
      <w:r>
        <w:rPr>
          <w:rFonts w:ascii="Times New Roman" w:eastAsia="Times New Roman" w:hAnsi="Times New Roman" w:cs="Times New Roman"/>
          <w:noProof/>
          <w:sz w:val="24"/>
          <w:szCs w:val="24"/>
          <w:lang w:val="pt-PT" w:eastAsia="en-GB"/>
        </w:rPr>
        <w:t xml:space="preserve">ca acompanhar a situação em todos os Estados-Membros e identificar as medidas que estes devem adotar para suprir as lacunas existentes. Nos casos em que uma ação individual dos Estados-Membros não seja suficiente para resolver os problemas, o EASO poderia </w:t>
      </w:r>
      <w:r>
        <w:rPr>
          <w:rFonts w:ascii="Times New Roman" w:eastAsia="Times New Roman" w:hAnsi="Times New Roman" w:cs="Times New Roman"/>
          <w:noProof/>
          <w:sz w:val="24"/>
          <w:szCs w:val="24"/>
          <w:lang w:val="pt-PT" w:eastAsia="en-GB"/>
        </w:rPr>
        <w:t>intervir reforçando o seu apoio. O EASO pode igualmente intervir se o Estado-Membro em causa não tomar as medidas adequadas para atenuar, tanto quanto possível, qualquer incentivo a que os Estados</w:t>
      </w:r>
      <w:r>
        <w:rPr>
          <w:rFonts w:ascii="Times New Roman" w:eastAsia="Times New Roman" w:hAnsi="Times New Roman" w:cs="Times New Roman"/>
          <w:noProof/>
          <w:sz w:val="24"/>
          <w:szCs w:val="24"/>
          <w:lang w:val="pt-PT" w:eastAsia="en-GB"/>
        </w:rPr>
        <w:noBreakHyphen/>
        <w:t xml:space="preserve">Membros ou os requerentes de asilo desrespeitem as regras. </w:t>
      </w:r>
      <w:r>
        <w:rPr>
          <w:rFonts w:ascii="Times New Roman" w:eastAsia="Times New Roman" w:hAnsi="Times New Roman" w:cs="Times New Roman"/>
          <w:noProof/>
          <w:sz w:val="24"/>
          <w:szCs w:val="24"/>
          <w:lang w:val="pt-PT" w:eastAsia="en-GB"/>
        </w:rPr>
        <w:t>Se, com base numa avaliação fundamentada da situação, o EASO constatar que um Estado-Membro não adotou medidas ou não adotou as medidas necessárias, a Comissão pode ser habilitada a indicar, através de atos de execução, as medidas operacionais que o referi</w:t>
      </w:r>
      <w:r>
        <w:rPr>
          <w:rFonts w:ascii="Times New Roman" w:eastAsia="Times New Roman" w:hAnsi="Times New Roman" w:cs="Times New Roman"/>
          <w:noProof/>
          <w:sz w:val="24"/>
          <w:szCs w:val="24"/>
          <w:lang w:val="pt-PT" w:eastAsia="en-GB"/>
        </w:rPr>
        <w:t>do Estado-Membro deve adotar, em função das recomendações formuladas pelo EASO.</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Outra das principais funções do EASO seria </w:t>
      </w:r>
      <w:r>
        <w:rPr>
          <w:rFonts w:ascii="Times New Roman" w:eastAsia="Times New Roman" w:hAnsi="Times New Roman" w:cs="Times New Roman"/>
          <w:b/>
          <w:noProof/>
          <w:sz w:val="24"/>
          <w:szCs w:val="24"/>
          <w:lang w:val="pt-PT" w:eastAsia="en-GB"/>
        </w:rPr>
        <w:t>assegurar uma análise mais coerente dos pedidos de proteção internacional em toda a UE</w:t>
      </w:r>
      <w:r>
        <w:rPr>
          <w:rFonts w:ascii="Times New Roman" w:eastAsia="Times New Roman" w:hAnsi="Times New Roman" w:cs="Times New Roman"/>
          <w:noProof/>
          <w:sz w:val="24"/>
          <w:szCs w:val="24"/>
          <w:lang w:val="pt-PT" w:eastAsia="en-GB"/>
        </w:rPr>
        <w:t>, com base nos critérios definidos na Diretiva</w:t>
      </w:r>
      <w:r>
        <w:rPr>
          <w:rFonts w:ascii="Times New Roman" w:eastAsia="Times New Roman" w:hAnsi="Times New Roman" w:cs="Times New Roman"/>
          <w:noProof/>
          <w:sz w:val="24"/>
          <w:szCs w:val="24"/>
          <w:lang w:val="pt-PT" w:eastAsia="en-GB"/>
        </w:rPr>
        <w:t xml:space="preserve"> relativa às condições a preencher pelos requerentes de asilo. O objetivo é acabar com as diferenças existentes nas taxas de reconhecimento de asilo, formulando periodicamente orientações pormenorizadas, com base numa análise comum, quanto à abordagem a ad</w:t>
      </w:r>
      <w:r>
        <w:rPr>
          <w:rFonts w:ascii="Times New Roman" w:eastAsia="Times New Roman" w:hAnsi="Times New Roman" w:cs="Times New Roman"/>
          <w:noProof/>
          <w:sz w:val="24"/>
          <w:szCs w:val="24"/>
          <w:lang w:val="pt-PT" w:eastAsia="en-GB"/>
        </w:rPr>
        <w:t>otar em relação aos requerentes de asilo de certos países de origem, sem prejuízo da apreciação individual dos pedidos apresentados. Essas orientações devem ser aprovadas pelo conselho de administração do EASO e ser aplicadas pelos Estados-Membros. Um meca</w:t>
      </w:r>
      <w:r>
        <w:rPr>
          <w:rFonts w:ascii="Times New Roman" w:eastAsia="Times New Roman" w:hAnsi="Times New Roman" w:cs="Times New Roman"/>
          <w:noProof/>
          <w:sz w:val="24"/>
          <w:szCs w:val="24"/>
          <w:lang w:val="pt-PT" w:eastAsia="en-GB"/>
        </w:rPr>
        <w:t xml:space="preserve">nismo de prestação de informações permitiria avaliar se os Estados-Membros têm em conta na prática as orientações do EASO. Com o apoio da Comissão e da Presidência dos Países Baixos, o EASO está atualmente a ensaiar esta abordagem, coordenando a definição </w:t>
      </w:r>
      <w:r>
        <w:rPr>
          <w:rFonts w:ascii="Times New Roman" w:eastAsia="Times New Roman" w:hAnsi="Times New Roman" w:cs="Times New Roman"/>
          <w:noProof/>
          <w:sz w:val="24"/>
          <w:szCs w:val="24"/>
          <w:lang w:val="pt-PT" w:eastAsia="en-GB"/>
        </w:rPr>
        <w:t>pelos peritos dos Estados</w:t>
      </w:r>
      <w:r>
        <w:rPr>
          <w:rFonts w:ascii="Times New Roman" w:eastAsia="Times New Roman" w:hAnsi="Times New Roman" w:cs="Times New Roman"/>
          <w:noProof/>
          <w:sz w:val="24"/>
          <w:szCs w:val="24"/>
          <w:lang w:val="pt-PT" w:eastAsia="en-GB"/>
        </w:rPr>
        <w:noBreakHyphen/>
        <w:t>Membros das orientações comuns para a análise de pedidos de asilo. Além disso, seria também criado um sistema de auditoria para controlar a qualidade das decisões proferidas nos Estados-Membros em matéria de asilo, incluindo o cum</w:t>
      </w:r>
      <w:r>
        <w:rPr>
          <w:rFonts w:ascii="Times New Roman" w:eastAsia="Times New Roman" w:hAnsi="Times New Roman" w:cs="Times New Roman"/>
          <w:noProof/>
          <w:sz w:val="24"/>
          <w:szCs w:val="24"/>
          <w:lang w:val="pt-PT" w:eastAsia="en-GB"/>
        </w:rPr>
        <w:t>primento das referidas orientações.</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O EASO passaria, além disso, a ser responsável por apreciar com base em provas se os países terceiros cumprem os critérios para poderem ser designados como país terceiro seguro ou país terceiro de origem seguro, podendo</w:t>
      </w:r>
      <w:r>
        <w:rPr>
          <w:rFonts w:ascii="Times New Roman" w:eastAsia="Times New Roman" w:hAnsi="Times New Roman" w:cs="Times New Roman"/>
          <w:noProof/>
          <w:sz w:val="24"/>
          <w:szCs w:val="24"/>
          <w:lang w:val="pt-PT" w:eastAsia="en-GB"/>
        </w:rPr>
        <w:t xml:space="preserve"> emitir pareceres dirigidos à Comissão de modo a garantir uma abordagem harmonizada.</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O EASO é também a escolha natural para </w:t>
      </w:r>
      <w:r>
        <w:rPr>
          <w:rFonts w:ascii="Times New Roman" w:eastAsia="Times New Roman" w:hAnsi="Times New Roman" w:cs="Times New Roman"/>
          <w:b/>
          <w:noProof/>
          <w:sz w:val="24"/>
          <w:szCs w:val="24"/>
          <w:lang w:val="pt-PT" w:eastAsia="en-GB"/>
        </w:rPr>
        <w:t xml:space="preserve">gerir o mecanismo de repartição </w:t>
      </w:r>
      <w:r>
        <w:rPr>
          <w:rFonts w:ascii="Times New Roman" w:eastAsia="Times New Roman" w:hAnsi="Times New Roman" w:cs="Times New Roman"/>
          <w:noProof/>
          <w:sz w:val="24"/>
          <w:szCs w:val="24"/>
          <w:lang w:val="pt-PT" w:eastAsia="en-GB"/>
        </w:rPr>
        <w:t>no âmbito do novo sistema de Dublim, independentemente da forma que este venha a assumir. Isto impl</w:t>
      </w:r>
      <w:r>
        <w:rPr>
          <w:rFonts w:ascii="Times New Roman" w:eastAsia="Times New Roman" w:hAnsi="Times New Roman" w:cs="Times New Roman"/>
          <w:noProof/>
          <w:sz w:val="24"/>
          <w:szCs w:val="24"/>
          <w:lang w:val="pt-PT" w:eastAsia="en-GB"/>
        </w:rPr>
        <w:t>icaria a utilização de uma chave de repartição para distribuir os requerentes de asilo pelos diferentes Estados</w:t>
      </w:r>
      <w:r>
        <w:rPr>
          <w:rFonts w:ascii="Times New Roman" w:eastAsia="Times New Roman" w:hAnsi="Times New Roman" w:cs="Times New Roman"/>
          <w:noProof/>
          <w:sz w:val="24"/>
          <w:szCs w:val="24"/>
          <w:lang w:val="pt-PT" w:eastAsia="en-GB"/>
        </w:rPr>
        <w:noBreakHyphen/>
        <w:t>Membros, através de um mecanismo que não implique uma margem de apreciação pelo EASO.</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Segundo o modelo da Guarda Costeira e de Fronteiras Europ</w:t>
      </w:r>
      <w:r>
        <w:rPr>
          <w:rFonts w:ascii="Times New Roman" w:eastAsia="Times New Roman" w:hAnsi="Times New Roman" w:cs="Times New Roman"/>
          <w:noProof/>
          <w:sz w:val="24"/>
          <w:szCs w:val="24"/>
          <w:lang w:val="pt-PT" w:eastAsia="en-GB"/>
        </w:rPr>
        <w:t>eia proposto o EASO deve poder intervir, incluindo por sua própria iniciativa, para apoiar os Estados</w:t>
      </w:r>
      <w:r>
        <w:rPr>
          <w:rFonts w:ascii="Times New Roman" w:eastAsia="Times New Roman" w:hAnsi="Times New Roman" w:cs="Times New Roman"/>
          <w:noProof/>
          <w:sz w:val="24"/>
          <w:szCs w:val="24"/>
          <w:lang w:val="pt-PT" w:eastAsia="en-GB"/>
        </w:rPr>
        <w:noBreakHyphen/>
        <w:t xml:space="preserve">Membros que não tenham tomado as medidas corretivas necessárias ou que se deparem com </w:t>
      </w:r>
      <w:r>
        <w:rPr>
          <w:rFonts w:ascii="Times New Roman" w:eastAsia="Times New Roman" w:hAnsi="Times New Roman" w:cs="Times New Roman"/>
          <w:b/>
          <w:noProof/>
          <w:sz w:val="24"/>
          <w:szCs w:val="24"/>
          <w:lang w:val="pt-PT" w:eastAsia="en-GB"/>
        </w:rPr>
        <w:t>situações de emergência</w:t>
      </w:r>
      <w:r>
        <w:rPr>
          <w:rFonts w:ascii="Times New Roman" w:eastAsia="Times New Roman" w:hAnsi="Times New Roman" w:cs="Times New Roman"/>
          <w:noProof/>
          <w:sz w:val="24"/>
          <w:szCs w:val="24"/>
          <w:lang w:val="pt-PT" w:eastAsia="en-GB"/>
        </w:rPr>
        <w:t>. As intervenções do EASO consistirão, nomead</w:t>
      </w:r>
      <w:r>
        <w:rPr>
          <w:rFonts w:ascii="Times New Roman" w:eastAsia="Times New Roman" w:hAnsi="Times New Roman" w:cs="Times New Roman"/>
          <w:noProof/>
          <w:sz w:val="24"/>
          <w:szCs w:val="24"/>
          <w:lang w:val="pt-PT" w:eastAsia="en-GB"/>
        </w:rPr>
        <w:t>amente, na prestação de apoio no tratamento dos processos e no acolhimento de migrantes. As suas intervenções devem ser estreitamente interligadas com as da Guarda Costeira e de Fronteiras Europeia proposta e poderiam, em muitos casos, ser desencadeadas pe</w:t>
      </w:r>
      <w:r>
        <w:rPr>
          <w:rFonts w:ascii="Times New Roman" w:eastAsia="Times New Roman" w:hAnsi="Times New Roman" w:cs="Times New Roman"/>
          <w:noProof/>
          <w:sz w:val="24"/>
          <w:szCs w:val="24"/>
          <w:lang w:val="pt-PT" w:eastAsia="en-GB"/>
        </w:rPr>
        <w:t>los mesmos fatores. O EASO deveria dispor rapidamente de uma reserva de peritos para a qual os Estados</w:t>
      </w:r>
      <w:r>
        <w:rPr>
          <w:rFonts w:ascii="Times New Roman" w:eastAsia="Times New Roman" w:hAnsi="Times New Roman" w:cs="Times New Roman"/>
          <w:noProof/>
          <w:sz w:val="24"/>
          <w:szCs w:val="24"/>
          <w:lang w:val="pt-PT" w:eastAsia="en-GB"/>
        </w:rPr>
        <w:noBreakHyphen/>
        <w:t>Membros seriam obrigados a contribuir. Esses peritos devem poder ser destacados dentro de prazos muito curtos sempre que seja necessário adotar medidas d</w:t>
      </w:r>
      <w:r>
        <w:rPr>
          <w:rFonts w:ascii="Times New Roman" w:eastAsia="Times New Roman" w:hAnsi="Times New Roman" w:cs="Times New Roman"/>
          <w:noProof/>
          <w:sz w:val="24"/>
          <w:szCs w:val="24"/>
          <w:lang w:val="pt-PT" w:eastAsia="en-GB"/>
        </w:rPr>
        <w:t>e emergência.</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b/>
          <w:noProof/>
          <w:sz w:val="24"/>
          <w:szCs w:val="24"/>
          <w:lang w:val="pt-PT" w:eastAsia="en-GB"/>
        </w:rPr>
        <w:t>O EASO deveria dispor de meios jurídicos e de recursos financeiros suficientes</w:t>
      </w:r>
      <w:r>
        <w:rPr>
          <w:rFonts w:ascii="Times New Roman" w:eastAsia="Times New Roman" w:hAnsi="Times New Roman" w:cs="Times New Roman"/>
          <w:noProof/>
          <w:sz w:val="24"/>
          <w:szCs w:val="24"/>
          <w:lang w:val="pt-PT" w:eastAsia="en-GB"/>
        </w:rPr>
        <w:t xml:space="preserve"> para poder desempenhar eficazmente as suas novas funções, nomeadamente em matéria de prevenção e de gestão de crises. Todas as medidas adotadas devem ser coordena</w:t>
      </w:r>
      <w:r>
        <w:rPr>
          <w:rFonts w:ascii="Times New Roman" w:eastAsia="Times New Roman" w:hAnsi="Times New Roman" w:cs="Times New Roman"/>
          <w:noProof/>
          <w:sz w:val="24"/>
          <w:szCs w:val="24"/>
          <w:lang w:val="pt-PT" w:eastAsia="en-GB"/>
        </w:rPr>
        <w:t>das com outras medidas de apoio aos Estados</w:t>
      </w:r>
      <w:r>
        <w:rPr>
          <w:rFonts w:ascii="Times New Roman" w:eastAsia="Times New Roman" w:hAnsi="Times New Roman" w:cs="Times New Roman"/>
          <w:noProof/>
          <w:sz w:val="24"/>
          <w:szCs w:val="24"/>
          <w:lang w:val="pt-PT" w:eastAsia="en-GB"/>
        </w:rPr>
        <w:noBreakHyphen/>
        <w:t>Membros sujeitos a uma maior pressão, nomeadamente no âmbito do novo mecanismo proposto pela Comissão para prestar ajuda humanitária no interior da UE</w:t>
      </w:r>
      <w:r>
        <w:rPr>
          <w:rFonts w:ascii="Times New Roman" w:eastAsia="Times New Roman" w:hAnsi="Times New Roman" w:cs="Times New Roman"/>
          <w:noProof/>
          <w:sz w:val="24"/>
          <w:szCs w:val="24"/>
          <w:vertAlign w:val="superscript"/>
          <w:lang w:val="pt-PT" w:eastAsia="en-GB"/>
        </w:rPr>
        <w:footnoteReference w:id="26"/>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rPr>
          <w:rFonts w:ascii="Times New Roman" w:eastAsia="Times New Roman" w:hAnsi="Times New Roman" w:cs="Times New Roman"/>
          <w:b/>
          <w:smallCaps/>
          <w:noProof/>
          <w:sz w:val="32"/>
          <w:szCs w:val="32"/>
          <w:u w:val="single"/>
          <w:lang w:val="pt-PT" w:eastAsia="en-GB"/>
        </w:rPr>
      </w:pPr>
      <w:r>
        <w:rPr>
          <w:rFonts w:ascii="Times New Roman" w:eastAsia="Times New Roman" w:hAnsi="Times New Roman" w:cs="Times New Roman"/>
          <w:b/>
          <w:smallCaps/>
          <w:noProof/>
          <w:sz w:val="32"/>
          <w:szCs w:val="32"/>
          <w:u w:val="single"/>
          <w:lang w:val="pt-PT" w:eastAsia="en-GB"/>
        </w:rPr>
        <w:t>II. Criar e melhorar vias de migração legais e seguras</w:t>
      </w:r>
    </w:p>
    <w:p w:rsidR="005165C6" w:rsidRDefault="005165C6">
      <w:pPr>
        <w:spacing w:after="0" w:line="240" w:lineRule="auto"/>
        <w:rPr>
          <w:rFonts w:ascii="Times New Roman" w:eastAsia="Times New Roman" w:hAnsi="Times New Roman" w:cs="Times New Roman"/>
          <w:b/>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A gestão inteligente da migração exige não só uma política sólida para prevenir os fluxos de migrantes em situação ilegal e proporcionar </w:t>
      </w:r>
      <w:r>
        <w:rPr>
          <w:rFonts w:ascii="Times New Roman" w:eastAsia="Times New Roman" w:hAnsi="Times New Roman" w:cs="Times New Roman"/>
          <w:noProof/>
          <w:spacing w:val="-3"/>
          <w:sz w:val="24"/>
          <w:szCs w:val="24"/>
          <w:lang w:val="pt-PT" w:eastAsia="en-GB"/>
        </w:rPr>
        <w:t xml:space="preserve">proteção </w:t>
      </w:r>
      <w:r>
        <w:rPr>
          <w:rFonts w:ascii="Times New Roman" w:eastAsia="Times New Roman" w:hAnsi="Times New Roman" w:cs="Times New Roman"/>
          <w:noProof/>
          <w:sz w:val="24"/>
          <w:szCs w:val="24"/>
          <w:lang w:val="pt-PT" w:eastAsia="en-GB"/>
        </w:rPr>
        <w:t>a quem precisa, mas também uma política proactiva de criação de vias de acesso legais, sustentáveis, transpare</w:t>
      </w:r>
      <w:r>
        <w:rPr>
          <w:rFonts w:ascii="Times New Roman" w:eastAsia="Times New Roman" w:hAnsi="Times New Roman" w:cs="Times New Roman"/>
          <w:noProof/>
          <w:sz w:val="24"/>
          <w:szCs w:val="24"/>
          <w:lang w:val="pt-PT" w:eastAsia="en-GB"/>
        </w:rPr>
        <w:t>ntes e acessíveis. Em conformidade com a Agenda Global para o Desenvolvimento Sustentável até 2030, é reconhecido o contributo positivo dos migrantes para o crescimento inclusivo assim como o facto de a realidade multidimensional da migração exigir uma res</w:t>
      </w:r>
      <w:r>
        <w:rPr>
          <w:rFonts w:ascii="Times New Roman" w:eastAsia="Times New Roman" w:hAnsi="Times New Roman" w:cs="Times New Roman"/>
          <w:noProof/>
          <w:sz w:val="24"/>
          <w:szCs w:val="24"/>
          <w:lang w:val="pt-PT" w:eastAsia="en-GB"/>
        </w:rPr>
        <w:t>posta coerente e global.</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Por um lado, são necessárias mais vias de acesso legais para que as pessoas que necessitam de proteção internacional possam chegar à UE de forma mais disciplinada, bem gerida, segura e digna, ajudando, desse modo, a salvar vidas h</w:t>
      </w:r>
      <w:r>
        <w:rPr>
          <w:rFonts w:ascii="Times New Roman" w:eastAsia="Times New Roman" w:hAnsi="Times New Roman" w:cs="Times New Roman"/>
          <w:noProof/>
          <w:sz w:val="24"/>
          <w:szCs w:val="24"/>
          <w:lang w:val="pt-PT" w:eastAsia="en-GB"/>
        </w:rPr>
        <w:t xml:space="preserve">umanas, a reduzir a migração irregular e a destruir o modelo de negócio dos passadores. Simultaneamente, tanto a UE no seu conjunto como toda a comunidade internacional devem assumir uma maior responsabilidade em matéria de proteção, dado que esta </w:t>
      </w:r>
      <w:r>
        <w:rPr>
          <w:rFonts w:ascii="Times New Roman" w:eastAsia="Times New Roman" w:hAnsi="Times New Roman" w:cs="Times New Roman"/>
          <w:noProof/>
          <w:spacing w:val="-3"/>
          <w:sz w:val="24"/>
          <w:szCs w:val="24"/>
          <w:lang w:val="pt-PT" w:eastAsia="en-GB"/>
        </w:rPr>
        <w:t>responsa</w:t>
      </w:r>
      <w:r>
        <w:rPr>
          <w:rFonts w:ascii="Times New Roman" w:eastAsia="Times New Roman" w:hAnsi="Times New Roman" w:cs="Times New Roman"/>
          <w:noProof/>
          <w:spacing w:val="-3"/>
          <w:sz w:val="24"/>
          <w:szCs w:val="24"/>
          <w:lang w:val="pt-PT" w:eastAsia="en-GB"/>
        </w:rPr>
        <w:t>bilidade</w:t>
      </w:r>
      <w:r>
        <w:rPr>
          <w:rFonts w:ascii="Times New Roman" w:eastAsia="Times New Roman" w:hAnsi="Times New Roman" w:cs="Times New Roman"/>
          <w:noProof/>
          <w:sz w:val="24"/>
          <w:szCs w:val="24"/>
          <w:lang w:val="pt-PT" w:eastAsia="en-GB"/>
        </w:rPr>
        <w:t xml:space="preserve"> tem sido partilhada de forma muito desequilibrada à escala mundial.</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Por outro lado, a UE necessita de uma política de migração mais proactiva, que permita atrair as competências e qualificações necessárias para enfrentar os desafios demográficos </w:t>
      </w:r>
      <w:r>
        <w:rPr>
          <w:rFonts w:ascii="Times New Roman" w:eastAsia="Times New Roman" w:hAnsi="Times New Roman" w:cs="Times New Roman"/>
          <w:noProof/>
          <w:sz w:val="24"/>
          <w:szCs w:val="24"/>
          <w:lang w:val="pt-PT" w:eastAsia="en-GB"/>
        </w:rPr>
        <w:t xml:space="preserve">e a falta de mão de obra qualificada, a fim de contribuir para o crescimento económico e a sustentabilidade dos nossos sistemas de proteção social. De um modo mais geral, a UE deve aproveitar esta oportunidade para analisar e melhorar o </w:t>
      </w:r>
      <w:r>
        <w:rPr>
          <w:rFonts w:ascii="Times New Roman" w:eastAsia="Times New Roman" w:hAnsi="Times New Roman" w:cs="Times New Roman"/>
          <w:noProof/>
          <w:spacing w:val="-3"/>
          <w:sz w:val="24"/>
          <w:szCs w:val="24"/>
          <w:lang w:val="pt-PT" w:eastAsia="en-GB"/>
        </w:rPr>
        <w:t xml:space="preserve">quadro </w:t>
      </w:r>
      <w:r>
        <w:rPr>
          <w:rFonts w:ascii="Times New Roman" w:eastAsia="Times New Roman" w:hAnsi="Times New Roman" w:cs="Times New Roman"/>
          <w:noProof/>
          <w:sz w:val="24"/>
          <w:szCs w:val="24"/>
          <w:lang w:val="pt-PT" w:eastAsia="en-GB"/>
        </w:rPr>
        <w:t>geral aplicá</w:t>
      </w:r>
      <w:r>
        <w:rPr>
          <w:rFonts w:ascii="Times New Roman" w:eastAsia="Times New Roman" w:hAnsi="Times New Roman" w:cs="Times New Roman"/>
          <w:noProof/>
          <w:sz w:val="24"/>
          <w:szCs w:val="24"/>
          <w:lang w:val="pt-PT" w:eastAsia="en-GB"/>
        </w:rPr>
        <w:t>vel à migração legal e laboral.</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hAnsi="Times New Roman" w:cs="Times New Roman"/>
          <w:noProof/>
          <w:sz w:val="24"/>
          <w:szCs w:val="24"/>
          <w:lang w:val="pt-PT"/>
        </w:rPr>
      </w:pPr>
      <w:r>
        <w:rPr>
          <w:rFonts w:ascii="Times New Roman" w:eastAsia="Times New Roman" w:hAnsi="Times New Roman" w:cs="Times New Roman"/>
          <w:noProof/>
          <w:sz w:val="24"/>
          <w:szCs w:val="24"/>
          <w:lang w:val="pt-PT" w:eastAsia="en-GB"/>
        </w:rPr>
        <w:t>Além disso, como salientado na Comunicação sobre o</w:t>
      </w:r>
      <w:r>
        <w:rPr>
          <w:rFonts w:ascii="Times New Roman" w:hAnsi="Times New Roman"/>
          <w:noProof/>
          <w:sz w:val="24"/>
          <w:szCs w:val="24"/>
          <w:lang w:val="pt-PT" w:eastAsia="en-GB"/>
        </w:rPr>
        <w:t xml:space="preserve"> Semestre Europeu de 2016</w:t>
      </w:r>
      <w:r>
        <w:rPr>
          <w:rStyle w:val="FootnoteReference"/>
          <w:rFonts w:ascii="Times New Roman" w:hAnsi="Times New Roman"/>
          <w:noProof/>
          <w:sz w:val="24"/>
          <w:szCs w:val="24"/>
          <w:lang w:val="pt-PT" w:eastAsia="en-GB"/>
        </w:rPr>
        <w:footnoteReference w:id="27"/>
      </w:r>
      <w:r>
        <w:rPr>
          <w:rFonts w:ascii="Times New Roman" w:hAnsi="Times New Roman" w:cs="Times New Roman"/>
          <w:noProof/>
          <w:sz w:val="24"/>
          <w:szCs w:val="24"/>
          <w:lang w:val="pt-PT"/>
        </w:rPr>
        <w:t>,</w:t>
      </w:r>
      <w:r>
        <w:rPr>
          <w:rFonts w:ascii="Times New Roman" w:eastAsia="Times New Roman" w:hAnsi="Times New Roman" w:cs="Times New Roman"/>
          <w:noProof/>
          <w:sz w:val="24"/>
          <w:szCs w:val="24"/>
          <w:lang w:val="pt-PT" w:eastAsia="en-GB"/>
        </w:rPr>
        <w:t xml:space="preserve"> a integração efetiva dos nacionais de países terceiros que residem legalmente na UE é essencial, tanto à luz dos recentes problemas suscitados pela crise dos refugiados, como dos desafios atuais e futuros associados à migração.</w:t>
      </w:r>
      <w:r>
        <w:rPr>
          <w:rFonts w:ascii="Times New Roman" w:hAnsi="Times New Roman" w:cs="Times New Roman"/>
          <w:noProof/>
          <w:sz w:val="24"/>
          <w:szCs w:val="24"/>
          <w:lang w:val="pt-PT"/>
        </w:rPr>
        <w:t xml:space="preserve"> Aproveitando o trabalho já </w:t>
      </w:r>
      <w:r>
        <w:rPr>
          <w:rFonts w:ascii="Times New Roman" w:hAnsi="Times New Roman" w:cs="Times New Roman"/>
          <w:noProof/>
          <w:sz w:val="24"/>
          <w:szCs w:val="24"/>
          <w:lang w:val="pt-PT"/>
        </w:rPr>
        <w:t>efetuado a nível da UE, a Comissão pretende intensificar os esforços de integração dos nacionais de países terceiros, propondo a adoção de um plano de ação da UE em matéria de integração. Esse plano de ação deverá definir medidas relacionadas com os domíni</w:t>
      </w:r>
      <w:r>
        <w:rPr>
          <w:rFonts w:ascii="Times New Roman" w:hAnsi="Times New Roman" w:cs="Times New Roman"/>
          <w:noProof/>
          <w:sz w:val="24"/>
          <w:szCs w:val="24"/>
          <w:lang w:val="pt-PT"/>
        </w:rPr>
        <w:t>os políticos mais pertinentes para a integração dos migrantes (</w:t>
      </w:r>
      <w:r>
        <w:rPr>
          <w:rFonts w:ascii="Times New Roman" w:hAnsi="Times New Roman" w:cs="Times New Roman"/>
          <w:noProof/>
          <w:spacing w:val="-3"/>
          <w:sz w:val="24"/>
          <w:szCs w:val="24"/>
          <w:lang w:val="pt-PT"/>
        </w:rPr>
        <w:t>nomeadamente</w:t>
      </w:r>
      <w:r>
        <w:rPr>
          <w:rFonts w:ascii="Times New Roman" w:hAnsi="Times New Roman" w:cs="Times New Roman"/>
          <w:noProof/>
          <w:sz w:val="24"/>
          <w:szCs w:val="24"/>
          <w:lang w:val="pt-PT"/>
        </w:rPr>
        <w:t xml:space="preserve"> a educação, a integração no mercado laboral, incluindo o empreendedorismo, a inclusão social e a não discriminação), a fim de apoiar os Estados</w:t>
      </w:r>
      <w:r>
        <w:rPr>
          <w:rFonts w:ascii="Times New Roman" w:hAnsi="Times New Roman" w:cs="Times New Roman"/>
          <w:noProof/>
          <w:sz w:val="24"/>
          <w:szCs w:val="24"/>
          <w:lang w:val="pt-PT"/>
        </w:rPr>
        <w:noBreakHyphen/>
        <w:t>Membros, afetando os recursos orçame</w:t>
      </w:r>
      <w:r>
        <w:rPr>
          <w:rFonts w:ascii="Times New Roman" w:hAnsi="Times New Roman" w:cs="Times New Roman"/>
          <w:noProof/>
          <w:sz w:val="24"/>
          <w:szCs w:val="24"/>
          <w:lang w:val="pt-PT"/>
        </w:rPr>
        <w:t>ntais da UE disponíveis.</w:t>
      </w:r>
    </w:p>
    <w:p w:rsidR="005165C6" w:rsidRDefault="005165C6">
      <w:pPr>
        <w:spacing w:after="0" w:line="240" w:lineRule="auto"/>
        <w:jc w:val="both"/>
        <w:rPr>
          <w:rFonts w:ascii="Times New Roman" w:hAnsi="Times New Roman" w:cs="Times New Roman"/>
          <w:noProof/>
          <w:sz w:val="24"/>
          <w:szCs w:val="24"/>
          <w:lang w:val="pt-PT"/>
        </w:rPr>
      </w:pPr>
    </w:p>
    <w:p w:rsidR="005165C6" w:rsidRDefault="00280A37">
      <w:pPr>
        <w:spacing w:after="0" w:line="240" w:lineRule="auto"/>
        <w:jc w:val="both"/>
        <w:rPr>
          <w:rFonts w:ascii="Times New Roman" w:hAnsi="Times New Roman" w:cs="Times New Roman"/>
          <w:noProof/>
          <w:sz w:val="24"/>
          <w:szCs w:val="24"/>
          <w:lang w:val="pt-PT"/>
        </w:rPr>
      </w:pPr>
      <w:r>
        <w:rPr>
          <w:rFonts w:ascii="Times New Roman" w:hAnsi="Times New Roman" w:cs="Times New Roman"/>
          <w:noProof/>
          <w:sz w:val="24"/>
          <w:szCs w:val="24"/>
          <w:lang w:val="pt-PT"/>
        </w:rPr>
        <w:t>Por último, a UE deve reforçar a sua cooperação com os principais países terceiros de origem de migrantes, a fim de gerir melhor e de forma mais abrangente a migração e a mobilidade.</w:t>
      </w:r>
    </w:p>
    <w:p w:rsidR="005165C6" w:rsidRDefault="005165C6">
      <w:pPr>
        <w:spacing w:after="0" w:line="240" w:lineRule="auto"/>
        <w:rPr>
          <w:rFonts w:ascii="Times New Roman" w:eastAsia="Times New Roman" w:hAnsi="Times New Roman" w:cs="Times New Roman"/>
          <w:b/>
          <w:noProof/>
          <w:sz w:val="24"/>
          <w:szCs w:val="24"/>
          <w:lang w:val="pt-PT" w:eastAsia="en-GB"/>
        </w:rPr>
      </w:pPr>
    </w:p>
    <w:p w:rsidR="005165C6" w:rsidRDefault="00280A37">
      <w:pPr>
        <w:spacing w:after="0" w:line="240" w:lineRule="auto"/>
        <w:jc w:val="both"/>
        <w:rPr>
          <w:rFonts w:ascii="Times New Roman" w:eastAsia="Times New Roman" w:hAnsi="Times New Roman" w:cs="Times New Roman"/>
          <w:b/>
          <w:noProof/>
          <w:sz w:val="24"/>
          <w:szCs w:val="24"/>
          <w:lang w:val="pt-PT" w:eastAsia="en-GB"/>
        </w:rPr>
      </w:pPr>
      <w:r>
        <w:rPr>
          <w:rFonts w:ascii="Times New Roman" w:eastAsia="Times New Roman" w:hAnsi="Times New Roman" w:cs="Times New Roman"/>
          <w:b/>
          <w:noProof/>
          <w:sz w:val="24"/>
          <w:szCs w:val="24"/>
          <w:lang w:val="pt-PT" w:eastAsia="en-GB"/>
        </w:rPr>
        <w:t xml:space="preserve">II.1. Gerir melhor a proteção dos refugiados </w:t>
      </w:r>
      <w:r>
        <w:rPr>
          <w:rFonts w:ascii="Times New Roman" w:eastAsia="Times New Roman" w:hAnsi="Times New Roman" w:cs="Times New Roman"/>
          <w:b/>
          <w:noProof/>
          <w:sz w:val="24"/>
          <w:szCs w:val="24"/>
          <w:lang w:val="pt-PT" w:eastAsia="en-GB"/>
        </w:rPr>
        <w:t>na UE: um sistema estruturado de reinstalação</w:t>
      </w:r>
    </w:p>
    <w:p w:rsidR="005165C6" w:rsidRDefault="005165C6">
      <w:pPr>
        <w:spacing w:after="0" w:line="240" w:lineRule="auto"/>
        <w:jc w:val="both"/>
        <w:rPr>
          <w:rFonts w:ascii="Times New Roman" w:eastAsia="Times New Roman" w:hAnsi="Times New Roman" w:cs="Times New Roman"/>
          <w:b/>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Para desenvolver um sistema estruturado de reinstalação, a Comissão não parte do zero. A Comissão já havia recomendado anteriormente uma abordagem à escala da UE, no âmbito da qual os Estados</w:t>
      </w:r>
      <w:r>
        <w:rPr>
          <w:rFonts w:ascii="Times New Roman" w:eastAsia="Times New Roman" w:hAnsi="Times New Roman" w:cs="Times New Roman"/>
          <w:noProof/>
          <w:sz w:val="24"/>
          <w:szCs w:val="24"/>
          <w:lang w:val="pt-PT" w:eastAsia="en-GB"/>
        </w:rPr>
        <w:noBreakHyphen/>
        <w:t>Membros se compro</w:t>
      </w:r>
      <w:r>
        <w:rPr>
          <w:rFonts w:ascii="Times New Roman" w:eastAsia="Times New Roman" w:hAnsi="Times New Roman" w:cs="Times New Roman"/>
          <w:noProof/>
          <w:sz w:val="24"/>
          <w:szCs w:val="24"/>
          <w:lang w:val="pt-PT" w:eastAsia="en-GB"/>
        </w:rPr>
        <w:t>meteram a acolher, em 2015 e 2016, 22 504 refugiados provenientes de campos de refugiados do Médio Oriente, do Norte de África e do Corno de África, por intermédio do ACNUR. Tal como anunciado na Declaração dos Estados</w:t>
      </w:r>
      <w:r>
        <w:rPr>
          <w:rFonts w:ascii="Times New Roman" w:eastAsia="Times New Roman" w:hAnsi="Times New Roman" w:cs="Times New Roman"/>
          <w:noProof/>
          <w:sz w:val="24"/>
          <w:szCs w:val="24"/>
          <w:lang w:val="pt-PT" w:eastAsia="en-GB"/>
        </w:rPr>
        <w:noBreakHyphen/>
        <w:t>Membros e da Turquia de 18 de março</w:t>
      </w:r>
      <w:r>
        <w:rPr>
          <w:rFonts w:ascii="Times New Roman" w:eastAsia="Times New Roman" w:hAnsi="Times New Roman" w:cs="Times New Roman"/>
          <w:noProof/>
          <w:sz w:val="24"/>
          <w:szCs w:val="24"/>
          <w:vertAlign w:val="superscript"/>
          <w:lang w:val="pt-PT" w:eastAsia="en-GB"/>
        </w:rPr>
        <w:footnoteReference w:id="28"/>
      </w:r>
      <w:r>
        <w:rPr>
          <w:rFonts w:ascii="Times New Roman" w:eastAsia="Times New Roman" w:hAnsi="Times New Roman" w:cs="Times New Roman"/>
          <w:noProof/>
          <w:sz w:val="24"/>
          <w:szCs w:val="24"/>
          <w:lang w:val="pt-PT" w:eastAsia="en-GB"/>
        </w:rPr>
        <w:t>,</w:t>
      </w:r>
      <w:r>
        <w:rPr>
          <w:rFonts w:ascii="Times New Roman" w:eastAsia="Times New Roman" w:hAnsi="Times New Roman" w:cs="Times New Roman"/>
          <w:noProof/>
          <w:sz w:val="24"/>
          <w:szCs w:val="24"/>
          <w:lang w:val="pt-PT" w:eastAsia="en-GB"/>
        </w:rPr>
        <w:t xml:space="preserve"> foi criado um mecanismo para pôr termo às travessias perigosas e irregulares de migrantes das costas turcas para as ilhas gregas, substituindo-as por vias legais de reinstalação da Turquia para a UE. Por cada sírio obrigado a regressar à Turquia, um outro</w:t>
      </w:r>
      <w:r>
        <w:rPr>
          <w:rFonts w:ascii="Times New Roman" w:eastAsia="Times New Roman" w:hAnsi="Times New Roman" w:cs="Times New Roman"/>
          <w:noProof/>
          <w:sz w:val="24"/>
          <w:szCs w:val="24"/>
          <w:lang w:val="pt-PT" w:eastAsia="en-GB"/>
        </w:rPr>
        <w:t xml:space="preserve"> sírio será reinstalado a partir da Turquia na UE. Do lado da UE, o processo de reinstalação no âmbito deste mecanismo realizar-se-á, em primeiro lugar, honrando os compromissos assumidos no quadro da referida abordagem à escala da UE, estando ainda dispon</w:t>
      </w:r>
      <w:r>
        <w:rPr>
          <w:rFonts w:ascii="Times New Roman" w:eastAsia="Times New Roman" w:hAnsi="Times New Roman" w:cs="Times New Roman"/>
          <w:noProof/>
          <w:sz w:val="24"/>
          <w:szCs w:val="24"/>
          <w:lang w:val="pt-PT" w:eastAsia="en-GB"/>
        </w:rPr>
        <w:t>íveis 18 000 dos 22 504 lugares inicialmente previstos para a reinstalação. A Comissão propôs que 54 000 lugares destinados às recolocações fossem agora disponibilizados para efeitos de reinstalação de sírios a partir da Turquia na UE</w:t>
      </w:r>
      <w:r>
        <w:rPr>
          <w:rFonts w:ascii="Times New Roman" w:eastAsia="Times New Roman" w:hAnsi="Times New Roman" w:cs="Times New Roman"/>
          <w:noProof/>
          <w:sz w:val="24"/>
          <w:szCs w:val="24"/>
          <w:vertAlign w:val="superscript"/>
          <w:lang w:val="pt-PT" w:eastAsia="en-GB"/>
        </w:rPr>
        <w:footnoteReference w:id="29"/>
      </w:r>
      <w:r>
        <w:rPr>
          <w:rFonts w:ascii="Times New Roman" w:eastAsia="Times New Roman" w:hAnsi="Times New Roman" w:cs="Times New Roman"/>
          <w:noProof/>
          <w:sz w:val="24"/>
          <w:szCs w:val="24"/>
          <w:lang w:val="pt-PT" w:eastAsia="en-GB"/>
        </w:rPr>
        <w:t>, caso surjam necessi</w:t>
      </w:r>
      <w:r>
        <w:rPr>
          <w:rFonts w:ascii="Times New Roman" w:eastAsia="Times New Roman" w:hAnsi="Times New Roman" w:cs="Times New Roman"/>
          <w:noProof/>
          <w:sz w:val="24"/>
          <w:szCs w:val="24"/>
          <w:lang w:val="pt-PT" w:eastAsia="en-GB"/>
        </w:rPr>
        <w:t>dades adicionais em matéria de reinstalação. Paralelamente, os Estados</w:t>
      </w:r>
      <w:r>
        <w:rPr>
          <w:rFonts w:ascii="Times New Roman" w:eastAsia="Times New Roman" w:hAnsi="Times New Roman" w:cs="Times New Roman"/>
          <w:noProof/>
          <w:sz w:val="24"/>
          <w:szCs w:val="24"/>
          <w:lang w:val="pt-PT" w:eastAsia="en-GB"/>
        </w:rPr>
        <w:noBreakHyphen/>
        <w:t>Membros estão a envidar esforços para criar o programa voluntário de admissão por motivos humanitários de refugiados sírios que se encontram na Turquia. Assim que deixar de haver traves</w:t>
      </w:r>
      <w:r>
        <w:rPr>
          <w:rFonts w:ascii="Times New Roman" w:eastAsia="Times New Roman" w:hAnsi="Times New Roman" w:cs="Times New Roman"/>
          <w:noProof/>
          <w:sz w:val="24"/>
          <w:szCs w:val="24"/>
          <w:lang w:val="pt-PT" w:eastAsia="en-GB"/>
        </w:rPr>
        <w:t>sias irregulares entre a Turquia e a UE ou pelo menos uma redução substancial e sustentada das mesmas, esse programa será ativado, devendo os Estados-Membros da UE contribuir para o mesmo de uma forma voluntária.</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Com base nessas iniciativas, a Comissão ir</w:t>
      </w:r>
      <w:r>
        <w:rPr>
          <w:rFonts w:ascii="Times New Roman" w:eastAsia="Times New Roman" w:hAnsi="Times New Roman" w:cs="Times New Roman"/>
          <w:noProof/>
          <w:sz w:val="24"/>
          <w:szCs w:val="24"/>
          <w:lang w:val="pt-PT" w:eastAsia="en-GB"/>
        </w:rPr>
        <w:t xml:space="preserve">á apresentar uma </w:t>
      </w:r>
      <w:r>
        <w:rPr>
          <w:rFonts w:ascii="Times New Roman" w:eastAsia="Times New Roman" w:hAnsi="Times New Roman" w:cs="Times New Roman"/>
          <w:b/>
          <w:noProof/>
          <w:sz w:val="24"/>
          <w:szCs w:val="24"/>
          <w:lang w:val="pt-PT" w:eastAsia="en-GB"/>
        </w:rPr>
        <w:t>proposta para enquadrar a política da UE em matéria de reinstalação</w:t>
      </w:r>
      <w:r>
        <w:rPr>
          <w:rFonts w:ascii="Times New Roman" w:eastAsia="Times New Roman" w:hAnsi="Times New Roman" w:cs="Times New Roman"/>
          <w:noProof/>
          <w:sz w:val="24"/>
          <w:szCs w:val="24"/>
          <w:lang w:val="pt-PT" w:eastAsia="en-GB"/>
        </w:rPr>
        <w:t>, que definirá uma abordagem comum que permita a entrada na UE em condições de segurança e dentro da legalidade a quem precisa de proteção. Essa proposta criará um mecanism</w:t>
      </w:r>
      <w:r>
        <w:rPr>
          <w:rFonts w:ascii="Times New Roman" w:eastAsia="Times New Roman" w:hAnsi="Times New Roman" w:cs="Times New Roman"/>
          <w:noProof/>
          <w:sz w:val="24"/>
          <w:szCs w:val="24"/>
          <w:lang w:val="pt-PT" w:eastAsia="en-GB"/>
        </w:rPr>
        <w:t>o horizontal para lançar iniciativas europeias de reinstalação específicas, estabelecendo normas comuns em matéria de admissão e repartição, estatuto a atribuir às pessoas reinstaladas, apoio financeiro e medidas a adotar para desencorajar os movimentos se</w:t>
      </w:r>
      <w:r>
        <w:rPr>
          <w:rFonts w:ascii="Times New Roman" w:eastAsia="Times New Roman" w:hAnsi="Times New Roman" w:cs="Times New Roman"/>
          <w:noProof/>
          <w:sz w:val="24"/>
          <w:szCs w:val="24"/>
          <w:lang w:val="pt-PT" w:eastAsia="en-GB"/>
        </w:rPr>
        <w:t>cundários. Tais iniciativas à escala da UE podem ser de âmbito geral, com o objetivo de melhorar a reinstalação a nível mundial, ou para facilitar a reinstalação a partir de um determinado país terceiro ou região, eventualmente associadas a certas condiçõe</w:t>
      </w:r>
      <w:r>
        <w:rPr>
          <w:rFonts w:ascii="Times New Roman" w:eastAsia="Times New Roman" w:hAnsi="Times New Roman" w:cs="Times New Roman"/>
          <w:noProof/>
          <w:sz w:val="24"/>
          <w:szCs w:val="24"/>
          <w:lang w:val="pt-PT" w:eastAsia="en-GB"/>
        </w:rPr>
        <w:t>s quanto à cooperação efetiva em matéria de gestão das migrações (por exemplo, a redução do número de pessoas que chegam espontaneamente aos Estados-Membros, a celebração de acordos de readmissão ou o seu aperfeiçoamento). Tal mecanismo poderia ser ativado</w:t>
      </w:r>
      <w:r>
        <w:rPr>
          <w:rFonts w:ascii="Times New Roman" w:eastAsia="Times New Roman" w:hAnsi="Times New Roman" w:cs="Times New Roman"/>
          <w:noProof/>
          <w:sz w:val="24"/>
          <w:szCs w:val="24"/>
          <w:lang w:val="pt-PT" w:eastAsia="en-GB"/>
        </w:rPr>
        <w:t xml:space="preserve"> mediante atos executórios adotados com base em critérios objetivamente definidos (por exemplo, as metas mundiais do ACNUR em matéria de reinstalação).</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política no domínio da reinstalação deve ter por principal objetivo garantir que a UE assume a sua qu</w:t>
      </w:r>
      <w:r>
        <w:rPr>
          <w:rFonts w:ascii="Times New Roman" w:eastAsia="Times New Roman" w:hAnsi="Times New Roman" w:cs="Times New Roman"/>
          <w:noProof/>
          <w:sz w:val="24"/>
          <w:szCs w:val="24"/>
          <w:lang w:val="pt-PT" w:eastAsia="en-GB"/>
        </w:rPr>
        <w:t xml:space="preserve">ota-parte da responsabilidade mundial por proporcionar </w:t>
      </w:r>
      <w:r>
        <w:rPr>
          <w:rFonts w:ascii="Times New Roman" w:eastAsia="Times New Roman" w:hAnsi="Times New Roman" w:cs="Times New Roman"/>
          <w:noProof/>
          <w:spacing w:val="-3"/>
          <w:sz w:val="24"/>
          <w:szCs w:val="24"/>
          <w:lang w:val="pt-PT" w:eastAsia="en-GB"/>
        </w:rPr>
        <w:t>proteção</w:t>
      </w:r>
      <w:r>
        <w:rPr>
          <w:rFonts w:ascii="Times New Roman" w:eastAsia="Times New Roman" w:hAnsi="Times New Roman" w:cs="Times New Roman"/>
          <w:noProof/>
          <w:sz w:val="24"/>
          <w:szCs w:val="24"/>
          <w:lang w:val="pt-PT" w:eastAsia="en-GB"/>
        </w:rPr>
        <w:t xml:space="preserve"> aos refugiados. Esta é uma responsabilidade partilhada da comunidade internacional no seu conjunto e só poderá ser satisfeita de forma adequada e sustentável se for adotada uma abordagem conce</w:t>
      </w:r>
      <w:r>
        <w:rPr>
          <w:rFonts w:ascii="Times New Roman" w:eastAsia="Times New Roman" w:hAnsi="Times New Roman" w:cs="Times New Roman"/>
          <w:noProof/>
          <w:sz w:val="24"/>
          <w:szCs w:val="24"/>
          <w:lang w:val="pt-PT" w:eastAsia="en-GB"/>
        </w:rPr>
        <w:t xml:space="preserve">rtada e empenhada de todos os interessados a nível internacional. Neste contexto, a UE deve reforçar o seu apoio e a sua participação nas iniciativas internacionais para responder aos desafios globais em matéria de migração e refugiados,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os pr</w:t>
      </w:r>
      <w:r>
        <w:rPr>
          <w:rFonts w:ascii="Times New Roman" w:eastAsia="Times New Roman" w:hAnsi="Times New Roman" w:cs="Times New Roman"/>
          <w:noProof/>
          <w:sz w:val="24"/>
          <w:szCs w:val="24"/>
          <w:lang w:val="pt-PT" w:eastAsia="en-GB"/>
        </w:rPr>
        <w:t>ogramas de reinstalação do ACNUR a nível mundial</w:t>
      </w:r>
      <w:r>
        <w:rPr>
          <w:rFonts w:ascii="Times New Roman" w:eastAsia="Times New Roman" w:hAnsi="Times New Roman" w:cs="Times New Roman"/>
          <w:noProof/>
          <w:sz w:val="24"/>
          <w:szCs w:val="24"/>
          <w:vertAlign w:val="superscript"/>
          <w:lang w:val="pt-PT" w:eastAsia="en-GB"/>
        </w:rPr>
        <w:footnoteReference w:id="30"/>
      </w:r>
      <w:r>
        <w:rPr>
          <w:rFonts w:ascii="Times New Roman" w:eastAsia="Times New Roman" w:hAnsi="Times New Roman" w:cs="Times New Roman"/>
          <w:noProof/>
          <w:sz w:val="24"/>
          <w:szCs w:val="24"/>
          <w:lang w:val="pt-PT" w:eastAsia="en-GB"/>
        </w:rPr>
        <w:t>, mas também fazer pressão para garantir maiores compromissos noutros contextos internacionais, como o G20. Para tal, a UE necessita de um sistema estruturado comum que permita integrar de forma mais sistemá</w:t>
      </w:r>
      <w:r>
        <w:rPr>
          <w:rFonts w:ascii="Times New Roman" w:eastAsia="Times New Roman" w:hAnsi="Times New Roman" w:cs="Times New Roman"/>
          <w:noProof/>
          <w:sz w:val="24"/>
          <w:szCs w:val="24"/>
          <w:lang w:val="pt-PT" w:eastAsia="en-GB"/>
        </w:rPr>
        <w:t>tica os esforços europeus em matéria de reinstalação. Isto permitirá à UE mostrar o exemplo e manifestar de forma concreta e visível a solidariedade europeia para com a comunidade internacional.</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Os Estados-Membros deveriam também ponderar novas formas de aumentar as opções legais de entrada para quem precise de proteção internacional. Os regimes específicos para os refugiados, como o mecanismo de admissão e de reinstalação por motivos humanitários</w:t>
      </w:r>
      <w:r>
        <w:rPr>
          <w:rFonts w:ascii="Times New Roman" w:eastAsia="Times New Roman" w:hAnsi="Times New Roman" w:cs="Times New Roman"/>
          <w:noProof/>
          <w:sz w:val="24"/>
          <w:szCs w:val="24"/>
          <w:lang w:val="pt-PT" w:eastAsia="en-GB"/>
        </w:rPr>
        <w:t>, devem ser complementados, facilitando o acesso dos refugiados aos regimes de admissão regular existentes para categorias gerais como os estudantes, investigadores ou trabalhadores, devendo as iniciativas em curso ser plenamente apoiadas. Outras iniciativ</w:t>
      </w:r>
      <w:r>
        <w:rPr>
          <w:rFonts w:ascii="Times New Roman" w:eastAsia="Times New Roman" w:hAnsi="Times New Roman" w:cs="Times New Roman"/>
          <w:noProof/>
          <w:sz w:val="24"/>
          <w:szCs w:val="24"/>
          <w:lang w:val="pt-PT" w:eastAsia="en-GB"/>
        </w:rPr>
        <w:t xml:space="preserve">as, como o </w:t>
      </w:r>
      <w:r>
        <w:rPr>
          <w:rFonts w:ascii="Times New Roman" w:eastAsia="Times New Roman" w:hAnsi="Times New Roman" w:cs="Times New Roman"/>
          <w:b/>
          <w:noProof/>
          <w:sz w:val="24"/>
          <w:szCs w:val="24"/>
          <w:lang w:val="pt-PT" w:eastAsia="en-GB"/>
        </w:rPr>
        <w:t>patrocínio privado</w:t>
      </w:r>
      <w:r>
        <w:rPr>
          <w:rFonts w:ascii="Times New Roman" w:eastAsia="Times New Roman" w:hAnsi="Times New Roman" w:cs="Times New Roman"/>
          <w:noProof/>
          <w:sz w:val="24"/>
          <w:szCs w:val="24"/>
          <w:lang w:val="pt-PT" w:eastAsia="en-GB"/>
        </w:rPr>
        <w:t>, em que os custos do patrocínio e do apoio a conceder a quem precisa de proteção são suportados por grupos ou organizações da sociedade civil, podem igualmente desempenhar um papel importante para multiplicar as possibilidades</w:t>
      </w:r>
      <w:r>
        <w:rPr>
          <w:rFonts w:ascii="Times New Roman" w:eastAsia="Times New Roman" w:hAnsi="Times New Roman" w:cs="Times New Roman"/>
          <w:noProof/>
          <w:sz w:val="24"/>
          <w:szCs w:val="24"/>
          <w:lang w:val="pt-PT" w:eastAsia="en-GB"/>
        </w:rPr>
        <w:t xml:space="preserve"> de entrada legal. O patrocínio por particulares pode assumir várias formas,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a concessão de bolsas a estudantes e universitários ou o apoio à integração de familiares. Este tipo de patrocínio não só permite aumentar as possibilidades de entrad</w:t>
      </w:r>
      <w:r>
        <w:rPr>
          <w:rFonts w:ascii="Times New Roman" w:eastAsia="Times New Roman" w:hAnsi="Times New Roman" w:cs="Times New Roman"/>
          <w:noProof/>
          <w:sz w:val="24"/>
          <w:szCs w:val="24"/>
          <w:lang w:val="pt-PT" w:eastAsia="en-GB"/>
        </w:rPr>
        <w:t>a legal como contribui também para sensibilizar as pessoas e apoiar os refugiados, proporcionando um ambiente mais acolhedor na medida em que as comunidades locais estão normalmente associadas ao processo. O referido sistema deve, pois, ser incentivado atr</w:t>
      </w:r>
      <w:r>
        <w:rPr>
          <w:rFonts w:ascii="Times New Roman" w:eastAsia="Times New Roman" w:hAnsi="Times New Roman" w:cs="Times New Roman"/>
          <w:noProof/>
          <w:sz w:val="24"/>
          <w:szCs w:val="24"/>
          <w:lang w:val="pt-PT" w:eastAsia="en-GB"/>
        </w:rPr>
        <w:t xml:space="preserve">avés do desenvolvimento de boas práticas a nível da UE, com base nos modelos e experiências de outros países. Os Estados-Membros são também incentivados a utilizar plenamente as outras opções legais disponíveis para as pessoas que necessitam de proteção, </w:t>
      </w:r>
      <w:r>
        <w:rPr>
          <w:rFonts w:ascii="Times New Roman" w:eastAsia="Times New Roman" w:hAnsi="Times New Roman" w:cs="Times New Roman"/>
          <w:noProof/>
          <w:spacing w:val="-3"/>
          <w:sz w:val="24"/>
          <w:szCs w:val="24"/>
          <w:lang w:val="pt-PT" w:eastAsia="en-GB"/>
        </w:rPr>
        <w:t>n</w:t>
      </w:r>
      <w:r>
        <w:rPr>
          <w:rFonts w:ascii="Times New Roman" w:eastAsia="Times New Roman" w:hAnsi="Times New Roman" w:cs="Times New Roman"/>
          <w:noProof/>
          <w:spacing w:val="-3"/>
          <w:sz w:val="24"/>
          <w:szCs w:val="24"/>
          <w:lang w:val="pt-PT" w:eastAsia="en-GB"/>
        </w:rPr>
        <w:t>omeadamente</w:t>
      </w:r>
      <w:r>
        <w:rPr>
          <w:rFonts w:ascii="Times New Roman" w:eastAsia="Times New Roman" w:hAnsi="Times New Roman" w:cs="Times New Roman"/>
          <w:noProof/>
          <w:sz w:val="24"/>
          <w:szCs w:val="24"/>
          <w:lang w:val="pt-PT" w:eastAsia="en-GB"/>
        </w:rPr>
        <w:t xml:space="preserve"> as autorizações de residência por razões humanitárias, devendo a Comissão estudar a forma de promover uma abordagem europeia coordenada igualmente a este respeito.</w:t>
      </w:r>
    </w:p>
    <w:p w:rsidR="005165C6" w:rsidRDefault="005165C6">
      <w:pPr>
        <w:spacing w:after="0" w:line="240" w:lineRule="auto"/>
        <w:rPr>
          <w:rFonts w:ascii="Times New Roman" w:eastAsia="Times New Roman" w:hAnsi="Times New Roman" w:cs="Times New Roman"/>
          <w:noProof/>
          <w:sz w:val="24"/>
          <w:szCs w:val="24"/>
          <w:lang w:val="pt-PT" w:eastAsia="en-GB"/>
        </w:rPr>
      </w:pPr>
    </w:p>
    <w:p w:rsidR="005165C6" w:rsidRDefault="00280A37">
      <w:pPr>
        <w:spacing w:after="0" w:line="240" w:lineRule="auto"/>
        <w:ind w:left="720" w:hanging="720"/>
        <w:rPr>
          <w:rFonts w:ascii="Times New Roman" w:eastAsia="Times New Roman" w:hAnsi="Times New Roman" w:cs="Times New Roman"/>
          <w:b/>
          <w:noProof/>
          <w:sz w:val="24"/>
          <w:szCs w:val="24"/>
          <w:lang w:val="pt-PT" w:eastAsia="en-GB"/>
        </w:rPr>
      </w:pPr>
      <w:r>
        <w:rPr>
          <w:rFonts w:ascii="Times New Roman" w:eastAsia="Times New Roman" w:hAnsi="Times New Roman" w:cs="Times New Roman"/>
          <w:b/>
          <w:noProof/>
          <w:sz w:val="24"/>
          <w:szCs w:val="24"/>
          <w:lang w:val="pt-PT" w:eastAsia="en-GB"/>
        </w:rPr>
        <w:t>II.2. Uma política de migração legal mais inteligente e bem gerida</w:t>
      </w:r>
    </w:p>
    <w:p w:rsidR="005165C6" w:rsidRDefault="005165C6">
      <w:pPr>
        <w:spacing w:after="0" w:line="240" w:lineRule="auto"/>
        <w:jc w:val="both"/>
        <w:rPr>
          <w:rFonts w:ascii="Times New Roman" w:eastAsia="Times New Roman" w:hAnsi="Times New Roman" w:cs="Times New Roman"/>
          <w:i/>
          <w:noProof/>
          <w:sz w:val="24"/>
          <w:szCs w:val="24"/>
          <w:lang w:val="pt-PT" w:eastAsia="en-GB"/>
        </w:rPr>
      </w:pPr>
    </w:p>
    <w:p w:rsidR="005165C6" w:rsidRDefault="00280A37">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Ao longo do</w:t>
      </w:r>
      <w:r>
        <w:rPr>
          <w:rFonts w:ascii="Times New Roman" w:eastAsia="Times New Roman" w:hAnsi="Times New Roman" w:cs="Times New Roman"/>
          <w:noProof/>
          <w:sz w:val="24"/>
          <w:szCs w:val="24"/>
          <w:lang w:val="pt-PT" w:eastAsia="en-GB"/>
        </w:rPr>
        <w:t>s últimos 13 anos a UE elaborou um conjunto importante de instrumentos em matéria de admissão das diferentes categorias de migrantes legais. A Diretiva relativa ao cartão azul e a Diretiva relativa à transferência de trabalhadores dentro de uma mesma empre</w:t>
      </w:r>
      <w:r>
        <w:rPr>
          <w:rFonts w:ascii="Times New Roman" w:eastAsia="Times New Roman" w:hAnsi="Times New Roman" w:cs="Times New Roman"/>
          <w:noProof/>
          <w:sz w:val="24"/>
          <w:szCs w:val="24"/>
          <w:lang w:val="pt-PT" w:eastAsia="en-GB"/>
        </w:rPr>
        <w:t>sa</w:t>
      </w:r>
      <w:r>
        <w:rPr>
          <w:rFonts w:ascii="Times New Roman" w:eastAsia="Times New Roman" w:hAnsi="Times New Roman" w:cs="Times New Roman"/>
          <w:noProof/>
          <w:sz w:val="24"/>
          <w:szCs w:val="24"/>
          <w:vertAlign w:val="superscript"/>
          <w:lang w:val="pt-PT" w:eastAsia="en-GB"/>
        </w:rPr>
        <w:footnoteReference w:id="31"/>
      </w:r>
      <w:r>
        <w:rPr>
          <w:rFonts w:ascii="Times New Roman" w:eastAsia="Times New Roman" w:hAnsi="Times New Roman" w:cs="Times New Roman"/>
          <w:noProof/>
          <w:sz w:val="24"/>
          <w:szCs w:val="24"/>
          <w:lang w:val="pt-PT" w:eastAsia="en-GB"/>
        </w:rPr>
        <w:t xml:space="preserve"> criaram o </w:t>
      </w:r>
      <w:r>
        <w:rPr>
          <w:rFonts w:ascii="Times New Roman" w:eastAsia="Times New Roman" w:hAnsi="Times New Roman" w:cs="Times New Roman"/>
          <w:noProof/>
          <w:spacing w:val="-3"/>
          <w:sz w:val="24"/>
          <w:szCs w:val="24"/>
          <w:lang w:val="pt-PT" w:eastAsia="en-GB"/>
        </w:rPr>
        <w:t xml:space="preserve">enquadramento </w:t>
      </w:r>
      <w:r>
        <w:rPr>
          <w:rFonts w:ascii="Times New Roman" w:eastAsia="Times New Roman" w:hAnsi="Times New Roman" w:cs="Times New Roman"/>
          <w:noProof/>
          <w:sz w:val="24"/>
          <w:szCs w:val="24"/>
          <w:lang w:val="pt-PT" w:eastAsia="en-GB"/>
        </w:rPr>
        <w:t>jurídico aplicável aos migrantes altamente qualificados. A Diretiva reformulada sobre os estudantes e os investigadores</w:t>
      </w:r>
      <w:r>
        <w:rPr>
          <w:rFonts w:ascii="Times New Roman" w:eastAsia="Times New Roman" w:hAnsi="Times New Roman" w:cs="Times New Roman"/>
          <w:noProof/>
          <w:sz w:val="24"/>
          <w:szCs w:val="24"/>
          <w:vertAlign w:val="superscript"/>
          <w:lang w:val="pt-PT" w:eastAsia="en-GB"/>
        </w:rPr>
        <w:footnoteReference w:id="32"/>
      </w:r>
      <w:r>
        <w:rPr>
          <w:rFonts w:ascii="Times New Roman" w:eastAsia="Times New Roman" w:hAnsi="Times New Roman" w:cs="Times New Roman"/>
          <w:noProof/>
          <w:sz w:val="24"/>
          <w:szCs w:val="24"/>
          <w:lang w:val="pt-PT" w:eastAsia="en-GB"/>
        </w:rPr>
        <w:t xml:space="preserve"> facilita a admissão e a mobilidade no interior da UE dos estudantes e investigadores estrangeiros, prevendo</w:t>
      </w:r>
      <w:r>
        <w:rPr>
          <w:rFonts w:ascii="Times New Roman" w:eastAsia="Times New Roman" w:hAnsi="Times New Roman" w:cs="Times New Roman"/>
          <w:noProof/>
          <w:sz w:val="24"/>
          <w:szCs w:val="24"/>
          <w:lang w:val="pt-PT" w:eastAsia="en-GB"/>
        </w:rPr>
        <w:t xml:space="preserve"> um direito de estada por nove meses para procurar emprego ou criar uma empresa. A Diretiva relativa aos trabalhadores sazonais</w:t>
      </w:r>
      <w:r>
        <w:rPr>
          <w:rFonts w:ascii="Times New Roman" w:eastAsia="Times New Roman" w:hAnsi="Times New Roman" w:cs="Times New Roman"/>
          <w:noProof/>
          <w:sz w:val="24"/>
          <w:szCs w:val="24"/>
          <w:vertAlign w:val="superscript"/>
          <w:lang w:val="pt-PT" w:eastAsia="en-GB"/>
        </w:rPr>
        <w:footnoteReference w:id="33"/>
      </w:r>
      <w:r>
        <w:rPr>
          <w:rFonts w:ascii="Times New Roman" w:eastAsia="Times New Roman" w:hAnsi="Times New Roman" w:cs="Times New Roman"/>
          <w:noProof/>
          <w:sz w:val="24"/>
          <w:szCs w:val="24"/>
          <w:lang w:val="pt-PT" w:eastAsia="en-GB"/>
        </w:rPr>
        <w:t>, que deve ser transposta pelos Estados-Membros até final deste ano, regula a entrada e a estada temporária dos trabalhadores sa</w:t>
      </w:r>
      <w:r>
        <w:rPr>
          <w:rFonts w:ascii="Times New Roman" w:eastAsia="Times New Roman" w:hAnsi="Times New Roman" w:cs="Times New Roman"/>
          <w:noProof/>
          <w:sz w:val="24"/>
          <w:szCs w:val="24"/>
          <w:lang w:val="pt-PT" w:eastAsia="en-GB"/>
        </w:rPr>
        <w:t>zonais, facilitando a migração circular e protegendo esta categoria particularmente vulnerável de trabalhadores. Por outro lado, a Diretiva relativa à autorização única</w:t>
      </w:r>
      <w:r>
        <w:rPr>
          <w:rFonts w:ascii="Times New Roman" w:eastAsia="Times New Roman" w:hAnsi="Times New Roman" w:cs="Times New Roman"/>
          <w:noProof/>
          <w:sz w:val="24"/>
          <w:szCs w:val="24"/>
          <w:vertAlign w:val="superscript"/>
          <w:lang w:val="pt-PT" w:eastAsia="en-GB"/>
        </w:rPr>
        <w:footnoteReference w:id="34"/>
      </w:r>
      <w:r>
        <w:rPr>
          <w:rFonts w:ascii="Times New Roman" w:eastAsia="Times New Roman" w:hAnsi="Times New Roman" w:cs="Times New Roman"/>
          <w:noProof/>
          <w:sz w:val="24"/>
          <w:szCs w:val="24"/>
          <w:lang w:val="pt-PT" w:eastAsia="en-GB"/>
        </w:rPr>
        <w:t xml:space="preserve"> cria uma autorização única que combina as autorizações de residência e de trabalho par</w:t>
      </w:r>
      <w:r>
        <w:rPr>
          <w:rFonts w:ascii="Times New Roman" w:eastAsia="Times New Roman" w:hAnsi="Times New Roman" w:cs="Times New Roman"/>
          <w:noProof/>
          <w:sz w:val="24"/>
          <w:szCs w:val="24"/>
          <w:lang w:val="pt-PT" w:eastAsia="en-GB"/>
        </w:rPr>
        <w:t>a os nacionais de países terceiros, a Diretiva relativa aos residentes de longa duração</w:t>
      </w:r>
      <w:r>
        <w:rPr>
          <w:rFonts w:ascii="Times New Roman" w:eastAsia="Times New Roman" w:hAnsi="Times New Roman" w:cs="Times New Roman"/>
          <w:noProof/>
          <w:sz w:val="24"/>
          <w:szCs w:val="24"/>
          <w:vertAlign w:val="superscript"/>
          <w:lang w:val="pt-PT" w:eastAsia="en-GB"/>
        </w:rPr>
        <w:footnoteReference w:id="35"/>
      </w:r>
      <w:r>
        <w:rPr>
          <w:rFonts w:ascii="Times New Roman" w:eastAsia="Times New Roman" w:hAnsi="Times New Roman" w:cs="Times New Roman"/>
          <w:noProof/>
          <w:sz w:val="24"/>
          <w:szCs w:val="24"/>
          <w:lang w:val="pt-PT" w:eastAsia="en-GB"/>
        </w:rPr>
        <w:t xml:space="preserve"> regula as condições e os direitos de residência dos nacionais de países terceiros que já residam na UE há mais de cinco anos, e a Diretiva relativa ao direito ao reagr</w:t>
      </w:r>
      <w:r>
        <w:rPr>
          <w:rFonts w:ascii="Times New Roman" w:eastAsia="Times New Roman" w:hAnsi="Times New Roman" w:cs="Times New Roman"/>
          <w:noProof/>
          <w:sz w:val="24"/>
          <w:szCs w:val="24"/>
          <w:lang w:val="pt-PT" w:eastAsia="en-GB"/>
        </w:rPr>
        <w:t>upamento familiar</w:t>
      </w:r>
      <w:r>
        <w:rPr>
          <w:rFonts w:ascii="Times New Roman" w:eastAsia="Times New Roman" w:hAnsi="Times New Roman" w:cs="Times New Roman"/>
          <w:noProof/>
          <w:sz w:val="24"/>
          <w:szCs w:val="24"/>
          <w:vertAlign w:val="superscript"/>
          <w:lang w:val="pt-PT" w:eastAsia="en-GB"/>
        </w:rPr>
        <w:footnoteReference w:id="36"/>
      </w:r>
      <w:r>
        <w:rPr>
          <w:rFonts w:ascii="Times New Roman" w:eastAsia="Times New Roman" w:hAnsi="Times New Roman" w:cs="Times New Roman"/>
          <w:noProof/>
          <w:sz w:val="24"/>
          <w:szCs w:val="24"/>
          <w:lang w:val="pt-PT" w:eastAsia="en-GB"/>
        </w:rPr>
        <w:t>, estabelece as condições de entrada e de residência para os membros da família de nacionais de países terceiros.</w:t>
      </w:r>
    </w:p>
    <w:p w:rsidR="005165C6" w:rsidRDefault="005165C6">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Será, contudo, necessário adotar novas medidas à escala da UE. Em primeiro lugar, a União tem de melhorar as normas aplicáv</w:t>
      </w:r>
      <w:r>
        <w:rPr>
          <w:rFonts w:ascii="Times New Roman" w:eastAsia="Times New Roman" w:hAnsi="Times New Roman" w:cs="Times New Roman"/>
          <w:noProof/>
          <w:sz w:val="24"/>
          <w:szCs w:val="24"/>
          <w:lang w:val="pt-PT" w:eastAsia="en-GB"/>
        </w:rPr>
        <w:t>eis aos migrantes altamente qualificados, mediante a reforma do cartão azul da UE. Em segundo lugar, deve explorar formas de atrair empresários inovadores suscetíveis de fomentar o crescimento económico e de ajudar a criar emprego. Em terceiro lugar, a mig</w:t>
      </w:r>
      <w:r>
        <w:rPr>
          <w:rFonts w:ascii="Times New Roman" w:eastAsia="Times New Roman" w:hAnsi="Times New Roman" w:cs="Times New Roman"/>
          <w:noProof/>
          <w:sz w:val="24"/>
          <w:szCs w:val="24"/>
          <w:lang w:val="pt-PT" w:eastAsia="en-GB"/>
        </w:rPr>
        <w:t>ração legal deve ser plenamente integrada nas discussões com os países terceiros de origem ou de trânsito sobre a cooperação em matéria de gestão dos fluxos migratórios. Por último, deve ser iniciada uma reflexão sobre a possibilidade de alterar, a longo p</w:t>
      </w:r>
      <w:r>
        <w:rPr>
          <w:rFonts w:ascii="Times New Roman" w:eastAsia="Times New Roman" w:hAnsi="Times New Roman" w:cs="Times New Roman"/>
          <w:noProof/>
          <w:sz w:val="24"/>
          <w:szCs w:val="24"/>
          <w:lang w:val="pt-PT" w:eastAsia="en-GB"/>
        </w:rPr>
        <w:t xml:space="preserve">razo, todo o modelo de gestão da UE em relação à migração legal,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dos trabalhadores, procurando, eventualmente, obter inspiração em modelos de sucesso adotados por outros países desenvolvidos.</w:t>
      </w:r>
    </w:p>
    <w:p w:rsidR="005165C6" w:rsidRDefault="005165C6">
      <w:pPr>
        <w:spacing w:after="0" w:line="240" w:lineRule="auto"/>
        <w:rPr>
          <w:rFonts w:ascii="Times New Roman" w:eastAsia="Times New Roman" w:hAnsi="Times New Roman" w:cs="Times New Roman"/>
          <w:noProof/>
          <w:sz w:val="24"/>
          <w:szCs w:val="24"/>
          <w:u w:val="single"/>
          <w:lang w:val="pt-PT" w:eastAsia="en-GB"/>
        </w:rPr>
      </w:pPr>
    </w:p>
    <w:p w:rsidR="005165C6" w:rsidRDefault="00280A37">
      <w:pPr>
        <w:pStyle w:val="ListParagraph"/>
        <w:numPr>
          <w:ilvl w:val="0"/>
          <w:numId w:val="9"/>
        </w:numPr>
        <w:spacing w:after="0" w:line="240" w:lineRule="auto"/>
        <w:rPr>
          <w:rFonts w:ascii="Times New Roman" w:hAnsi="Times New Roman"/>
          <w:i/>
          <w:noProof/>
          <w:sz w:val="24"/>
          <w:lang w:val="pt-PT"/>
        </w:rPr>
      </w:pPr>
      <w:r>
        <w:rPr>
          <w:rFonts w:ascii="Times New Roman" w:hAnsi="Times New Roman"/>
          <w:i/>
          <w:noProof/>
          <w:sz w:val="24"/>
          <w:lang w:val="pt-PT"/>
        </w:rPr>
        <w:t>Atrair trabalhadores altamente qualificados para a</w:t>
      </w:r>
      <w:r>
        <w:rPr>
          <w:rFonts w:ascii="Times New Roman" w:hAnsi="Times New Roman"/>
          <w:i/>
          <w:noProof/>
          <w:sz w:val="24"/>
          <w:lang w:val="pt-PT"/>
        </w:rPr>
        <w:t xml:space="preserve"> Europa: um cartão azul mais eficaz</w:t>
      </w:r>
    </w:p>
    <w:p w:rsidR="005165C6" w:rsidRDefault="005165C6">
      <w:pPr>
        <w:spacing w:after="0" w:line="240" w:lineRule="auto"/>
        <w:jc w:val="both"/>
        <w:rPr>
          <w:rFonts w:ascii="Times New Roman" w:eastAsia="Times New Roman" w:hAnsi="Times New Roman" w:cs="Times New Roman"/>
          <w:i/>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Europa é um continente que se confronta atualmente com o envelhecimento demográfico e o declínio da sua população em idade ativa</w:t>
      </w:r>
      <w:r>
        <w:rPr>
          <w:rFonts w:ascii="Times New Roman" w:eastAsia="Times New Roman" w:hAnsi="Times New Roman" w:cs="Times New Roman"/>
          <w:noProof/>
          <w:sz w:val="24"/>
          <w:szCs w:val="24"/>
          <w:vertAlign w:val="superscript"/>
          <w:lang w:val="pt-PT" w:eastAsia="en-GB"/>
        </w:rPr>
        <w:footnoteReference w:id="37"/>
      </w:r>
      <w:r>
        <w:rPr>
          <w:rFonts w:ascii="Times New Roman" w:eastAsia="Times New Roman" w:hAnsi="Times New Roman" w:cs="Times New Roman"/>
          <w:noProof/>
          <w:sz w:val="24"/>
          <w:szCs w:val="24"/>
          <w:lang w:val="pt-PT" w:eastAsia="en-GB"/>
        </w:rPr>
        <w:t xml:space="preserve">, que deverá diminuir em 18 milhões de pessoas ao longo da próxima década. Além disso, a alteração das qualificações necessárias ao mercado laboral da UE entre 2012 e 2025 revela uma necessidade crescente de </w:t>
      </w:r>
      <w:r>
        <w:rPr>
          <w:rFonts w:ascii="Times New Roman" w:eastAsia="Times New Roman" w:hAnsi="Times New Roman" w:cs="Times New Roman"/>
          <w:noProof/>
          <w:spacing w:val="-3"/>
          <w:sz w:val="24"/>
          <w:szCs w:val="24"/>
          <w:lang w:val="pt-PT" w:eastAsia="en-GB"/>
        </w:rPr>
        <w:t>recursos humanos</w:t>
      </w:r>
      <w:r>
        <w:rPr>
          <w:rFonts w:ascii="Times New Roman" w:eastAsia="Times New Roman" w:hAnsi="Times New Roman" w:cs="Times New Roman"/>
          <w:noProof/>
          <w:sz w:val="24"/>
          <w:szCs w:val="24"/>
          <w:lang w:val="pt-PT" w:eastAsia="en-GB"/>
        </w:rPr>
        <w:t xml:space="preserve"> altamente qualificados (entre 6</w:t>
      </w:r>
      <w:r>
        <w:rPr>
          <w:rFonts w:ascii="Times New Roman" w:eastAsia="Times New Roman" w:hAnsi="Times New Roman" w:cs="Times New Roman"/>
          <w:noProof/>
          <w:sz w:val="24"/>
          <w:szCs w:val="24"/>
          <w:lang w:val="pt-PT" w:eastAsia="en-GB"/>
        </w:rPr>
        <w:t>8 e 83 milhões de trabalhadores qualificados, ou seja um aumento de 23 %)</w:t>
      </w:r>
      <w:r>
        <w:rPr>
          <w:rFonts w:ascii="Times New Roman" w:eastAsia="Times New Roman" w:hAnsi="Times New Roman" w:cs="Times New Roman"/>
          <w:noProof/>
          <w:sz w:val="24"/>
          <w:szCs w:val="24"/>
          <w:vertAlign w:val="superscript"/>
          <w:lang w:val="pt-PT" w:eastAsia="en-GB"/>
        </w:rPr>
        <w:footnoteReference w:id="38"/>
      </w:r>
      <w:r>
        <w:rPr>
          <w:rFonts w:ascii="Times New Roman" w:eastAsia="Times New Roman" w:hAnsi="Times New Roman" w:cs="Times New Roman"/>
          <w:noProof/>
          <w:sz w:val="24"/>
          <w:szCs w:val="24"/>
          <w:lang w:val="pt-PT" w:eastAsia="en-GB"/>
        </w:rPr>
        <w:t xml:space="preserve">. Ao mesmo tempo, importa explorar melhor o potencial da mão de obra existente na UE, como o revela a elevada taxa de desemprego, </w:t>
      </w:r>
      <w:r>
        <w:rPr>
          <w:rFonts w:ascii="Times New Roman" w:eastAsia="Times New Roman" w:hAnsi="Times New Roman" w:cs="Times New Roman"/>
          <w:noProof/>
          <w:spacing w:val="-3"/>
          <w:sz w:val="24"/>
          <w:szCs w:val="24"/>
          <w:lang w:val="pt-PT" w:eastAsia="en-GB"/>
        </w:rPr>
        <w:t>em especial e</w:t>
      </w:r>
      <w:r>
        <w:rPr>
          <w:rFonts w:ascii="Times New Roman" w:eastAsia="Times New Roman" w:hAnsi="Times New Roman" w:cs="Times New Roman"/>
          <w:noProof/>
          <w:sz w:val="24"/>
          <w:szCs w:val="24"/>
          <w:lang w:val="pt-PT" w:eastAsia="en-GB"/>
        </w:rPr>
        <w:t>ntre os jovens, a baixa taxa de partici</w:t>
      </w:r>
      <w:r>
        <w:rPr>
          <w:rFonts w:ascii="Times New Roman" w:eastAsia="Times New Roman" w:hAnsi="Times New Roman" w:cs="Times New Roman"/>
          <w:noProof/>
          <w:sz w:val="24"/>
          <w:szCs w:val="24"/>
          <w:lang w:val="pt-PT" w:eastAsia="en-GB"/>
        </w:rPr>
        <w:t>pação e a persistência de desequilíbrios entre a oferta e a procura no mercado laboral. Isto exigirá esforços concertados a todos os níveis que incidam no desenvolvimento das qualificações da mão de obra, na promoção de políticas destinadas a aumentar a ta</w:t>
      </w:r>
      <w:r>
        <w:rPr>
          <w:rFonts w:ascii="Times New Roman" w:eastAsia="Times New Roman" w:hAnsi="Times New Roman" w:cs="Times New Roman"/>
          <w:noProof/>
          <w:sz w:val="24"/>
          <w:szCs w:val="24"/>
          <w:lang w:val="pt-PT" w:eastAsia="en-GB"/>
        </w:rPr>
        <w:t>xa de atividade e na utilização de todas as qualificações disponíveis, promovendo a mobilidade dos trabalhadores no interior da UE. A futura Agenda de Competências para a Europa será uma componente essencial desses esforços, centrados em melhorar a utiliza</w:t>
      </w:r>
      <w:r>
        <w:rPr>
          <w:rFonts w:ascii="Times New Roman" w:eastAsia="Times New Roman" w:hAnsi="Times New Roman" w:cs="Times New Roman"/>
          <w:noProof/>
          <w:sz w:val="24"/>
          <w:szCs w:val="24"/>
          <w:lang w:val="pt-PT" w:eastAsia="en-GB"/>
        </w:rPr>
        <w:t>ção e o reconhecimento das competências existentes na UE, melhorar o reconhecimento das qualificações estrangeiras e incentivar o desenvolvimento de novas competências sempre que necessário</w:t>
      </w:r>
      <w:r>
        <w:rPr>
          <w:rFonts w:ascii="Times New Roman" w:eastAsia="Times New Roman" w:hAnsi="Times New Roman" w:cs="Times New Roman"/>
          <w:noProof/>
          <w:sz w:val="24"/>
          <w:szCs w:val="24"/>
          <w:vertAlign w:val="superscript"/>
          <w:lang w:val="pt-PT" w:eastAsia="en-GB"/>
        </w:rPr>
        <w:footnoteReference w:id="39"/>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No entanto, parece evidente que estas medidas, por si só, não s</w:t>
      </w:r>
      <w:r>
        <w:rPr>
          <w:rFonts w:ascii="Times New Roman" w:eastAsia="Times New Roman" w:hAnsi="Times New Roman" w:cs="Times New Roman"/>
          <w:noProof/>
          <w:sz w:val="24"/>
          <w:szCs w:val="24"/>
          <w:lang w:val="pt-PT" w:eastAsia="en-GB"/>
        </w:rPr>
        <w:t>erão suficientes para resolver o problema do défice de qualificações. A UE terá igualmente de atrair talentos e qualificações no estrangeiro para poder continuar a ser um interveniente competitivo a nível mundial. Este aspeto é essencial não só para satisf</w:t>
      </w:r>
      <w:r>
        <w:rPr>
          <w:rFonts w:ascii="Times New Roman" w:eastAsia="Times New Roman" w:hAnsi="Times New Roman" w:cs="Times New Roman"/>
          <w:noProof/>
          <w:sz w:val="24"/>
          <w:szCs w:val="24"/>
          <w:lang w:val="pt-PT" w:eastAsia="en-GB"/>
        </w:rPr>
        <w:t>azer as necessidades atuais e futuras em matéria de competências e assegurar uma economia dinâmica, mas também para garantir a sustentabilidade dos nossos sistemas de segurança social a longo prazo.</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As opiniões manifestadas pelas partes interessadas confi</w:t>
      </w:r>
      <w:r>
        <w:rPr>
          <w:rFonts w:ascii="Times New Roman" w:eastAsia="Times New Roman" w:hAnsi="Times New Roman" w:cs="Times New Roman"/>
          <w:noProof/>
          <w:sz w:val="24"/>
          <w:szCs w:val="24"/>
          <w:lang w:val="pt-PT" w:eastAsia="en-GB"/>
        </w:rPr>
        <w:t>rmam claramente este facto: no âmbito da consulta pública sobre o cartão azul efetuada em toda a UE no ano passado</w:t>
      </w:r>
      <w:r>
        <w:rPr>
          <w:rFonts w:ascii="Times New Roman" w:eastAsia="Times New Roman" w:hAnsi="Times New Roman" w:cs="Times New Roman"/>
          <w:noProof/>
          <w:sz w:val="24"/>
          <w:szCs w:val="24"/>
          <w:vertAlign w:val="superscript"/>
          <w:lang w:val="pt-PT" w:eastAsia="en-GB"/>
        </w:rPr>
        <w:footnoteReference w:id="40"/>
      </w:r>
      <w:r>
        <w:rPr>
          <w:rFonts w:ascii="Times New Roman" w:eastAsia="Times New Roman" w:hAnsi="Times New Roman" w:cs="Times New Roman"/>
          <w:noProof/>
          <w:sz w:val="24"/>
          <w:szCs w:val="24"/>
          <w:lang w:val="pt-PT" w:eastAsia="en-GB"/>
        </w:rPr>
        <w:t>, 85 % dos inquiridos, incluindo as entidades patronais e os sindicatos, consideraram que – para além de medidas políticas, como o recrutamen</w:t>
      </w:r>
      <w:r>
        <w:rPr>
          <w:rFonts w:ascii="Times New Roman" w:eastAsia="Times New Roman" w:hAnsi="Times New Roman" w:cs="Times New Roman"/>
          <w:noProof/>
          <w:sz w:val="24"/>
          <w:szCs w:val="24"/>
          <w:lang w:val="pt-PT" w:eastAsia="en-GB"/>
        </w:rPr>
        <w:t>to de trabalhadores noutros Estados-Membros, o aumento da idade da reforma e das taxas de participação no mercado laboral – o recrutamento de trabalhadores altamente qualificados fora da UE é necessário para suprir a escassez de mão de obra em certos setor</w:t>
      </w:r>
      <w:r>
        <w:rPr>
          <w:rFonts w:ascii="Times New Roman" w:eastAsia="Times New Roman" w:hAnsi="Times New Roman" w:cs="Times New Roman"/>
          <w:noProof/>
          <w:sz w:val="24"/>
          <w:szCs w:val="24"/>
          <w:lang w:val="pt-PT" w:eastAsia="en-GB"/>
        </w:rPr>
        <w:t>es e profissões. Paralelamente, durante o primeiro Diálogo Europeu sobre Competências e Migração preconizou-se o fim da fragmentação das políticas de admissão de trabalhadores altamente qualificados na Europa e foi defendida a criação de um sistema de admi</w:t>
      </w:r>
      <w:r>
        <w:rPr>
          <w:rFonts w:ascii="Times New Roman" w:eastAsia="Times New Roman" w:hAnsi="Times New Roman" w:cs="Times New Roman"/>
          <w:noProof/>
          <w:sz w:val="24"/>
          <w:szCs w:val="24"/>
          <w:lang w:val="pt-PT" w:eastAsia="en-GB"/>
        </w:rPr>
        <w:t>ssão rápido e transparente</w:t>
      </w:r>
      <w:r>
        <w:rPr>
          <w:rFonts w:ascii="Times New Roman" w:eastAsia="Times New Roman" w:hAnsi="Times New Roman" w:cs="Times New Roman"/>
          <w:noProof/>
          <w:sz w:val="24"/>
          <w:szCs w:val="24"/>
          <w:vertAlign w:val="superscript"/>
          <w:lang w:val="pt-PT" w:eastAsia="en-GB"/>
        </w:rPr>
        <w:footnoteReference w:id="41"/>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Diretiva Cartão Azul de 2009 não conseguiu atingir todo o seu potencial enquanto sistema à escala da UE para atrair nacionais talentosos e altamente qualificados de países terceiros. As condições de admissão são bastante res</w:t>
      </w:r>
      <w:r>
        <w:rPr>
          <w:rFonts w:ascii="Times New Roman" w:eastAsia="Times New Roman" w:hAnsi="Times New Roman" w:cs="Times New Roman"/>
          <w:noProof/>
          <w:sz w:val="24"/>
          <w:szCs w:val="24"/>
          <w:lang w:val="pt-PT" w:eastAsia="en-GB"/>
        </w:rPr>
        <w:t xml:space="preserve">tritivas, a diretiva prevê pouca coerência e harmonização, e a mobilidade dos titulares do cartão azul dentro do território da UE é ainda muito limitada. Além disso, paralelamente ao cartão azul, existe uma grande variedade de regimes nacionais aplicáveis </w:t>
      </w:r>
      <w:r>
        <w:rPr>
          <w:rFonts w:ascii="Times New Roman" w:eastAsia="Times New Roman" w:hAnsi="Times New Roman" w:cs="Times New Roman"/>
          <w:noProof/>
          <w:sz w:val="24"/>
          <w:szCs w:val="24"/>
          <w:lang w:val="pt-PT" w:eastAsia="en-GB"/>
        </w:rPr>
        <w:t xml:space="preserve">aos trabalhadores altamente qualificados, o que cria um </w:t>
      </w:r>
      <w:r>
        <w:rPr>
          <w:rFonts w:ascii="Times New Roman" w:eastAsia="Times New Roman" w:hAnsi="Times New Roman" w:cs="Times New Roman"/>
          <w:noProof/>
          <w:spacing w:val="-3"/>
          <w:sz w:val="24"/>
          <w:szCs w:val="24"/>
          <w:lang w:val="pt-PT" w:eastAsia="en-GB"/>
        </w:rPr>
        <w:t xml:space="preserve">quadro </w:t>
      </w:r>
      <w:r>
        <w:rPr>
          <w:rFonts w:ascii="Times New Roman" w:eastAsia="Times New Roman" w:hAnsi="Times New Roman" w:cs="Times New Roman"/>
          <w:noProof/>
          <w:sz w:val="24"/>
          <w:szCs w:val="24"/>
          <w:lang w:val="pt-PT" w:eastAsia="en-GB"/>
        </w:rPr>
        <w:t>fragmentado, com uma grande diversidade de normas e procedimentos aplicáveis. Consequentemente, o número total de trabalhadores altamente qualificados admitidos na UE continua a ser baixo</w:t>
      </w:r>
      <w:r>
        <w:rPr>
          <w:rFonts w:ascii="Times New Roman" w:eastAsia="Times New Roman" w:hAnsi="Times New Roman" w:cs="Times New Roman"/>
          <w:noProof/>
          <w:sz w:val="24"/>
          <w:szCs w:val="24"/>
          <w:vertAlign w:val="superscript"/>
          <w:lang w:val="pt-PT" w:eastAsia="en-GB"/>
        </w:rPr>
        <w:footnoteReference w:id="42"/>
      </w:r>
      <w:r>
        <w:rPr>
          <w:rFonts w:ascii="Times New Roman" w:eastAsia="Times New Roman" w:hAnsi="Times New Roman" w:cs="Times New Roman"/>
          <w:noProof/>
          <w:sz w:val="24"/>
          <w:szCs w:val="24"/>
          <w:lang w:val="pt-PT" w:eastAsia="en-GB"/>
        </w:rPr>
        <w:t xml:space="preserve"> e, c</w:t>
      </w:r>
      <w:r>
        <w:rPr>
          <w:rFonts w:ascii="Times New Roman" w:eastAsia="Times New Roman" w:hAnsi="Times New Roman" w:cs="Times New Roman"/>
          <w:noProof/>
          <w:sz w:val="24"/>
          <w:szCs w:val="24"/>
          <w:lang w:val="pt-PT" w:eastAsia="en-GB"/>
        </w:rPr>
        <w:t>omparativamente com os países da OCDE de fora da Europa, a União atrai migrantes pouco qualificados em vez de pessoas muito qualificadas</w:t>
      </w:r>
      <w:r>
        <w:rPr>
          <w:rFonts w:ascii="Times New Roman" w:eastAsia="Times New Roman" w:hAnsi="Times New Roman" w:cs="Times New Roman"/>
          <w:noProof/>
          <w:sz w:val="24"/>
          <w:szCs w:val="24"/>
          <w:vertAlign w:val="superscript"/>
          <w:lang w:val="pt-PT" w:eastAsia="en-GB"/>
        </w:rPr>
        <w:footnoteReference w:id="43"/>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Para garantir que o cartão azul é um instrumento eficaz para atrair trabalhadores altamente qualificados, a Comissão</w:t>
      </w:r>
      <w:r>
        <w:rPr>
          <w:rFonts w:ascii="Times New Roman" w:eastAsia="Times New Roman" w:hAnsi="Times New Roman" w:cs="Times New Roman"/>
          <w:noProof/>
          <w:sz w:val="24"/>
          <w:szCs w:val="24"/>
          <w:lang w:val="pt-PT" w:eastAsia="en-GB"/>
        </w:rPr>
        <w:t xml:space="preserve"> vai propor alterações à diretiva em vigor, reforçando o seu papel enquanto mecanismo à escala europeia e definindo uma abordagem comum harmonizada a nível da UE, em especial para</w:t>
      </w:r>
      <w:r>
        <w:rPr>
          <w:rFonts w:ascii="Times New Roman" w:eastAsia="Times New Roman" w:hAnsi="Times New Roman" w:cs="Times New Roman"/>
          <w:noProof/>
          <w:spacing w:val="-3"/>
          <w:sz w:val="24"/>
          <w:szCs w:val="24"/>
          <w:lang w:val="pt-PT" w:eastAsia="en-GB"/>
        </w:rPr>
        <w:t xml:space="preserve"> estabelecer </w:t>
      </w:r>
      <w:r>
        <w:rPr>
          <w:rFonts w:ascii="Times New Roman" w:eastAsia="Times New Roman" w:hAnsi="Times New Roman" w:cs="Times New Roman"/>
          <w:noProof/>
          <w:sz w:val="24"/>
          <w:szCs w:val="24"/>
          <w:lang w:val="pt-PT" w:eastAsia="en-GB"/>
        </w:rPr>
        <w:t xml:space="preserve">condições de admissão mais flexíveis, melhorar e facilitar os procedimentos de admissão, e reforçar os direitos dos titulares do cartão,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o direito à mobilidade no interior da UE. Para além das alterações legislativas, o cartão azul deverá ser </w:t>
      </w:r>
      <w:r>
        <w:rPr>
          <w:rFonts w:ascii="Times New Roman" w:eastAsia="Times New Roman" w:hAnsi="Times New Roman" w:cs="Times New Roman"/>
          <w:noProof/>
          <w:sz w:val="24"/>
          <w:szCs w:val="24"/>
          <w:lang w:val="pt-PT" w:eastAsia="en-GB"/>
        </w:rPr>
        <w:t>mais bem divulgado, de modo a que os empregadores e os migrantes tenham plena consciência de todas as suas vantagens.</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pStyle w:val="ListParagraph"/>
        <w:numPr>
          <w:ilvl w:val="0"/>
          <w:numId w:val="9"/>
        </w:numPr>
        <w:spacing w:after="0" w:line="240" w:lineRule="auto"/>
        <w:rPr>
          <w:rFonts w:ascii="Times New Roman" w:eastAsia="Times New Roman" w:hAnsi="Times New Roman" w:cs="Times New Roman"/>
          <w:i/>
          <w:noProof/>
          <w:sz w:val="24"/>
          <w:szCs w:val="24"/>
          <w:lang w:val="pt-PT" w:eastAsia="en-GB"/>
        </w:rPr>
      </w:pPr>
      <w:r>
        <w:rPr>
          <w:rFonts w:ascii="Times New Roman" w:eastAsia="Times New Roman" w:hAnsi="Times New Roman" w:cs="Times New Roman"/>
          <w:i/>
          <w:noProof/>
          <w:sz w:val="24"/>
          <w:szCs w:val="24"/>
          <w:lang w:val="pt-PT" w:eastAsia="en-GB"/>
        </w:rPr>
        <w:t>Atrair empresários inovadores para a UE</w:t>
      </w:r>
    </w:p>
    <w:p w:rsidR="005165C6" w:rsidRDefault="005165C6">
      <w:pPr>
        <w:spacing w:after="0" w:line="240" w:lineRule="auto"/>
        <w:rPr>
          <w:rFonts w:ascii="Times New Roman" w:eastAsia="Times New Roman" w:hAnsi="Times New Roman" w:cs="Times New Roman"/>
          <w:noProof/>
          <w:sz w:val="24"/>
          <w:szCs w:val="24"/>
          <w:u w:val="single"/>
          <w:lang w:val="pt-PT" w:eastAsia="en-GB"/>
        </w:rPr>
      </w:pPr>
    </w:p>
    <w:p w:rsidR="005165C6" w:rsidRDefault="00280A37">
      <w:pPr>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fim de manter a sua competitividade a nível mundial, a UE deve encontrar novas formas de atrai</w:t>
      </w:r>
      <w:r>
        <w:rPr>
          <w:rFonts w:ascii="Times New Roman" w:eastAsia="Times New Roman" w:hAnsi="Times New Roman" w:cs="Times New Roman"/>
          <w:noProof/>
          <w:sz w:val="24"/>
          <w:szCs w:val="24"/>
          <w:lang w:val="pt-PT" w:eastAsia="en-GB"/>
        </w:rPr>
        <w:t xml:space="preserve">r e apoiar a migração de empresários inovadores que disponham dos </w:t>
      </w:r>
      <w:r>
        <w:rPr>
          <w:rFonts w:ascii="Times New Roman" w:eastAsia="Times New Roman" w:hAnsi="Times New Roman" w:cs="Times New Roman"/>
          <w:noProof/>
          <w:spacing w:val="-3"/>
          <w:sz w:val="24"/>
          <w:szCs w:val="24"/>
          <w:lang w:val="pt-PT" w:eastAsia="en-GB"/>
        </w:rPr>
        <w:t>recursos humanos</w:t>
      </w:r>
      <w:r>
        <w:rPr>
          <w:rFonts w:ascii="Times New Roman" w:eastAsia="Times New Roman" w:hAnsi="Times New Roman" w:cs="Times New Roman"/>
          <w:noProof/>
          <w:sz w:val="24"/>
          <w:szCs w:val="24"/>
          <w:lang w:val="pt-PT" w:eastAsia="en-GB"/>
        </w:rPr>
        <w:t xml:space="preserve"> e financeiros necessários para contribuir para o crescimento e a competitividade da União. Atrair empresários inovadores não só poderá reduzir o impacto do declínio demográf</w:t>
      </w:r>
      <w:r>
        <w:rPr>
          <w:rFonts w:ascii="Times New Roman" w:eastAsia="Times New Roman" w:hAnsi="Times New Roman" w:cs="Times New Roman"/>
          <w:noProof/>
          <w:sz w:val="24"/>
          <w:szCs w:val="24"/>
          <w:lang w:val="pt-PT" w:eastAsia="en-GB"/>
        </w:rPr>
        <w:t>ico, como permitiria igualmente tirar partido da expansão das novas tendências da economia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a economia digital, a economia verde e a economia social), contribuindo mais em geral para promover o crescimento e a competitividade da UE. Esta abord</w:t>
      </w:r>
      <w:r>
        <w:rPr>
          <w:rFonts w:ascii="Times New Roman" w:eastAsia="Times New Roman" w:hAnsi="Times New Roman" w:cs="Times New Roman"/>
          <w:noProof/>
          <w:sz w:val="24"/>
          <w:szCs w:val="24"/>
          <w:lang w:val="pt-PT" w:eastAsia="en-GB"/>
        </w:rPr>
        <w:t>agem está em plena consonância com a iniciativa da UE para as empresas em fase de arranque («</w:t>
      </w:r>
      <w:r>
        <w:rPr>
          <w:rFonts w:ascii="Times New Roman" w:eastAsia="Times New Roman" w:hAnsi="Times New Roman" w:cs="Times New Roman"/>
          <w:i/>
          <w:noProof/>
          <w:sz w:val="24"/>
          <w:szCs w:val="24"/>
          <w:lang w:val="pt-PT" w:eastAsia="en-GB"/>
        </w:rPr>
        <w:t>Start Up Initiative</w:t>
      </w:r>
      <w:r>
        <w:rPr>
          <w:rFonts w:ascii="Times New Roman" w:eastAsia="Times New Roman" w:hAnsi="Times New Roman" w:cs="Times New Roman"/>
          <w:noProof/>
          <w:sz w:val="24"/>
          <w:szCs w:val="24"/>
          <w:lang w:val="pt-PT" w:eastAsia="en-GB"/>
        </w:rPr>
        <w:t>») no âmbito da estratégia para o mercado único</w:t>
      </w:r>
      <w:r>
        <w:rPr>
          <w:rFonts w:ascii="Times New Roman" w:eastAsia="Times New Roman" w:hAnsi="Times New Roman" w:cs="Times New Roman"/>
          <w:noProof/>
          <w:sz w:val="24"/>
          <w:szCs w:val="24"/>
          <w:vertAlign w:val="superscript"/>
          <w:lang w:val="pt-PT" w:eastAsia="en-GB"/>
        </w:rPr>
        <w:footnoteReference w:id="44"/>
      </w:r>
      <w:r>
        <w:rPr>
          <w:rFonts w:ascii="Times New Roman" w:eastAsia="Times New Roman" w:hAnsi="Times New Roman" w:cs="Times New Roman"/>
          <w:noProof/>
          <w:sz w:val="24"/>
          <w:szCs w:val="24"/>
          <w:lang w:val="pt-PT" w:eastAsia="en-GB"/>
        </w:rPr>
        <w:t>.</w:t>
      </w:r>
    </w:p>
    <w:p w:rsidR="005165C6" w:rsidRDefault="005165C6">
      <w:pPr>
        <w:spacing w:after="0" w:line="240" w:lineRule="auto"/>
        <w:ind w:left="720"/>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Neste contexto, a Comissão irá envidar mais esforços para atrair e apoiar empresários inovado</w:t>
      </w:r>
      <w:r>
        <w:rPr>
          <w:rFonts w:ascii="Times New Roman" w:eastAsia="Times New Roman" w:hAnsi="Times New Roman" w:cs="Times New Roman"/>
          <w:noProof/>
          <w:sz w:val="24"/>
          <w:szCs w:val="24"/>
          <w:lang w:val="pt-PT" w:eastAsia="en-GB"/>
        </w:rPr>
        <w:t xml:space="preserve">res, incluindo empresas em fase de arranque, provenientes de países terceiros. Esses esforços poderão contemplar a adoção de normas à escala da UE em matéria de admissão (e de mobilidade a nível da UE), mas também medidas de apoio à criação de empresas em </w:t>
      </w:r>
      <w:r>
        <w:rPr>
          <w:rFonts w:ascii="Times New Roman" w:eastAsia="Times New Roman" w:hAnsi="Times New Roman" w:cs="Times New Roman"/>
          <w:noProof/>
          <w:sz w:val="24"/>
          <w:szCs w:val="24"/>
          <w:lang w:val="pt-PT" w:eastAsia="en-GB"/>
        </w:rPr>
        <w:t xml:space="preserve">setores de alto valor acrescentado por empresários migrantes altamente qualificados. Essa abordagem poderia tirar partido das iniciativas e serviços já existentes a nível europeu, nacional, regional ou local, criando as sinergias adequadas. </w:t>
      </w:r>
    </w:p>
    <w:p w:rsidR="005165C6" w:rsidRDefault="005165C6">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p>
    <w:p w:rsidR="005165C6" w:rsidRDefault="00280A37">
      <w:pPr>
        <w:pStyle w:val="ListParagraph"/>
        <w:numPr>
          <w:ilvl w:val="0"/>
          <w:numId w:val="9"/>
        </w:numPr>
        <w:spacing w:after="0" w:line="240" w:lineRule="auto"/>
        <w:rPr>
          <w:rFonts w:ascii="Times New Roman" w:eastAsia="Times New Roman" w:hAnsi="Times New Roman" w:cs="Times New Roman"/>
          <w:i/>
          <w:noProof/>
          <w:sz w:val="24"/>
          <w:szCs w:val="24"/>
          <w:lang w:val="pt-PT" w:eastAsia="en-GB"/>
        </w:rPr>
      </w:pPr>
      <w:r>
        <w:rPr>
          <w:rFonts w:ascii="Times New Roman" w:eastAsia="Times New Roman" w:hAnsi="Times New Roman" w:cs="Times New Roman"/>
          <w:i/>
          <w:noProof/>
          <w:sz w:val="24"/>
          <w:szCs w:val="24"/>
          <w:lang w:val="pt-PT" w:eastAsia="en-GB"/>
        </w:rPr>
        <w:t>Criar um mode</w:t>
      </w:r>
      <w:r>
        <w:rPr>
          <w:rFonts w:ascii="Times New Roman" w:eastAsia="Times New Roman" w:hAnsi="Times New Roman" w:cs="Times New Roman"/>
          <w:i/>
          <w:noProof/>
          <w:sz w:val="24"/>
          <w:szCs w:val="24"/>
          <w:lang w:val="pt-PT" w:eastAsia="en-GB"/>
        </w:rPr>
        <w:t>lo mais coerente e eficaz para gerir a migração legal a nível da UE</w:t>
      </w:r>
    </w:p>
    <w:p w:rsidR="005165C6" w:rsidRDefault="005165C6">
      <w:pPr>
        <w:spacing w:after="0" w:line="240" w:lineRule="auto"/>
        <w:rPr>
          <w:rFonts w:ascii="Times New Roman" w:eastAsia="Times New Roman" w:hAnsi="Times New Roman" w:cs="Times New Roman"/>
          <w:noProof/>
          <w:sz w:val="24"/>
          <w:szCs w:val="24"/>
          <w:u w:val="single"/>
          <w:lang w:val="pt-PT" w:eastAsia="en-GB"/>
        </w:rPr>
      </w:pPr>
    </w:p>
    <w:p w:rsidR="005165C6" w:rsidRDefault="00280A37">
      <w:pPr>
        <w:autoSpaceDE w:val="0"/>
        <w:autoSpaceDN w:val="0"/>
        <w:adjustRightInd w:val="0"/>
        <w:spacing w:line="240" w:lineRule="auto"/>
        <w:contextualSpacing/>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fim de gerir eficazmente as políticas em matéria de migração legal, a UE deve utilizar melhor os instrumentos ao seu dispor, visando as diferentes categorias e competências dos nacionai</w:t>
      </w:r>
      <w:r>
        <w:rPr>
          <w:rFonts w:ascii="Times New Roman" w:eastAsia="Times New Roman" w:hAnsi="Times New Roman" w:cs="Times New Roman"/>
          <w:noProof/>
          <w:sz w:val="24"/>
          <w:szCs w:val="24"/>
          <w:lang w:val="pt-PT" w:eastAsia="en-GB"/>
        </w:rPr>
        <w:t>s de países terceiros. Para tal, a Comissão vai proceder a uma avaliação REFIT</w:t>
      </w:r>
      <w:r>
        <w:rPr>
          <w:rFonts w:ascii="Times New Roman" w:eastAsia="Times New Roman" w:hAnsi="Times New Roman" w:cs="Times New Roman"/>
          <w:noProof/>
          <w:sz w:val="24"/>
          <w:szCs w:val="24"/>
          <w:vertAlign w:val="superscript"/>
          <w:lang w:eastAsia="en-GB"/>
        </w:rPr>
        <w:footnoteReference w:id="45"/>
      </w:r>
      <w:r>
        <w:rPr>
          <w:rFonts w:ascii="Times New Roman" w:eastAsia="Times New Roman" w:hAnsi="Times New Roman" w:cs="Times New Roman"/>
          <w:noProof/>
          <w:sz w:val="24"/>
          <w:szCs w:val="24"/>
          <w:lang w:val="pt-PT" w:eastAsia="en-GB"/>
        </w:rPr>
        <w:t xml:space="preserve"> dos instrumentos existentes no domínio da migração legal, a fim de identificar eventuais incoerências ou lacunas, e de harmonizar e simplificar as normas em vigor. No âmbito de</w:t>
      </w:r>
      <w:r>
        <w:rPr>
          <w:rFonts w:ascii="Times New Roman" w:eastAsia="Times New Roman" w:hAnsi="Times New Roman" w:cs="Times New Roman"/>
          <w:noProof/>
          <w:sz w:val="24"/>
          <w:szCs w:val="24"/>
          <w:lang w:val="pt-PT" w:eastAsia="en-GB"/>
        </w:rPr>
        <w:t>sse exercício, a Comissão analisará igualmente a necessidade de se adotar normas específicas da UE quanto aos prestadores de serviços internacionais no âmbito dos acordos comerciais. O objetivo geral dessa avaliação será melhorar, tanto quanto possível, as</w:t>
      </w:r>
      <w:r>
        <w:rPr>
          <w:rFonts w:ascii="Times New Roman" w:eastAsia="Times New Roman" w:hAnsi="Times New Roman" w:cs="Times New Roman"/>
          <w:noProof/>
          <w:sz w:val="24"/>
          <w:szCs w:val="24"/>
          <w:lang w:val="pt-PT" w:eastAsia="en-GB"/>
        </w:rPr>
        <w:t xml:space="preserve"> normas em vigor, tendo em conta a necessidade de prevenir e combater a exploração laboral, pois, segundo a Agência dos Direitos Fundamentais</w:t>
      </w:r>
      <w:r>
        <w:rPr>
          <w:rStyle w:val="FootnoteReference"/>
          <w:rFonts w:ascii="Times New Roman" w:eastAsia="Times New Roman" w:hAnsi="Times New Roman" w:cs="Times New Roman"/>
          <w:noProof/>
          <w:sz w:val="24"/>
          <w:szCs w:val="24"/>
          <w:lang w:val="pt-PT" w:eastAsia="en-GB"/>
        </w:rPr>
        <w:footnoteReference w:id="46"/>
      </w:r>
      <w:r>
        <w:rPr>
          <w:rFonts w:ascii="Times New Roman" w:eastAsia="Times New Roman" w:hAnsi="Times New Roman" w:cs="Times New Roman"/>
          <w:noProof/>
          <w:sz w:val="24"/>
          <w:szCs w:val="24"/>
          <w:lang w:val="pt-PT" w:eastAsia="en-GB"/>
        </w:rPr>
        <w:t xml:space="preserve">, esta é frequente entre os trabalhadores migrantes. A este respeito, a Comissão continuará a acompanhar a aplicação efetiva do acervo da UE, a fim de assegurar a proteção dos direitos dos migrantes que trabalham na UE e,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prevenir a sua explo</w:t>
      </w:r>
      <w:r>
        <w:rPr>
          <w:rFonts w:ascii="Times New Roman" w:eastAsia="Times New Roman" w:hAnsi="Times New Roman" w:cs="Times New Roman"/>
          <w:noProof/>
          <w:sz w:val="24"/>
          <w:szCs w:val="24"/>
          <w:lang w:val="pt-PT" w:eastAsia="en-GB"/>
        </w:rPr>
        <w:t>ração laboral, independentemente do respetivo estatuto jurídico.</w:t>
      </w:r>
    </w:p>
    <w:p w:rsidR="005165C6" w:rsidRDefault="005165C6">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contextualSpacing/>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A Comissão lançará um estudo sobre a possibilidade de se criar um mecanismo à escala da UE para aumentar a transparência e facilitar a correspondência entre as competências dos potenciais </w:t>
      </w:r>
      <w:r>
        <w:rPr>
          <w:rFonts w:ascii="Times New Roman" w:eastAsia="Times New Roman" w:hAnsi="Times New Roman" w:cs="Times New Roman"/>
          <w:noProof/>
          <w:sz w:val="24"/>
          <w:szCs w:val="24"/>
          <w:lang w:val="pt-PT" w:eastAsia="en-GB"/>
        </w:rPr>
        <w:t>migrantes e as necessidades dos empregadores. Neste contexto, alguns países desenvolvidos que fazem concorrência à UE na atração de migrantes qualificados</w:t>
      </w:r>
      <w:r>
        <w:rPr>
          <w:rFonts w:ascii="Times New Roman" w:eastAsia="Times New Roman" w:hAnsi="Times New Roman" w:cs="Times New Roman"/>
          <w:noProof/>
          <w:sz w:val="24"/>
          <w:szCs w:val="24"/>
          <w:vertAlign w:val="superscript"/>
          <w:lang w:val="pt-PT" w:eastAsia="en-GB"/>
        </w:rPr>
        <w:footnoteReference w:id="47"/>
      </w:r>
      <w:r>
        <w:rPr>
          <w:rFonts w:ascii="Times New Roman" w:eastAsia="Times New Roman" w:hAnsi="Times New Roman" w:cs="Times New Roman"/>
          <w:noProof/>
          <w:sz w:val="24"/>
          <w:szCs w:val="24"/>
          <w:lang w:val="pt-PT" w:eastAsia="en-GB"/>
        </w:rPr>
        <w:t xml:space="preserve"> passaram recentemente a utilizar um sistema de pré-seleção que prevê a criação de uma «reserva de ca</w:t>
      </w:r>
      <w:r>
        <w:rPr>
          <w:rFonts w:ascii="Times New Roman" w:eastAsia="Times New Roman" w:hAnsi="Times New Roman" w:cs="Times New Roman"/>
          <w:noProof/>
          <w:sz w:val="24"/>
          <w:szCs w:val="24"/>
          <w:lang w:val="pt-PT" w:eastAsia="en-GB"/>
        </w:rPr>
        <w:t>ndidatos pré-selecionados», a que se seguem os procedimentos de admissão efetivos. Um sistema desse tipo é mais orientado pela procura (ou seja, tem como pré</w:t>
      </w:r>
      <w:r>
        <w:rPr>
          <w:rFonts w:ascii="Times New Roman" w:eastAsia="Times New Roman" w:hAnsi="Times New Roman" w:cs="Times New Roman"/>
          <w:noProof/>
          <w:sz w:val="24"/>
          <w:szCs w:val="24"/>
          <w:lang w:val="pt-PT" w:eastAsia="en-GB"/>
        </w:rPr>
        <w:noBreakHyphen/>
        <w:t>requisito a existência de uma oferta de emprego ou um contrato) e centrado nos elementos de capita</w:t>
      </w:r>
      <w:r>
        <w:rPr>
          <w:rFonts w:ascii="Times New Roman" w:eastAsia="Times New Roman" w:hAnsi="Times New Roman" w:cs="Times New Roman"/>
          <w:noProof/>
          <w:sz w:val="24"/>
          <w:szCs w:val="24"/>
          <w:lang w:val="pt-PT" w:eastAsia="en-GB"/>
        </w:rPr>
        <w:t>l humano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as competências e qualificações das pessoas, a respetiva experiência, etc.)</w:t>
      </w:r>
      <w:r>
        <w:rPr>
          <w:rFonts w:ascii="Times New Roman" w:eastAsia="Times New Roman" w:hAnsi="Times New Roman" w:cs="Times New Roman"/>
          <w:noProof/>
          <w:sz w:val="24"/>
          <w:szCs w:val="24"/>
          <w:vertAlign w:val="superscript"/>
          <w:lang w:val="pt-PT" w:eastAsia="en-GB"/>
        </w:rPr>
        <w:footnoteReference w:id="48"/>
      </w:r>
      <w:r>
        <w:rPr>
          <w:rFonts w:ascii="Times New Roman" w:eastAsia="Times New Roman" w:hAnsi="Times New Roman" w:cs="Times New Roman"/>
          <w:noProof/>
          <w:sz w:val="24"/>
          <w:szCs w:val="24"/>
          <w:lang w:val="pt-PT" w:eastAsia="en-GB"/>
        </w:rPr>
        <w:t>. Sem pôr em causa a competência dos Estados</w:t>
      </w:r>
      <w:r>
        <w:rPr>
          <w:rFonts w:ascii="Times New Roman" w:eastAsia="Times New Roman" w:hAnsi="Times New Roman" w:cs="Times New Roman"/>
          <w:noProof/>
          <w:sz w:val="24"/>
          <w:szCs w:val="24"/>
          <w:lang w:val="pt-PT" w:eastAsia="en-GB"/>
        </w:rPr>
        <w:noBreakHyphen/>
        <w:t>Membros para determinar o número de migrantes económicos que decidem admitir, esse estudo analisará a viabilidad</w:t>
      </w:r>
      <w:r>
        <w:rPr>
          <w:rFonts w:ascii="Times New Roman" w:eastAsia="Times New Roman" w:hAnsi="Times New Roman" w:cs="Times New Roman"/>
          <w:noProof/>
          <w:sz w:val="24"/>
          <w:szCs w:val="24"/>
          <w:lang w:val="pt-PT" w:eastAsia="en-GB"/>
        </w:rPr>
        <w:t>e de um mecanismo de pré-seleção que permita criar uma reserva de candidatos acessível aos Estados-Membros e aos empregadores da UE.</w:t>
      </w:r>
    </w:p>
    <w:p w:rsidR="005165C6" w:rsidRDefault="005165C6">
      <w:pPr>
        <w:spacing w:after="0" w:line="240" w:lineRule="auto"/>
        <w:rPr>
          <w:rFonts w:ascii="Times New Roman" w:eastAsia="Times New Roman" w:hAnsi="Times New Roman" w:cs="Times New Roman"/>
          <w:noProof/>
          <w:sz w:val="24"/>
          <w:szCs w:val="24"/>
          <w:u w:val="single"/>
          <w:lang w:val="pt-PT" w:eastAsia="en-GB"/>
        </w:rPr>
      </w:pPr>
    </w:p>
    <w:p w:rsidR="005165C6" w:rsidRDefault="00280A37">
      <w:pPr>
        <w:pStyle w:val="ListParagraph"/>
        <w:numPr>
          <w:ilvl w:val="0"/>
          <w:numId w:val="9"/>
        </w:numPr>
        <w:spacing w:after="0" w:line="240" w:lineRule="auto"/>
        <w:rPr>
          <w:rFonts w:ascii="Times New Roman" w:eastAsia="Times New Roman" w:hAnsi="Times New Roman" w:cs="Times New Roman"/>
          <w:i/>
          <w:noProof/>
          <w:sz w:val="24"/>
          <w:szCs w:val="24"/>
          <w:lang w:val="pt-PT" w:eastAsia="en-GB"/>
        </w:rPr>
      </w:pPr>
      <w:r>
        <w:rPr>
          <w:rFonts w:ascii="Times New Roman" w:eastAsia="Times New Roman" w:hAnsi="Times New Roman" w:cs="Times New Roman"/>
          <w:i/>
          <w:noProof/>
          <w:sz w:val="24"/>
          <w:szCs w:val="24"/>
          <w:lang w:val="pt-PT" w:eastAsia="en-GB"/>
        </w:rPr>
        <w:t xml:space="preserve">Reforçar a cooperação com os principais países de origem </w:t>
      </w:r>
    </w:p>
    <w:p w:rsidR="005165C6" w:rsidRDefault="005165C6">
      <w:pPr>
        <w:spacing w:after="0" w:line="240" w:lineRule="auto"/>
        <w:rPr>
          <w:rFonts w:ascii="Times New Roman" w:eastAsia="Times New Roman" w:hAnsi="Times New Roman" w:cs="Times New Roman"/>
          <w:i/>
          <w:noProof/>
          <w:sz w:val="24"/>
          <w:szCs w:val="24"/>
          <w:lang w:val="pt-PT" w:eastAsia="en-GB"/>
        </w:rPr>
      </w:pPr>
    </w:p>
    <w:p w:rsidR="005165C6" w:rsidRDefault="00280A37">
      <w:pPr>
        <w:spacing w:after="0" w:line="240" w:lineRule="auto"/>
        <w:jc w:val="both"/>
        <w:rPr>
          <w:rStyle w:val="FootnoteReference"/>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Assegurar vias de migração legal e reforçar as políticas de rea</w:t>
      </w:r>
      <w:r>
        <w:rPr>
          <w:rFonts w:ascii="Times New Roman" w:eastAsia="Times New Roman" w:hAnsi="Times New Roman" w:cs="Times New Roman"/>
          <w:noProof/>
          <w:sz w:val="24"/>
          <w:szCs w:val="24"/>
          <w:lang w:val="pt-PT" w:eastAsia="en-GB"/>
        </w:rPr>
        <w:t xml:space="preserve">dmissão ou de regresso de pessoas que não têm direito a permanecer na UE são as duas faces da mesma moeda: estes dois elementos devem ser plenamente integrados nas discussões com os países terceiros,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com os países de origem dos migrantes, sobre a forma de cooperar para gerir eficazmente os fluxos migratórios. Esta foi a abordagem adotada no quadro dos diálogos políticos e da cooperação operacional com os países terceiros no quadro da Abordagem Global </w:t>
      </w:r>
      <w:r>
        <w:rPr>
          <w:rFonts w:ascii="Times New Roman" w:eastAsia="Times New Roman" w:hAnsi="Times New Roman" w:cs="Times New Roman"/>
          <w:noProof/>
          <w:sz w:val="24"/>
          <w:szCs w:val="24"/>
          <w:lang w:val="pt-PT" w:eastAsia="en-GB"/>
        </w:rPr>
        <w:t xml:space="preserve">para a Migração e a Mobilidade, no âmbito da qual a migração legal e a boa gestão da mobilidade foram identificadas como prioridades da política externa da UE em matéria de migração e de asilo. No quadro da referida abordagem, a UE tem vindo a assinar nos </w:t>
      </w:r>
      <w:r>
        <w:rPr>
          <w:rFonts w:ascii="Times New Roman" w:eastAsia="Times New Roman" w:hAnsi="Times New Roman" w:cs="Times New Roman"/>
          <w:noProof/>
          <w:sz w:val="24"/>
          <w:szCs w:val="24"/>
          <w:lang w:val="pt-PT" w:eastAsia="en-GB"/>
        </w:rPr>
        <w:t>últimos anos várias parcerias para a mobilidade e programas comuns para a migração e a mobilidade com países da sua vizinhança próxima e com países mais afastados</w:t>
      </w:r>
      <w:r>
        <w:rPr>
          <w:rFonts w:ascii="Times New Roman" w:eastAsia="Times New Roman" w:hAnsi="Times New Roman" w:cs="Times New Roman"/>
          <w:noProof/>
          <w:sz w:val="24"/>
          <w:szCs w:val="24"/>
          <w:vertAlign w:val="superscript"/>
          <w:lang w:val="pt-PT" w:eastAsia="en-GB"/>
        </w:rPr>
        <w:footnoteReference w:id="49"/>
      </w:r>
      <w:r>
        <w:rPr>
          <w:rFonts w:ascii="Times New Roman" w:eastAsia="Times New Roman" w:hAnsi="Times New Roman" w:cs="Times New Roman"/>
          <w:noProof/>
          <w:sz w:val="24"/>
          <w:szCs w:val="24"/>
          <w:lang w:val="pt-PT" w:eastAsia="en-GB"/>
        </w:rPr>
        <w:t>.</w:t>
      </w:r>
    </w:p>
    <w:p w:rsidR="005165C6" w:rsidRDefault="005165C6">
      <w:pPr>
        <w:spacing w:after="0" w:line="240" w:lineRule="auto"/>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Procurar-se-á aprofundar a cooperação com os parceiros com quem partilhamos interesses com</w:t>
      </w:r>
      <w:r>
        <w:rPr>
          <w:rFonts w:ascii="Times New Roman" w:eastAsia="Times New Roman" w:hAnsi="Times New Roman" w:cs="Times New Roman"/>
          <w:noProof/>
          <w:sz w:val="24"/>
          <w:szCs w:val="24"/>
          <w:lang w:val="pt-PT" w:eastAsia="en-GB"/>
        </w:rPr>
        <w:t>uns e que estão preparados para assumir compromissos mútuos com a UE e os seus Estados</w:t>
      </w:r>
      <w:r>
        <w:rPr>
          <w:rFonts w:ascii="Times New Roman" w:eastAsia="Times New Roman" w:hAnsi="Times New Roman" w:cs="Times New Roman"/>
          <w:noProof/>
          <w:sz w:val="24"/>
          <w:szCs w:val="24"/>
          <w:lang w:val="pt-PT" w:eastAsia="en-GB"/>
        </w:rPr>
        <w:noBreakHyphen/>
        <w:t xml:space="preserve">Membros, </w:t>
      </w:r>
      <w:r>
        <w:rPr>
          <w:rFonts w:ascii="Times New Roman" w:eastAsia="Times New Roman" w:hAnsi="Times New Roman" w:cs="Times New Roman"/>
          <w:noProof/>
          <w:spacing w:val="-3"/>
          <w:sz w:val="24"/>
          <w:szCs w:val="24"/>
          <w:lang w:val="pt-PT" w:eastAsia="en-GB"/>
        </w:rPr>
        <w:t>nomeadamente</w:t>
      </w:r>
      <w:r>
        <w:rPr>
          <w:rFonts w:ascii="Times New Roman" w:eastAsia="Times New Roman" w:hAnsi="Times New Roman" w:cs="Times New Roman"/>
          <w:noProof/>
          <w:sz w:val="24"/>
          <w:szCs w:val="24"/>
          <w:lang w:val="pt-PT" w:eastAsia="en-GB"/>
        </w:rPr>
        <w:t xml:space="preserve"> no âmbito da cooperação em matéria de readmissão. A UE deve proporcionar uma gama mais vasta de mecanismos operacionais e incentivos para implement</w:t>
      </w:r>
      <w:r>
        <w:rPr>
          <w:rFonts w:ascii="Times New Roman" w:eastAsia="Times New Roman" w:hAnsi="Times New Roman" w:cs="Times New Roman"/>
          <w:noProof/>
          <w:sz w:val="24"/>
          <w:szCs w:val="24"/>
          <w:lang w:val="pt-PT" w:eastAsia="en-GB"/>
        </w:rPr>
        <w:t xml:space="preserve">ar a Abordagem Global de forma mais estruturada e sistemática, como sucedeu no quadro dos diálogos de alto nível, no âmbito dos quais os </w:t>
      </w:r>
      <w:r>
        <w:rPr>
          <w:rFonts w:ascii="Times New Roman" w:eastAsia="Times New Roman" w:hAnsi="Times New Roman" w:cs="Times New Roman"/>
          <w:noProof/>
          <w:spacing w:val="-3"/>
          <w:sz w:val="24"/>
          <w:szCs w:val="24"/>
          <w:lang w:val="pt-PT" w:eastAsia="en-GB"/>
        </w:rPr>
        <w:t xml:space="preserve">países </w:t>
      </w:r>
      <w:r>
        <w:rPr>
          <w:rFonts w:ascii="Times New Roman" w:eastAsia="Times New Roman" w:hAnsi="Times New Roman" w:cs="Times New Roman"/>
          <w:noProof/>
          <w:sz w:val="24"/>
          <w:szCs w:val="24"/>
          <w:lang w:val="pt-PT" w:eastAsia="en-GB"/>
        </w:rPr>
        <w:t>terceiros manifestam frequentemente o desejo de dispor de mais vias de migração legal.</w:t>
      </w:r>
    </w:p>
    <w:p w:rsidR="005165C6" w:rsidRDefault="005165C6">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Nas suas conclusões sobr</w:t>
      </w:r>
      <w:r>
        <w:rPr>
          <w:rFonts w:ascii="Times New Roman" w:eastAsia="Times New Roman" w:hAnsi="Times New Roman" w:cs="Times New Roman"/>
          <w:noProof/>
          <w:sz w:val="24"/>
          <w:szCs w:val="24"/>
          <w:lang w:val="pt-PT" w:eastAsia="en-GB"/>
        </w:rPr>
        <w:t>e a migração de 18 de fevereiro de 2016, o Conselho Europeu salientou que, no que se refere às relações com os países terceiros interessados, os pacotes de incentivos abrangentes e específicos que estão atualmente a ser preparados para determinados países,</w:t>
      </w:r>
      <w:r>
        <w:rPr>
          <w:rFonts w:ascii="Times New Roman" w:eastAsia="Times New Roman" w:hAnsi="Times New Roman" w:cs="Times New Roman"/>
          <w:noProof/>
          <w:sz w:val="24"/>
          <w:szCs w:val="24"/>
          <w:lang w:val="pt-PT" w:eastAsia="en-GB"/>
        </w:rPr>
        <w:t xml:space="preserve"> a fim de assegurar a eficácia dos regressos e das readmissões, requerem o pleno apoio da UE e dos seus Estados-Membros. A Comissão e a Alta Representante/Vice-Presidente prosseguem esses trabalhos, em cooperação com os Estados-Membros, a fim de propor ao </w:t>
      </w:r>
      <w:r>
        <w:rPr>
          <w:rFonts w:ascii="Times New Roman" w:eastAsia="Times New Roman" w:hAnsi="Times New Roman" w:cs="Times New Roman"/>
          <w:noProof/>
          <w:sz w:val="24"/>
          <w:szCs w:val="24"/>
          <w:lang w:val="pt-PT" w:eastAsia="en-GB"/>
        </w:rPr>
        <w:t xml:space="preserve">Conselho Europeu de abril incentivos abrangentes e adaptados, tanto positivos como negativos, que englobem todos os domínios políticos e possam ser utilizados nas </w:t>
      </w:r>
      <w:r>
        <w:rPr>
          <w:rFonts w:ascii="Times New Roman" w:eastAsia="Times New Roman" w:hAnsi="Times New Roman" w:cs="Times New Roman"/>
          <w:noProof/>
          <w:spacing w:val="-3"/>
          <w:sz w:val="24"/>
          <w:szCs w:val="24"/>
          <w:lang w:val="pt-PT" w:eastAsia="en-GB"/>
        </w:rPr>
        <w:t>negociações</w:t>
      </w:r>
      <w:r>
        <w:rPr>
          <w:rFonts w:ascii="Times New Roman" w:eastAsia="Times New Roman" w:hAnsi="Times New Roman" w:cs="Times New Roman"/>
          <w:noProof/>
          <w:sz w:val="24"/>
          <w:szCs w:val="24"/>
          <w:lang w:val="pt-PT" w:eastAsia="en-GB"/>
        </w:rPr>
        <w:t xml:space="preserve"> com países terceiros.</w:t>
      </w:r>
    </w:p>
    <w:p w:rsidR="005165C6" w:rsidRDefault="005165C6">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p>
    <w:p w:rsidR="005165C6" w:rsidRDefault="00280A37">
      <w:pPr>
        <w:autoSpaceDE w:val="0"/>
        <w:autoSpaceDN w:val="0"/>
        <w:adjustRightInd w:val="0"/>
        <w:spacing w:after="0"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Ao fazê-lo, a UE, em cooperação com os seus parceiros afri</w:t>
      </w:r>
      <w:r>
        <w:rPr>
          <w:rFonts w:ascii="Times New Roman" w:eastAsia="Times New Roman" w:hAnsi="Times New Roman" w:cs="Times New Roman"/>
          <w:noProof/>
          <w:sz w:val="24"/>
          <w:szCs w:val="24"/>
          <w:lang w:val="pt-PT" w:eastAsia="en-GB"/>
        </w:rPr>
        <w:t>canos, basear-se-á nas conclusões enunciadas no Plano de Ação de Valeta</w:t>
      </w:r>
      <w:r>
        <w:rPr>
          <w:rFonts w:ascii="Times New Roman" w:eastAsia="Times New Roman" w:hAnsi="Times New Roman" w:cs="Times New Roman"/>
          <w:noProof/>
          <w:sz w:val="24"/>
          <w:szCs w:val="24"/>
          <w:vertAlign w:val="superscript"/>
          <w:lang w:val="pt-PT" w:eastAsia="en-GB"/>
        </w:rPr>
        <w:footnoteReference w:id="50"/>
      </w:r>
      <w:r>
        <w:rPr>
          <w:rFonts w:ascii="Times New Roman" w:eastAsia="Times New Roman" w:hAnsi="Times New Roman" w:cs="Times New Roman"/>
          <w:noProof/>
          <w:sz w:val="24"/>
          <w:szCs w:val="24"/>
          <w:lang w:val="pt-PT" w:eastAsia="en-GB"/>
        </w:rPr>
        <w:t>, que inclui – entre as eventuais medidas a adotar no domínio da migração legal e da mobilidade – a centralização das ofertas de migração legal na UE, incluindo projetos</w:t>
      </w:r>
      <w:r>
        <w:rPr>
          <w:rFonts w:ascii="Times New Roman" w:eastAsia="Times New Roman" w:hAnsi="Times New Roman" w:cs="Times New Roman"/>
          <w:noProof/>
          <w:sz w:val="24"/>
          <w:szCs w:val="24"/>
          <w:lang w:val="pt-PT" w:eastAsia="en-GB"/>
        </w:rPr>
        <w:noBreakHyphen/>
        <w:t>piloto para fa</w:t>
      </w:r>
      <w:r>
        <w:rPr>
          <w:rFonts w:ascii="Times New Roman" w:eastAsia="Times New Roman" w:hAnsi="Times New Roman" w:cs="Times New Roman"/>
          <w:noProof/>
          <w:sz w:val="24"/>
          <w:szCs w:val="24"/>
          <w:lang w:val="pt-PT" w:eastAsia="en-GB"/>
        </w:rPr>
        <w:t>cilitar o reconhecimento das qualificações em certos setores ou profissões, o aumento do número de bolsas de estudo concedidas pelo programa Erasmus+ e a prestação de apoio a medidas prévias à partida e aos serviços públicos de emprego.</w:t>
      </w:r>
    </w:p>
    <w:p w:rsidR="005165C6" w:rsidRDefault="005165C6">
      <w:pPr>
        <w:autoSpaceDE w:val="0"/>
        <w:autoSpaceDN w:val="0"/>
        <w:adjustRightInd w:val="0"/>
        <w:spacing w:after="0" w:line="240" w:lineRule="auto"/>
        <w:jc w:val="both"/>
        <w:rPr>
          <w:rFonts w:ascii="Times New Roman" w:eastAsia="Times New Roman" w:hAnsi="Times New Roman" w:cs="Times New Roman"/>
          <w:b/>
          <w:noProof/>
          <w:sz w:val="24"/>
          <w:szCs w:val="24"/>
          <w:lang w:val="pt-PT" w:eastAsia="en-GB"/>
        </w:rPr>
      </w:pPr>
    </w:p>
    <w:p w:rsidR="005165C6" w:rsidRDefault="00280A37">
      <w:pPr>
        <w:spacing w:line="240" w:lineRule="auto"/>
        <w:jc w:val="both"/>
        <w:rPr>
          <w:rFonts w:ascii="Times New Roman" w:eastAsia="Times New Roman" w:hAnsi="Times New Roman" w:cs="Times New Roman"/>
          <w:b/>
          <w:noProof/>
          <w:sz w:val="24"/>
          <w:szCs w:val="24"/>
          <w:lang w:val="pt-PT" w:eastAsia="en-GB"/>
        </w:rPr>
      </w:pPr>
      <w:r>
        <w:rPr>
          <w:rFonts w:ascii="Times New Roman" w:eastAsia="Times New Roman" w:hAnsi="Times New Roman" w:cs="Times New Roman"/>
          <w:b/>
          <w:noProof/>
          <w:sz w:val="24"/>
          <w:szCs w:val="24"/>
          <w:lang w:val="pt-PT" w:eastAsia="en-GB"/>
        </w:rPr>
        <w:t>III. CONCLUSÃO</w:t>
      </w:r>
    </w:p>
    <w:p w:rsidR="005165C6" w:rsidRDefault="00280A37">
      <w:pPr>
        <w:spacing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A a</w:t>
      </w:r>
      <w:r>
        <w:rPr>
          <w:rFonts w:ascii="Times New Roman" w:eastAsia="Times New Roman" w:hAnsi="Times New Roman" w:cs="Times New Roman"/>
          <w:noProof/>
          <w:sz w:val="24"/>
          <w:szCs w:val="24"/>
          <w:lang w:val="pt-PT" w:eastAsia="en-GB"/>
        </w:rPr>
        <w:t>firmação do Presidente Juncker no sentido de que «</w:t>
      </w:r>
      <w:r>
        <w:rPr>
          <w:rFonts w:ascii="Times New Roman" w:eastAsia="Times New Roman" w:hAnsi="Times New Roman" w:cs="Times New Roman"/>
          <w:i/>
          <w:noProof/>
          <w:sz w:val="24"/>
          <w:szCs w:val="24"/>
          <w:lang w:val="pt-PT" w:eastAsia="en-GB"/>
        </w:rPr>
        <w:t>a Europa deve gerir melhor o fenómeno da migração em todos os seus aspetos</w:t>
      </w:r>
      <w:r>
        <w:rPr>
          <w:rFonts w:ascii="Times New Roman" w:eastAsia="Times New Roman" w:hAnsi="Times New Roman" w:cs="Times New Roman"/>
          <w:noProof/>
          <w:sz w:val="24"/>
          <w:szCs w:val="24"/>
          <w:lang w:val="pt-PT" w:eastAsia="en-GB"/>
        </w:rPr>
        <w:t>» – desde o imperativo humanitário, à necessidade de solidariedade e aos desafios em matéria de demografia e de competências – é hoj</w:t>
      </w:r>
      <w:r>
        <w:rPr>
          <w:rFonts w:ascii="Times New Roman" w:eastAsia="Times New Roman" w:hAnsi="Times New Roman" w:cs="Times New Roman"/>
          <w:noProof/>
          <w:sz w:val="24"/>
          <w:szCs w:val="24"/>
          <w:lang w:val="pt-PT" w:eastAsia="en-GB"/>
        </w:rPr>
        <w:t>e mais válida do que nunca. A Comissão está, pois, plenamente empenhada em atingir o ambicioso objetivo de conceber uma política de migração da UE integrada, sustentável e global.</w:t>
      </w:r>
    </w:p>
    <w:p w:rsidR="005165C6" w:rsidRDefault="00280A37">
      <w:pPr>
        <w:spacing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 xml:space="preserve">Para esse efeito, é importante que a presente comunicação sirva para lançar </w:t>
      </w:r>
      <w:r>
        <w:rPr>
          <w:rFonts w:ascii="Times New Roman" w:eastAsia="Times New Roman" w:hAnsi="Times New Roman" w:cs="Times New Roman"/>
          <w:noProof/>
          <w:sz w:val="24"/>
          <w:szCs w:val="24"/>
          <w:lang w:val="pt-PT" w:eastAsia="en-GB"/>
        </w:rPr>
        <w:t xml:space="preserve">o debate sobre as principais questões tratadas. Não temos outra alternativa senão prosseguir a estratégia assente em duas vertentes visando estabilizar a situação atual através do estrito respeito e aplicação integral do </w:t>
      </w:r>
      <w:r>
        <w:rPr>
          <w:rFonts w:ascii="Times New Roman" w:eastAsia="Times New Roman" w:hAnsi="Times New Roman" w:cs="Times New Roman"/>
          <w:noProof/>
          <w:spacing w:val="-3"/>
          <w:sz w:val="24"/>
          <w:szCs w:val="24"/>
          <w:lang w:val="pt-PT" w:eastAsia="en-GB"/>
        </w:rPr>
        <w:t xml:space="preserve">quadro </w:t>
      </w:r>
      <w:r>
        <w:rPr>
          <w:rFonts w:ascii="Times New Roman" w:eastAsia="Times New Roman" w:hAnsi="Times New Roman" w:cs="Times New Roman"/>
          <w:noProof/>
          <w:sz w:val="24"/>
          <w:szCs w:val="24"/>
          <w:lang w:val="pt-PT" w:eastAsia="en-GB"/>
        </w:rPr>
        <w:t xml:space="preserve">jurídico em vigor, enquanto </w:t>
      </w:r>
      <w:r>
        <w:rPr>
          <w:rFonts w:ascii="Times New Roman" w:eastAsia="Times New Roman" w:hAnsi="Times New Roman" w:cs="Times New Roman"/>
          <w:noProof/>
          <w:sz w:val="24"/>
          <w:szCs w:val="24"/>
          <w:lang w:val="pt-PT" w:eastAsia="en-GB"/>
        </w:rPr>
        <w:t>procuramos responder à necessidade, numa perspetiva focada no futuro, de reformar a arquitetura dessas normas. A crise atual veio evidenciar as limitações do sistema em vigor e os desafios comuns com que nos confrontamos.</w:t>
      </w:r>
    </w:p>
    <w:p w:rsidR="005165C6" w:rsidRDefault="00280A37">
      <w:pPr>
        <w:spacing w:line="240" w:lineRule="auto"/>
        <w:jc w:val="both"/>
        <w:rPr>
          <w:rFonts w:ascii="Times New Roman" w:eastAsia="Times New Roman" w:hAnsi="Times New Roman" w:cs="Times New Roman"/>
          <w:noProof/>
          <w:sz w:val="24"/>
          <w:szCs w:val="24"/>
          <w:lang w:val="pt-PT" w:eastAsia="en-GB"/>
        </w:rPr>
      </w:pPr>
      <w:r>
        <w:rPr>
          <w:rFonts w:ascii="Times New Roman" w:eastAsia="Times New Roman" w:hAnsi="Times New Roman" w:cs="Times New Roman"/>
          <w:noProof/>
          <w:sz w:val="24"/>
          <w:szCs w:val="24"/>
          <w:lang w:val="pt-PT" w:eastAsia="en-GB"/>
        </w:rPr>
        <w:t>Por conseguinte, é precisamente no</w:t>
      </w:r>
      <w:r>
        <w:rPr>
          <w:rFonts w:ascii="Times New Roman" w:eastAsia="Times New Roman" w:hAnsi="Times New Roman" w:cs="Times New Roman"/>
          <w:noProof/>
          <w:sz w:val="24"/>
          <w:szCs w:val="24"/>
          <w:lang w:val="pt-PT" w:eastAsia="en-GB"/>
        </w:rPr>
        <w:t xml:space="preserve"> momento em que uma ação concertada e uma forte solidariedade são mais necessárias que essa perspetiva é imprescindível para abrir o caminho a uma </w:t>
      </w:r>
      <w:r>
        <w:rPr>
          <w:rFonts w:ascii="Times New Roman" w:eastAsia="Times New Roman" w:hAnsi="Times New Roman" w:cs="Times New Roman"/>
          <w:noProof/>
          <w:spacing w:val="-3"/>
          <w:sz w:val="24"/>
          <w:szCs w:val="24"/>
          <w:lang w:val="pt-PT" w:eastAsia="en-GB"/>
        </w:rPr>
        <w:t>polític</w:t>
      </w:r>
      <w:r>
        <w:rPr>
          <w:rFonts w:ascii="Times New Roman" w:eastAsia="Times New Roman" w:hAnsi="Times New Roman" w:cs="Times New Roman"/>
          <w:noProof/>
          <w:sz w:val="24"/>
          <w:szCs w:val="24"/>
          <w:lang w:val="pt-PT" w:eastAsia="en-GB"/>
        </w:rPr>
        <w:t xml:space="preserve">a europeia em matéria de migração e asilo humana e eficaz, assente numa partilha equitativa das </w:t>
      </w:r>
      <w:r>
        <w:rPr>
          <w:rFonts w:ascii="Times New Roman" w:eastAsia="Times New Roman" w:hAnsi="Times New Roman" w:cs="Times New Roman"/>
          <w:noProof/>
          <w:spacing w:val="-3"/>
          <w:sz w:val="24"/>
          <w:szCs w:val="24"/>
          <w:lang w:val="pt-PT" w:eastAsia="en-GB"/>
        </w:rPr>
        <w:t>respon</w:t>
      </w:r>
      <w:r>
        <w:rPr>
          <w:rFonts w:ascii="Times New Roman" w:eastAsia="Times New Roman" w:hAnsi="Times New Roman" w:cs="Times New Roman"/>
          <w:noProof/>
          <w:spacing w:val="-3"/>
          <w:sz w:val="24"/>
          <w:szCs w:val="24"/>
          <w:lang w:val="pt-PT" w:eastAsia="en-GB"/>
        </w:rPr>
        <w:t>sabilidade</w:t>
      </w:r>
      <w:r>
        <w:rPr>
          <w:rFonts w:ascii="Times New Roman" w:eastAsia="Times New Roman" w:hAnsi="Times New Roman" w:cs="Times New Roman"/>
          <w:noProof/>
          <w:sz w:val="24"/>
          <w:szCs w:val="24"/>
          <w:lang w:val="pt-PT" w:eastAsia="en-GB"/>
        </w:rPr>
        <w:t>s. Em função do acolhimento que for dispensado à presente comunicação, a Comissão apresentará seguidamente as propostas adequadas.</w:t>
      </w:r>
    </w:p>
    <w:sectPr w:rsidR="005165C6" w:rsidSect="00280A37">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C6" w:rsidRDefault="00280A37">
      <w:pPr>
        <w:spacing w:after="0" w:line="240" w:lineRule="auto"/>
      </w:pPr>
      <w:r>
        <w:separator/>
      </w:r>
    </w:p>
  </w:endnote>
  <w:endnote w:type="continuationSeparator" w:id="0">
    <w:p w:rsidR="005165C6" w:rsidRDefault="0028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280A37">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34109"/>
      <w:docPartObj>
        <w:docPartGallery w:val="Page Numbers (Bottom of Page)"/>
        <w:docPartUnique/>
      </w:docPartObj>
    </w:sdtPr>
    <w:sdtEndPr>
      <w:rPr>
        <w:noProof/>
      </w:rPr>
    </w:sdtEndPr>
    <w:sdtContent>
      <w:p w:rsidR="005165C6" w:rsidRDefault="00280A3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165C6" w:rsidRDefault="005165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C6" w:rsidRDefault="00280A37">
      <w:pPr>
        <w:spacing w:after="0" w:line="240" w:lineRule="auto"/>
      </w:pPr>
      <w:r>
        <w:separator/>
      </w:r>
    </w:p>
  </w:footnote>
  <w:footnote w:type="continuationSeparator" w:id="0">
    <w:p w:rsidR="005165C6" w:rsidRDefault="00280A37">
      <w:pPr>
        <w:spacing w:after="0" w:line="240" w:lineRule="auto"/>
      </w:pPr>
      <w:r>
        <w:continuationSeparator/>
      </w:r>
    </w:p>
  </w:footnote>
  <w:footnote w:id="1">
    <w:p w:rsidR="005165C6" w:rsidRDefault="00280A37">
      <w:pPr>
        <w:pStyle w:val="FootnoteText"/>
        <w:rPr>
          <w:lang w:val="pt-PT"/>
        </w:rPr>
      </w:pPr>
      <w:r>
        <w:rPr>
          <w:rStyle w:val="FootnoteReference"/>
        </w:rPr>
        <w:footnoteRef/>
      </w:r>
      <w:r>
        <w:rPr>
          <w:lang w:val="pt-PT"/>
        </w:rPr>
        <w:t xml:space="preserve"> COM(2016) 85 final.</w:t>
      </w:r>
    </w:p>
  </w:footnote>
  <w:footnote w:id="2">
    <w:p w:rsidR="005165C6" w:rsidRDefault="00280A37">
      <w:pPr>
        <w:pStyle w:val="FootnoteText"/>
        <w:rPr>
          <w:lang w:val="pt-PT"/>
        </w:rPr>
      </w:pPr>
      <w:r>
        <w:rPr>
          <w:rStyle w:val="FootnoteReference"/>
        </w:rPr>
        <w:footnoteRef/>
      </w:r>
      <w:r>
        <w:rPr>
          <w:lang w:val="pt-PT"/>
        </w:rPr>
        <w:t xml:space="preserve"> COM(2015) 240 final.</w:t>
      </w:r>
    </w:p>
  </w:footnote>
  <w:footnote w:id="3">
    <w:p w:rsidR="005165C6" w:rsidRDefault="00280A37">
      <w:pPr>
        <w:pStyle w:val="FootnoteText"/>
        <w:rPr>
          <w:lang w:val="pt-PT"/>
        </w:rPr>
      </w:pPr>
      <w:r>
        <w:rPr>
          <w:rStyle w:val="FootnoteReference"/>
        </w:rPr>
        <w:footnoteRef/>
      </w:r>
      <w:r>
        <w:rPr>
          <w:lang w:val="pt-PT"/>
        </w:rPr>
        <w:t xml:space="preserve"> EUCO 1/16; SN 28/16.</w:t>
      </w:r>
    </w:p>
  </w:footnote>
  <w:footnote w:id="4">
    <w:p w:rsidR="005165C6" w:rsidRDefault="00280A37">
      <w:pPr>
        <w:pStyle w:val="FootnoteText"/>
        <w:rPr>
          <w:lang w:val="pt-PT"/>
        </w:rPr>
      </w:pPr>
      <w:r>
        <w:rPr>
          <w:rStyle w:val="FootnoteReference"/>
        </w:rPr>
        <w:footnoteRef/>
      </w:r>
      <w:r>
        <w:rPr>
          <w:lang w:val="pt-PT"/>
        </w:rPr>
        <w:t xml:space="preserve"> EUCO 12/1/16.</w:t>
      </w:r>
    </w:p>
  </w:footnote>
  <w:footnote w:id="5">
    <w:p w:rsidR="005165C6" w:rsidRDefault="00280A37">
      <w:pPr>
        <w:pStyle w:val="FootnoteText"/>
        <w:rPr>
          <w:lang w:val="pt-PT"/>
        </w:rPr>
      </w:pPr>
      <w:r>
        <w:rPr>
          <w:rStyle w:val="FootnoteReference"/>
        </w:rPr>
        <w:footnoteRef/>
      </w:r>
      <w:r>
        <w:rPr>
          <w:lang w:val="pt-PT"/>
        </w:rPr>
        <w:t xml:space="preserve"> COM(2015) 671 final.</w:t>
      </w:r>
    </w:p>
  </w:footnote>
  <w:footnote w:id="6">
    <w:p w:rsidR="005165C6" w:rsidRDefault="00280A37">
      <w:pPr>
        <w:pStyle w:val="FootnoteText"/>
        <w:rPr>
          <w:lang w:val="pt-PT"/>
        </w:rPr>
      </w:pPr>
      <w:r>
        <w:rPr>
          <w:rStyle w:val="FootnoteReference"/>
        </w:rPr>
        <w:footnoteRef/>
      </w:r>
      <w:r>
        <w:rPr>
          <w:lang w:val="pt-PT"/>
        </w:rPr>
        <w:t xml:space="preserve"> COM(2015) 285 final.</w:t>
      </w:r>
    </w:p>
  </w:footnote>
  <w:footnote w:id="7">
    <w:p w:rsidR="005165C6" w:rsidRDefault="00280A37">
      <w:pPr>
        <w:pStyle w:val="FootnoteText"/>
        <w:rPr>
          <w:lang w:val="pt-PT"/>
        </w:rPr>
      </w:pPr>
      <w:r>
        <w:rPr>
          <w:rStyle w:val="FootnoteReference"/>
        </w:rPr>
        <w:footnoteRef/>
      </w:r>
      <w:r>
        <w:rPr>
          <w:lang w:val="pt-PT"/>
        </w:rPr>
        <w:t xml:space="preserve"> COM(2015) 668 final.</w:t>
      </w:r>
    </w:p>
  </w:footnote>
  <w:footnote w:id="8">
    <w:p w:rsidR="005165C6" w:rsidRDefault="00280A37">
      <w:pPr>
        <w:pStyle w:val="FootnoteText"/>
        <w:jc w:val="both"/>
        <w:rPr>
          <w:lang w:val="pt-PT"/>
        </w:rPr>
      </w:pPr>
      <w:r>
        <w:rPr>
          <w:rStyle w:val="FootnoteReference"/>
        </w:rPr>
        <w:footnoteRef/>
      </w:r>
      <w:r>
        <w:rPr>
          <w:lang w:val="pt-PT"/>
        </w:rPr>
        <w:t xml:space="preserve"> </w:t>
      </w:r>
      <w:r>
        <w:rPr>
          <w:rStyle w:val="Strong"/>
          <w:b w:val="0"/>
          <w:lang w:val="pt-PT"/>
        </w:rPr>
        <w:t>Regulamento (UE) n.º 604/2013 do Parlamento Europeu e do Conselho, de 26 de junho de 2013, que estabelece os critérios e mecanismos de determinação do Estado-Membro respo</w:t>
      </w:r>
      <w:r>
        <w:rPr>
          <w:rStyle w:val="Strong"/>
          <w:b w:val="0"/>
          <w:lang w:val="pt-PT"/>
        </w:rPr>
        <w:t xml:space="preserve">nsável pela análise de um pedido de proteção internacional apresentado num dos Estados-Membros por um nacional de um país terceiro ou por um apátrida, JO L 180 de 29.6.2013, p. 31. </w:t>
      </w:r>
      <w:r>
        <w:rPr>
          <w:lang w:val="pt-PT"/>
        </w:rPr>
        <w:t>O Reino Unido e a Irlanda estão vinculados por este regulamento, na sequênc</w:t>
      </w:r>
      <w:r>
        <w:rPr>
          <w:lang w:val="pt-PT"/>
        </w:rPr>
        <w:t xml:space="preserve">ia da notificação da intenção de participarem na sua adoção e aplicação, com base no Protocolo n.º 21 dos Tratados. A posição destes Estados-Membros relativamente a qualquer alteração a este regulamento é definida pelo Protocolo n.º 21. A Dinamarca aplica </w:t>
      </w:r>
      <w:r>
        <w:rPr>
          <w:lang w:val="pt-PT"/>
        </w:rPr>
        <w:t>o Regulamento de Dublim com base num acordo internacional (JO L 66 de 8.3.2006, p. 38). Em conformidade com o artigo 3.º desse acordo, deve notificar à Comissão a sua decisão de aplicar ou não o conteúdo de qualquer alteração ao regulamento.</w:t>
      </w:r>
    </w:p>
  </w:footnote>
  <w:footnote w:id="9">
    <w:p w:rsidR="005165C6" w:rsidRDefault="00280A37">
      <w:pPr>
        <w:pStyle w:val="FootnoteText"/>
        <w:jc w:val="both"/>
        <w:rPr>
          <w:lang w:val="x-none"/>
        </w:rPr>
      </w:pPr>
      <w:r>
        <w:rPr>
          <w:rStyle w:val="FootnoteReference"/>
        </w:rPr>
        <w:footnoteRef/>
      </w:r>
      <w:r>
        <w:rPr>
          <w:lang w:val="pt-PT"/>
        </w:rPr>
        <w:t xml:space="preserve"> Esta hipótes</w:t>
      </w:r>
      <w:r>
        <w:rPr>
          <w:lang w:val="pt-PT"/>
        </w:rPr>
        <w:t xml:space="preserve">e foi confirmada por uma avaliação externa sobre a aplicação do Regulamento (UE) n.º 604/2013 (Regulamento Dublim III) e por um relatório de avaliação, ambos disponíveis em: </w:t>
      </w:r>
      <w:hyperlink r:id="rId1" w:history="1">
        <w:r>
          <w:rPr>
            <w:rStyle w:val="Hyperlink"/>
            <w:lang w:val="pt-PT"/>
          </w:rPr>
          <w:t>http://ec.europa.eu/dgs/home-affairs/what-we-do/policies/asylum/examination-of-applicants/index_en.htm</w:t>
        </w:r>
      </w:hyperlink>
      <w:r>
        <w:rPr>
          <w:lang w:val="pt-PT"/>
        </w:rPr>
        <w:t>.</w:t>
      </w:r>
    </w:p>
  </w:footnote>
  <w:footnote w:id="10">
    <w:p w:rsidR="005165C6" w:rsidRDefault="00280A37">
      <w:pPr>
        <w:pStyle w:val="FootnoteText"/>
        <w:rPr>
          <w:lang w:val="pt-PT"/>
        </w:rPr>
      </w:pPr>
      <w:r>
        <w:rPr>
          <w:rStyle w:val="FootnoteReference"/>
        </w:rPr>
        <w:footnoteRef/>
      </w:r>
      <w:r>
        <w:rPr>
          <w:lang w:val="pt-PT"/>
        </w:rPr>
        <w:t xml:space="preserve"> Em 10 de fevereiro de 2016, a Comissão adotou uma recomendação [C(2016) 871 final] sobre as medidas que a Grécia </w:t>
      </w:r>
      <w:r>
        <w:rPr>
          <w:lang w:val="pt-PT"/>
        </w:rPr>
        <w:t>deve adotar com urgência para permitir a retoma das transferências ao abrigo do Regulamento de Dublim.</w:t>
      </w:r>
    </w:p>
  </w:footnote>
  <w:footnote w:id="11">
    <w:p w:rsidR="005165C6" w:rsidRDefault="00280A37">
      <w:pPr>
        <w:pStyle w:val="FootnoteText"/>
        <w:jc w:val="both"/>
        <w:rPr>
          <w:lang w:val="pt-PT"/>
        </w:rPr>
      </w:pPr>
      <w:r>
        <w:rPr>
          <w:rStyle w:val="FootnoteReference"/>
        </w:rPr>
        <w:footnoteRef/>
      </w:r>
      <w:r>
        <w:rPr>
          <w:lang w:val="pt-PT"/>
        </w:rPr>
        <w:t xml:space="preserve">Diretiva 2013/32/UE do Parlamento Europeu e do Conselho, de 26 de junho de 2013, relativa a procedimentos comuns de concessão e retirada do estatuto de </w:t>
      </w:r>
      <w:r>
        <w:rPr>
          <w:lang w:val="pt-PT"/>
        </w:rPr>
        <w:t xml:space="preserve">proteção internacional, JO L 180 de 29.6.2013, p. 249. </w:t>
      </w:r>
    </w:p>
  </w:footnote>
  <w:footnote w:id="12">
    <w:p w:rsidR="005165C6" w:rsidRDefault="00280A37">
      <w:pPr>
        <w:pStyle w:val="FootnoteText"/>
        <w:jc w:val="both"/>
        <w:rPr>
          <w:lang w:val="pt-PT"/>
        </w:rPr>
      </w:pPr>
      <w:r>
        <w:rPr>
          <w:rStyle w:val="FootnoteReference"/>
        </w:rPr>
        <w:footnoteRef/>
      </w:r>
      <w:r>
        <w:rPr>
          <w:lang w:val="pt-PT"/>
        </w:rPr>
        <w:t xml:space="preserve"> Diretiva 2013/33/UE do Parlamento Europeu e do Conselho, de 26 de junho de 2013, que estabelece normas em matéria de acolhimento dos requerentes de proteção internacional, JO L 180 de 29.6.2013, p. </w:t>
      </w:r>
      <w:r>
        <w:rPr>
          <w:lang w:val="pt-PT"/>
        </w:rPr>
        <w:t>96.</w:t>
      </w:r>
    </w:p>
  </w:footnote>
  <w:footnote w:id="13">
    <w:p w:rsidR="005165C6" w:rsidRDefault="00280A37">
      <w:pPr>
        <w:pStyle w:val="FootnoteText"/>
        <w:jc w:val="both"/>
        <w:rPr>
          <w:lang w:val="pt-PT"/>
        </w:rPr>
      </w:pPr>
      <w:r>
        <w:rPr>
          <w:rStyle w:val="FootnoteReference"/>
        </w:rPr>
        <w:footnoteRef/>
      </w:r>
      <w:r>
        <w:rPr>
          <w:lang w:val="pt-PT"/>
        </w:rPr>
        <w:t xml:space="preserve"> Diretiva 2011/95/UE do Parlamento Europeu e do Conselho, de 13 de dezembro de 2011, que estabelece normas relativas às condições a preencher pelos nacionais de países terceiros ou por apátridas para poderem beneficiar de proteção internacional, a um </w:t>
      </w:r>
      <w:r>
        <w:rPr>
          <w:lang w:val="pt-PT"/>
        </w:rPr>
        <w:t>estatuto uniforme para refugiados ou pessoas elegíveis para proteção subsidiária e ao conteúdo da proteção concedida, JO L 337 de 20.12.2011, p. 9.</w:t>
      </w:r>
    </w:p>
  </w:footnote>
  <w:footnote w:id="14">
    <w:p w:rsidR="005165C6" w:rsidRDefault="00280A37">
      <w:pPr>
        <w:pStyle w:val="FootnoteText"/>
        <w:rPr>
          <w:lang w:val="pt-PT"/>
        </w:rPr>
      </w:pPr>
      <w:r>
        <w:rPr>
          <w:rStyle w:val="FootnoteReference"/>
        </w:rPr>
        <w:footnoteRef/>
      </w:r>
      <w:r>
        <w:rPr>
          <w:lang w:val="pt-PT"/>
        </w:rPr>
        <w:t xml:space="preserve"> Por exemplo, no período compreendido entre janeiro e setembro de 2015, as taxas de reconhecimento de reque</w:t>
      </w:r>
      <w:r>
        <w:rPr>
          <w:lang w:val="pt-PT"/>
        </w:rPr>
        <w:t xml:space="preserve">rentes de asilo provenientes do Afeganistão variou entre quase 100 % em Itália e 5,88 % na Bulgária. </w:t>
      </w:r>
    </w:p>
  </w:footnote>
  <w:footnote w:id="15">
    <w:p w:rsidR="005165C6" w:rsidRDefault="00280A37">
      <w:pPr>
        <w:pStyle w:val="FootnoteText"/>
        <w:rPr>
          <w:lang w:val="pt-PT"/>
        </w:rPr>
      </w:pPr>
      <w:r>
        <w:rPr>
          <w:rStyle w:val="FootnoteReference"/>
        </w:rPr>
        <w:footnoteRef/>
      </w:r>
      <w:r>
        <w:rPr>
          <w:lang w:val="pt-PT"/>
        </w:rPr>
        <w:t xml:space="preserve"> Em 10 de fevereiro de 2016, a Comissão adotou pareceres fundamentados contra Estados-Membros em nove processos por infração relativos à não transposição</w:t>
      </w:r>
      <w:r>
        <w:rPr>
          <w:lang w:val="pt-PT"/>
        </w:rPr>
        <w:t xml:space="preserve"> das diretivas que fazem parte do Sistema Europeu Comum de Asilo. </w:t>
      </w:r>
    </w:p>
  </w:footnote>
  <w:footnote w:id="16">
    <w:p w:rsidR="005165C6" w:rsidRDefault="00280A37">
      <w:pPr>
        <w:pStyle w:val="FootnoteText"/>
        <w:jc w:val="both"/>
        <w:rPr>
          <w:lang w:val="pt-PT"/>
        </w:rPr>
      </w:pPr>
      <w:r>
        <w:rPr>
          <w:rStyle w:val="FootnoteReference"/>
        </w:rPr>
        <w:footnoteRef/>
      </w:r>
      <w:r>
        <w:rPr>
          <w:lang w:val="pt-PT"/>
        </w:rPr>
        <w:t xml:space="preserve"> Diretiva 2001/55/CE do Conselho, de 20 de julho de 2001, JO L 212 de 7.8.2001. Este instrumento da UE relativo ao asilo, destinado a ser acionado em resposta ao afluxo maciço de pessoas c</w:t>
      </w:r>
      <w:r>
        <w:rPr>
          <w:lang w:val="pt-PT"/>
        </w:rPr>
        <w:t>om necessidade de proteção internacional, nunca foi aplicado, principalmente devido à falta de um mecanismo de solidariedade obrigatório integrado para assegurar uma partilha equitativa da responsabilidade entre os Estados-Membros.</w:t>
      </w:r>
    </w:p>
  </w:footnote>
  <w:footnote w:id="17">
    <w:p w:rsidR="005165C6" w:rsidRDefault="00280A37">
      <w:pPr>
        <w:pStyle w:val="FootnoteText"/>
        <w:rPr>
          <w:lang w:val="pt-PT"/>
        </w:rPr>
      </w:pPr>
      <w:r>
        <w:rPr>
          <w:rStyle w:val="FootnoteReference"/>
        </w:rPr>
        <w:footnoteRef/>
      </w:r>
      <w:r>
        <w:rPr>
          <w:lang w:val="pt-PT"/>
        </w:rPr>
        <w:t xml:space="preserve"> COM(2015) 450 final.</w:t>
      </w:r>
    </w:p>
  </w:footnote>
  <w:footnote w:id="18">
    <w:p w:rsidR="005165C6" w:rsidRDefault="00280A37">
      <w:pPr>
        <w:pStyle w:val="FootnoteText"/>
        <w:rPr>
          <w:lang w:val="pt-PT"/>
        </w:rPr>
      </w:pPr>
      <w:r>
        <w:rPr>
          <w:rStyle w:val="FootnoteReference"/>
        </w:rPr>
        <w:footnoteRef/>
      </w:r>
      <w:r>
        <w:rPr>
          <w:lang w:val="pt-PT"/>
        </w:rPr>
        <w:t xml:space="preserve"> COM(2015) 671 final.</w:t>
      </w:r>
    </w:p>
  </w:footnote>
  <w:footnote w:id="19">
    <w:p w:rsidR="005165C6" w:rsidRDefault="00280A37">
      <w:pPr>
        <w:pStyle w:val="FootnoteText"/>
        <w:rPr>
          <w:lang w:val="pt-PT"/>
        </w:rPr>
      </w:pPr>
      <w:r>
        <w:rPr>
          <w:rStyle w:val="FootnoteReference"/>
        </w:rPr>
        <w:footnoteRef/>
      </w:r>
      <w:r>
        <w:rPr>
          <w:lang w:val="pt-PT"/>
        </w:rPr>
        <w:t xml:space="preserve"> Por exemplo, todos os requerentes não provenientes de um país de origem designado como seguro pela UE.</w:t>
      </w:r>
    </w:p>
  </w:footnote>
  <w:footnote w:id="20">
    <w:p w:rsidR="005165C6" w:rsidRDefault="00280A37">
      <w:pPr>
        <w:pStyle w:val="FootnoteText"/>
        <w:jc w:val="both"/>
        <w:rPr>
          <w:lang w:val="pt-PT"/>
        </w:rPr>
      </w:pPr>
      <w:r>
        <w:rPr>
          <w:rStyle w:val="FootnoteReference"/>
        </w:rPr>
        <w:footnoteRef/>
      </w:r>
      <w:r>
        <w:rPr>
          <w:lang w:val="pt-PT"/>
        </w:rPr>
        <w:t xml:space="preserve"> Embora a chave de repartição pudesse seguir a mesma abordagem no âmbito dos regimes de recolocação atual e proposto, a conceção da chave poderá ser objeto de uma reflexão mais aprofundada, em especial no que toca à consideração de critérios como a populaç</w:t>
      </w:r>
      <w:r>
        <w:rPr>
          <w:lang w:val="pt-PT"/>
        </w:rPr>
        <w:t>ão de refugiados nos Estados-Membros e as taxas de desemprego, bem como outros esforços já envidados, incluindo através da reinstalação.</w:t>
      </w:r>
    </w:p>
  </w:footnote>
  <w:footnote w:id="21">
    <w:p w:rsidR="005165C6" w:rsidRDefault="00280A37">
      <w:pPr>
        <w:pStyle w:val="FootnoteText"/>
        <w:rPr>
          <w:lang w:val="pt-PT"/>
        </w:rPr>
      </w:pPr>
      <w:r>
        <w:rPr>
          <w:rStyle w:val="FootnoteReference"/>
        </w:rPr>
        <w:footnoteRef/>
      </w:r>
      <w:r>
        <w:rPr>
          <w:lang w:val="pt-PT"/>
        </w:rPr>
        <w:t xml:space="preserve"> Em 2015, foram apresentados 1,3 milhões de pedidos na UE. </w:t>
      </w:r>
    </w:p>
  </w:footnote>
  <w:footnote w:id="22">
    <w:p w:rsidR="005165C6" w:rsidRDefault="00280A37">
      <w:pPr>
        <w:pStyle w:val="FootnoteText"/>
        <w:rPr>
          <w:lang w:val="pt-PT"/>
        </w:rPr>
      </w:pPr>
      <w:r>
        <w:rPr>
          <w:rStyle w:val="FootnoteReference"/>
        </w:rPr>
        <w:footnoteRef/>
      </w:r>
      <w:r>
        <w:rPr>
          <w:lang w:val="pt-PT"/>
        </w:rPr>
        <w:t xml:space="preserve"> COM(2016)205 final.</w:t>
      </w:r>
    </w:p>
  </w:footnote>
  <w:footnote w:id="23">
    <w:p w:rsidR="005165C6" w:rsidRDefault="00280A37">
      <w:pPr>
        <w:pStyle w:val="FootnoteText"/>
        <w:rPr>
          <w:lang w:val="pt-PT"/>
        </w:rPr>
      </w:pPr>
      <w:r>
        <w:rPr>
          <w:rStyle w:val="FootnoteReference"/>
        </w:rPr>
        <w:footnoteRef/>
      </w:r>
      <w:r>
        <w:rPr>
          <w:lang w:val="pt-PT"/>
        </w:rPr>
        <w:t xml:space="preserve"> COM(2015) 240 final.</w:t>
      </w:r>
    </w:p>
  </w:footnote>
  <w:footnote w:id="24">
    <w:p w:rsidR="005165C6" w:rsidRDefault="00280A37">
      <w:pPr>
        <w:pStyle w:val="FootnoteText"/>
        <w:rPr>
          <w:lang w:val="pt-PT"/>
        </w:rPr>
      </w:pPr>
      <w:r>
        <w:rPr>
          <w:rStyle w:val="FootnoteReference"/>
        </w:rPr>
        <w:footnoteRef/>
      </w:r>
      <w:r>
        <w:rPr>
          <w:lang w:val="pt-PT"/>
        </w:rPr>
        <w:t xml:space="preserve"> Diretiva 2013/33/UE do Parlamento Europeu e do Conselho, de 26 de junho de 2013, que estabelece normas em matéria de acolhimento dos requerentes de proteção internacional, JO L 180 de 29.6.2013, p. 96.</w:t>
      </w:r>
    </w:p>
  </w:footnote>
  <w:footnote w:id="25">
    <w:p w:rsidR="005165C6" w:rsidRDefault="00280A37">
      <w:pPr>
        <w:pStyle w:val="FootnoteText"/>
        <w:jc w:val="both"/>
        <w:rPr>
          <w:lang w:val="pt-PT"/>
        </w:rPr>
      </w:pPr>
      <w:r>
        <w:rPr>
          <w:rStyle w:val="FootnoteReference"/>
        </w:rPr>
        <w:footnoteRef/>
      </w:r>
      <w:r>
        <w:rPr>
          <w:lang w:val="pt-PT"/>
        </w:rPr>
        <w:t xml:space="preserve"> Diretiva 2011/51/UE do Parlamento Europeu e do Cons</w:t>
      </w:r>
      <w:r>
        <w:rPr>
          <w:lang w:val="pt-PT"/>
        </w:rPr>
        <w:t>elho, de 11 de maio de 2011, que altera a Diretiva 2003/109/CE do Conselho de modo a alargar o seu âmbito de aplicação aos beneficiários de proteção internacional, JO L 132 de 19.5.2011, p. 1.</w:t>
      </w:r>
    </w:p>
  </w:footnote>
  <w:footnote w:id="26">
    <w:p w:rsidR="005165C6" w:rsidRDefault="00280A37">
      <w:pPr>
        <w:pStyle w:val="FootnoteText"/>
        <w:rPr>
          <w:lang w:val="pt-PT"/>
        </w:rPr>
      </w:pPr>
      <w:r>
        <w:rPr>
          <w:vertAlign w:val="superscript"/>
        </w:rPr>
        <w:footnoteRef/>
      </w:r>
      <w:r>
        <w:rPr>
          <w:lang w:val="pt-PT"/>
        </w:rPr>
        <w:tab/>
        <w:t>Proposta de regulamento do Conselho relativo à prestação de a</w:t>
      </w:r>
      <w:r>
        <w:rPr>
          <w:lang w:val="pt-PT"/>
        </w:rPr>
        <w:t>juda de emergência no âmbito da União, COM(2016) 115 final.</w:t>
      </w:r>
    </w:p>
  </w:footnote>
  <w:footnote w:id="27">
    <w:p w:rsidR="005165C6" w:rsidRDefault="00280A37">
      <w:pPr>
        <w:pStyle w:val="Default"/>
        <w:jc w:val="both"/>
        <w:rPr>
          <w:lang w:val="pt-PT"/>
        </w:rPr>
      </w:pPr>
      <w:r>
        <w:rPr>
          <w:rStyle w:val="FootnoteReference"/>
        </w:rPr>
        <w:footnoteRef/>
      </w:r>
      <w:r>
        <w:rPr>
          <w:sz w:val="20"/>
          <w:szCs w:val="20"/>
          <w:lang w:val="pt-PT"/>
        </w:rPr>
        <w:t xml:space="preserve"> COM(2016) 95 final.</w:t>
      </w:r>
    </w:p>
  </w:footnote>
  <w:footnote w:id="28">
    <w:p w:rsidR="005165C6" w:rsidRDefault="00280A37">
      <w:pPr>
        <w:pStyle w:val="FootnoteText"/>
        <w:rPr>
          <w:lang w:val="pt-PT"/>
        </w:rPr>
      </w:pPr>
      <w:r>
        <w:rPr>
          <w:rStyle w:val="FootnoteReference"/>
        </w:rPr>
        <w:footnoteRef/>
      </w:r>
      <w:r>
        <w:rPr>
          <w:lang w:val="pt-PT"/>
        </w:rPr>
        <w:t xml:space="preserve"> SN 38/16.</w:t>
      </w:r>
    </w:p>
  </w:footnote>
  <w:footnote w:id="29">
    <w:p w:rsidR="005165C6" w:rsidRDefault="00280A37">
      <w:pPr>
        <w:pStyle w:val="FootnoteText"/>
        <w:rPr>
          <w:lang w:val="pt-PT"/>
        </w:rPr>
      </w:pPr>
      <w:r>
        <w:rPr>
          <w:rStyle w:val="FootnoteReference"/>
        </w:rPr>
        <w:footnoteRef/>
      </w:r>
      <w:r>
        <w:rPr>
          <w:lang w:val="pt-PT"/>
        </w:rPr>
        <w:t xml:space="preserve"> COM(2016) 171 final.</w:t>
      </w:r>
    </w:p>
  </w:footnote>
  <w:footnote w:id="30">
    <w:p w:rsidR="005165C6" w:rsidRDefault="00280A37">
      <w:pPr>
        <w:pStyle w:val="FootnoteText"/>
        <w:jc w:val="both"/>
        <w:rPr>
          <w:lang w:val="pt-PT"/>
        </w:rPr>
      </w:pPr>
      <w:r>
        <w:rPr>
          <w:vertAlign w:val="superscript"/>
          <w:lang w:val="pt-PT"/>
        </w:rPr>
        <w:footnoteRef/>
      </w:r>
      <w:r>
        <w:rPr>
          <w:lang w:val="pt-PT"/>
        </w:rPr>
        <w:tab/>
      </w:r>
      <w:r>
        <w:rPr>
          <w:spacing w:val="-3"/>
          <w:lang w:val="pt-PT"/>
        </w:rPr>
        <w:t>Nomeadamente</w:t>
      </w:r>
      <w:r>
        <w:rPr>
          <w:lang w:val="pt-PT"/>
        </w:rPr>
        <w:t xml:space="preserve"> a reunião de alto nível do ACNUR sobre a partilha da responsabilidade a nível mundial através de vias de admissão de refugia</w:t>
      </w:r>
      <w:r>
        <w:rPr>
          <w:lang w:val="pt-PT"/>
        </w:rPr>
        <w:t>dos sírios, organizada em Genebra em 30 de março de 2016, a primeira Cimeira Humanitária Mundial, a realizar em Istambul em 23 e 24 de maio de 2016, e a Cimeira sobre a resposta a dar às grandes deslocações de refugiados e migrantes, a realizar na Assemble</w:t>
      </w:r>
      <w:r>
        <w:rPr>
          <w:lang w:val="pt-PT"/>
        </w:rPr>
        <w:t>ia Geral das Nações Unidas, em Nova Iorque em 19 de setembro de 2016.</w:t>
      </w:r>
    </w:p>
  </w:footnote>
  <w:footnote w:id="31">
    <w:p w:rsidR="005165C6" w:rsidRDefault="00280A37">
      <w:pPr>
        <w:pStyle w:val="FootnoteText"/>
        <w:rPr>
          <w:lang w:val="pt-PT"/>
        </w:rPr>
      </w:pPr>
      <w:r>
        <w:rPr>
          <w:vertAlign w:val="superscript"/>
          <w:lang w:val="pt-PT"/>
        </w:rPr>
        <w:footnoteRef/>
      </w:r>
      <w:r>
        <w:rPr>
          <w:lang w:val="pt-PT"/>
        </w:rPr>
        <w:tab/>
        <w:t>Diretiva 2009/50/CE e Diretiva 2014/66/UE, respetivamente.</w:t>
      </w:r>
    </w:p>
  </w:footnote>
  <w:footnote w:id="32">
    <w:p w:rsidR="005165C6" w:rsidRDefault="00280A37">
      <w:pPr>
        <w:pStyle w:val="FootnoteText"/>
        <w:rPr>
          <w:lang w:val="pt-PT"/>
        </w:rPr>
      </w:pPr>
      <w:r>
        <w:rPr>
          <w:vertAlign w:val="superscript"/>
          <w:lang w:val="pt-PT"/>
        </w:rPr>
        <w:footnoteRef/>
      </w:r>
      <w:r>
        <w:rPr>
          <w:lang w:val="pt-PT"/>
        </w:rPr>
        <w:tab/>
        <w:t>O acordo político sobre a reformulação da diretiva foi alcançado pelos colegisladores em 2015. A sua adoção formal terá lug</w:t>
      </w:r>
      <w:r>
        <w:rPr>
          <w:lang w:val="pt-PT"/>
        </w:rPr>
        <w:t>ar durante o primeiro semestre de 2016.</w:t>
      </w:r>
    </w:p>
  </w:footnote>
  <w:footnote w:id="33">
    <w:p w:rsidR="005165C6" w:rsidRDefault="00280A37">
      <w:pPr>
        <w:pStyle w:val="FootnoteText"/>
        <w:rPr>
          <w:lang w:val="pt-PT"/>
        </w:rPr>
      </w:pPr>
      <w:r>
        <w:rPr>
          <w:vertAlign w:val="superscript"/>
          <w:lang w:val="pt-PT"/>
        </w:rPr>
        <w:footnoteRef/>
      </w:r>
      <w:r>
        <w:rPr>
          <w:lang w:val="pt-PT"/>
        </w:rPr>
        <w:tab/>
        <w:t>Diretiva 2014/36/UE.</w:t>
      </w:r>
    </w:p>
  </w:footnote>
  <w:footnote w:id="34">
    <w:p w:rsidR="005165C6" w:rsidRDefault="00280A37">
      <w:pPr>
        <w:pStyle w:val="FootnoteText"/>
        <w:rPr>
          <w:lang w:val="pt-PT"/>
        </w:rPr>
      </w:pPr>
      <w:r>
        <w:rPr>
          <w:vertAlign w:val="superscript"/>
          <w:lang w:val="pt-PT"/>
        </w:rPr>
        <w:footnoteRef/>
      </w:r>
      <w:r>
        <w:rPr>
          <w:lang w:val="pt-PT"/>
        </w:rPr>
        <w:tab/>
        <w:t>Diretiva 2011/98/UE.</w:t>
      </w:r>
    </w:p>
  </w:footnote>
  <w:footnote w:id="35">
    <w:p w:rsidR="005165C6" w:rsidRDefault="00280A37">
      <w:pPr>
        <w:pStyle w:val="FootnoteText"/>
        <w:rPr>
          <w:lang w:val="pt-PT"/>
        </w:rPr>
      </w:pPr>
      <w:r>
        <w:rPr>
          <w:vertAlign w:val="superscript"/>
          <w:lang w:val="pt-PT"/>
        </w:rPr>
        <w:footnoteRef/>
      </w:r>
      <w:r>
        <w:rPr>
          <w:lang w:val="pt-PT"/>
        </w:rPr>
        <w:tab/>
        <w:t>Diretiva 2003/109/CE.</w:t>
      </w:r>
    </w:p>
  </w:footnote>
  <w:footnote w:id="36">
    <w:p w:rsidR="005165C6" w:rsidRDefault="00280A37">
      <w:pPr>
        <w:pStyle w:val="FootnoteText"/>
        <w:rPr>
          <w:lang w:val="pt-PT"/>
        </w:rPr>
      </w:pPr>
      <w:r>
        <w:rPr>
          <w:vertAlign w:val="superscript"/>
          <w:lang w:val="pt-PT"/>
        </w:rPr>
        <w:footnoteRef/>
      </w:r>
      <w:r>
        <w:rPr>
          <w:lang w:val="pt-PT"/>
        </w:rPr>
        <w:tab/>
        <w:t>Diretiva 2003/86/CE.</w:t>
      </w:r>
    </w:p>
  </w:footnote>
  <w:footnote w:id="37">
    <w:p w:rsidR="005165C6" w:rsidRDefault="00280A37">
      <w:pPr>
        <w:pStyle w:val="FootnoteText"/>
        <w:rPr>
          <w:sz w:val="18"/>
          <w:szCs w:val="18"/>
          <w:lang w:val="pt-PT"/>
        </w:rPr>
      </w:pPr>
      <w:r>
        <w:rPr>
          <w:sz w:val="18"/>
          <w:szCs w:val="18"/>
          <w:vertAlign w:val="superscript"/>
          <w:lang w:val="pt-PT"/>
        </w:rPr>
        <w:footnoteRef/>
      </w:r>
      <w:r>
        <w:rPr>
          <w:sz w:val="18"/>
          <w:szCs w:val="18"/>
          <w:lang w:val="pt-PT"/>
        </w:rPr>
        <w:tab/>
        <w:t xml:space="preserve">Ver Comissão Europeia, Relatório sobre o envelhecimento demográfico de 2015, </w:t>
      </w:r>
      <w:r>
        <w:rPr>
          <w:i/>
          <w:sz w:val="18"/>
          <w:szCs w:val="18"/>
          <w:lang w:val="pt-PT"/>
        </w:rPr>
        <w:t>European Economy </w:t>
      </w:r>
      <w:r>
        <w:rPr>
          <w:sz w:val="18"/>
          <w:szCs w:val="18"/>
          <w:lang w:val="pt-PT"/>
        </w:rPr>
        <w:t>3/2015.</w:t>
      </w:r>
    </w:p>
  </w:footnote>
  <w:footnote w:id="38">
    <w:p w:rsidR="005165C6" w:rsidRDefault="00280A37">
      <w:pPr>
        <w:pStyle w:val="FootnoteText"/>
        <w:jc w:val="both"/>
        <w:rPr>
          <w:sz w:val="18"/>
          <w:szCs w:val="18"/>
          <w:lang w:val="pt-PT"/>
        </w:rPr>
      </w:pPr>
      <w:r>
        <w:rPr>
          <w:rStyle w:val="FootnoteReference"/>
          <w:sz w:val="18"/>
          <w:szCs w:val="18"/>
          <w:lang w:val="pt-PT"/>
        </w:rPr>
        <w:footnoteRef/>
      </w:r>
      <w:r>
        <w:rPr>
          <w:sz w:val="18"/>
          <w:szCs w:val="18"/>
          <w:lang w:val="pt-PT"/>
        </w:rPr>
        <w:t xml:space="preserve"> </w:t>
      </w:r>
      <w:r>
        <w:rPr>
          <w:sz w:val="18"/>
          <w:szCs w:val="18"/>
          <w:lang w:val="pt-PT"/>
        </w:rPr>
        <w:tab/>
        <w:t>Projeções do Cen</w:t>
      </w:r>
      <w:r>
        <w:rPr>
          <w:sz w:val="18"/>
          <w:szCs w:val="18"/>
          <w:lang w:val="pt-PT"/>
        </w:rPr>
        <w:t>tro Europeu para o Desenvolvimento da Formação Profissional (Cedefop).</w:t>
      </w:r>
    </w:p>
  </w:footnote>
  <w:footnote w:id="39">
    <w:p w:rsidR="005165C6" w:rsidRDefault="00280A37">
      <w:pPr>
        <w:pStyle w:val="FootnoteText"/>
        <w:rPr>
          <w:lang w:val="pt-PT"/>
        </w:rPr>
      </w:pPr>
      <w:r>
        <w:rPr>
          <w:rStyle w:val="FootnoteReference"/>
          <w:sz w:val="18"/>
          <w:szCs w:val="18"/>
          <w:lang w:val="pt-PT"/>
        </w:rPr>
        <w:footnoteRef/>
      </w:r>
      <w:r>
        <w:rPr>
          <w:sz w:val="18"/>
          <w:szCs w:val="18"/>
          <w:lang w:val="pt-PT"/>
        </w:rPr>
        <w:t xml:space="preserve"> </w:t>
      </w:r>
      <w:r>
        <w:rPr>
          <w:sz w:val="18"/>
          <w:szCs w:val="18"/>
          <w:lang w:val="pt-PT"/>
        </w:rPr>
        <w:tab/>
      </w:r>
      <w:r>
        <w:rPr>
          <w:lang w:val="pt-PT"/>
        </w:rPr>
        <w:t>Iniciativa/comunicação/estratégia a adotar e uma das dez prioridades políticas da Comissão Europeia.</w:t>
      </w:r>
    </w:p>
  </w:footnote>
  <w:footnote w:id="40">
    <w:p w:rsidR="005165C6" w:rsidRDefault="00280A37">
      <w:pPr>
        <w:pStyle w:val="FootnoteText"/>
        <w:rPr>
          <w:sz w:val="18"/>
          <w:szCs w:val="18"/>
          <w:lang w:val="pt-PT"/>
        </w:rPr>
      </w:pPr>
      <w:r>
        <w:rPr>
          <w:sz w:val="18"/>
          <w:szCs w:val="18"/>
          <w:vertAlign w:val="superscript"/>
          <w:lang w:val="pt-PT"/>
        </w:rPr>
        <w:footnoteRef/>
      </w:r>
      <w:r>
        <w:rPr>
          <w:sz w:val="18"/>
          <w:szCs w:val="18"/>
          <w:lang w:val="pt-PT"/>
        </w:rPr>
        <w:tab/>
      </w:r>
      <w:hyperlink r:id="rId2" w:history="1">
        <w:r>
          <w:rPr>
            <w:color w:val="0000FF" w:themeColor="hyperlink"/>
            <w:u w:val="single"/>
            <w:lang w:val="pt-PT"/>
          </w:rPr>
          <w:t>http://ec.europa.eu/dgs/home-affairs/what-is-new/public-consultation/2015/consulting_0029_en.htm</w:t>
        </w:r>
      </w:hyperlink>
    </w:p>
  </w:footnote>
  <w:footnote w:id="41">
    <w:p w:rsidR="005165C6" w:rsidRDefault="00280A37">
      <w:pPr>
        <w:pStyle w:val="FootnoteText"/>
        <w:rPr>
          <w:lang w:val="pt-PT"/>
        </w:rPr>
      </w:pPr>
      <w:r>
        <w:rPr>
          <w:sz w:val="18"/>
          <w:szCs w:val="18"/>
          <w:vertAlign w:val="superscript"/>
          <w:lang w:val="pt-PT"/>
        </w:rPr>
        <w:footnoteRef/>
      </w:r>
      <w:r>
        <w:rPr>
          <w:sz w:val="18"/>
          <w:szCs w:val="18"/>
          <w:lang w:val="pt-PT"/>
        </w:rPr>
        <w:tab/>
      </w:r>
      <w:r>
        <w:rPr>
          <w:lang w:val="pt-PT"/>
        </w:rPr>
        <w:t>Em 27 e 28 de janeiro, a Comissão lançou o Diá</w:t>
      </w:r>
      <w:r>
        <w:rPr>
          <w:lang w:val="pt-PT"/>
        </w:rPr>
        <w:t>logo Europeu sobre Competências e Migração, a realizar periodicamente, a fim de envolver os parceiros empresariais e sindicais mais estreitamente no processo de atração e integração no mercado laboral de nacionais qualificados de países terceiros (</w:t>
      </w:r>
      <w:hyperlink r:id="rId3" w:history="1">
        <w:r>
          <w:rPr>
            <w:rStyle w:val="Hyperlink"/>
            <w:lang w:val="pt-PT"/>
          </w:rPr>
          <w:t>http://www.skillsandmigration.eu/</w:t>
        </w:r>
      </w:hyperlink>
      <w:r>
        <w:rPr>
          <w:lang w:val="pt-PT"/>
        </w:rPr>
        <w:t>).</w:t>
      </w:r>
    </w:p>
  </w:footnote>
  <w:footnote w:id="42">
    <w:p w:rsidR="005165C6" w:rsidRDefault="00280A37">
      <w:pPr>
        <w:pStyle w:val="FootnoteText"/>
        <w:rPr>
          <w:lang w:val="pt-PT"/>
        </w:rPr>
      </w:pPr>
      <w:r>
        <w:rPr>
          <w:vertAlign w:val="superscript"/>
          <w:lang w:val="pt-PT"/>
        </w:rPr>
        <w:footnoteRef/>
      </w:r>
      <w:r>
        <w:rPr>
          <w:lang w:val="pt-PT"/>
        </w:rPr>
        <w:tab/>
        <w:t xml:space="preserve">Em 2014 foram emitidos apenas 13 852 cartões azuis (menos ainda nos anos anteriores), 87 % dos quais pelo mesmo Estado-Membro, tendo sido emitidas cerca de 25 000 autorizações </w:t>
      </w:r>
      <w:r>
        <w:rPr>
          <w:lang w:val="pt-PT"/>
        </w:rPr>
        <w:t>nacionais a pessoas altamente qualificadas.</w:t>
      </w:r>
    </w:p>
  </w:footnote>
  <w:footnote w:id="43">
    <w:p w:rsidR="005165C6" w:rsidRDefault="00280A37">
      <w:pPr>
        <w:pStyle w:val="FootnoteText"/>
        <w:rPr>
          <w:lang w:val="pt-PT"/>
        </w:rPr>
      </w:pPr>
      <w:r>
        <w:rPr>
          <w:vertAlign w:val="superscript"/>
          <w:lang w:val="pt-PT"/>
        </w:rPr>
        <w:footnoteRef/>
      </w:r>
      <w:r>
        <w:rPr>
          <w:lang w:val="pt-PT"/>
        </w:rPr>
        <w:tab/>
        <w:t xml:space="preserve">De todos os migrantes de </w:t>
      </w:r>
      <w:r>
        <w:rPr>
          <w:spacing w:val="-3"/>
          <w:lang w:val="pt-PT"/>
        </w:rPr>
        <w:t xml:space="preserve">países </w:t>
      </w:r>
      <w:r>
        <w:rPr>
          <w:lang w:val="pt-PT"/>
        </w:rPr>
        <w:t xml:space="preserve">terceiros que entram nos </w:t>
      </w:r>
      <w:r>
        <w:rPr>
          <w:spacing w:val="-3"/>
          <w:lang w:val="pt-PT"/>
        </w:rPr>
        <w:t xml:space="preserve">países </w:t>
      </w:r>
      <w:r>
        <w:rPr>
          <w:lang w:val="pt-PT"/>
        </w:rPr>
        <w:t>da OCDE, 48 % dos que possuem um baixo nível de qualificações escolhem um Estado-Membro da UE e 68 % das pessoas altamente qualificadas escolhem u</w:t>
      </w:r>
      <w:r>
        <w:rPr>
          <w:lang w:val="pt-PT"/>
        </w:rPr>
        <w:t>m país da OCDE não europeu.</w:t>
      </w:r>
    </w:p>
  </w:footnote>
  <w:footnote w:id="44">
    <w:p w:rsidR="005165C6" w:rsidRDefault="00280A37">
      <w:pPr>
        <w:pStyle w:val="FootnoteText"/>
        <w:rPr>
          <w:lang w:val="pt-PT"/>
        </w:rPr>
      </w:pPr>
      <w:r>
        <w:rPr>
          <w:vertAlign w:val="superscript"/>
        </w:rPr>
        <w:footnoteRef/>
      </w:r>
      <w:r>
        <w:rPr>
          <w:lang w:val="pt-PT"/>
        </w:rPr>
        <w:tab/>
        <w:t>COM(2015)550 final.</w:t>
      </w:r>
    </w:p>
  </w:footnote>
  <w:footnote w:id="45">
    <w:p w:rsidR="005165C6" w:rsidRDefault="00280A37">
      <w:pPr>
        <w:pStyle w:val="FootnoteText"/>
        <w:jc w:val="both"/>
        <w:rPr>
          <w:lang w:val="pt-PT"/>
        </w:rPr>
      </w:pPr>
      <w:r>
        <w:rPr>
          <w:rStyle w:val="FootnoteReference"/>
          <w:lang w:val="pt-PT"/>
        </w:rPr>
        <w:footnoteRef/>
      </w:r>
      <w:r>
        <w:rPr>
          <w:lang w:val="pt-PT"/>
        </w:rPr>
        <w:t xml:space="preserve"> </w:t>
      </w:r>
      <w:r>
        <w:rPr>
          <w:lang w:val="pt-PT"/>
        </w:rPr>
        <w:tab/>
        <w:t>Ver o documento de trabalho dos serviços da Comissão «</w:t>
      </w:r>
      <w:r>
        <w:rPr>
          <w:i/>
          <w:lang w:val="pt-PT"/>
        </w:rPr>
        <w:t>Regulatory Fitness and Performance Programme (REFIT) - State of Play and Outlook - REFIT Scoreboard</w:t>
      </w:r>
      <w:r>
        <w:rPr>
          <w:lang w:val="pt-PT"/>
        </w:rPr>
        <w:t>» (SWD(2015) 110 final), anexo à Comunicação da Co</w:t>
      </w:r>
      <w:r>
        <w:rPr>
          <w:lang w:val="pt-PT"/>
        </w:rPr>
        <w:t xml:space="preserve">missão ao </w:t>
      </w:r>
      <w:r>
        <w:rPr>
          <w:snapToGrid w:val="0"/>
          <w:color w:val="000000"/>
          <w:lang w:val="pt-PT" w:eastAsia="en-US"/>
        </w:rPr>
        <w:t>Parlamento Europeu</w:t>
      </w:r>
      <w:r>
        <w:rPr>
          <w:lang w:val="pt-PT"/>
        </w:rPr>
        <w:t xml:space="preserve">, ao Conselho, ao </w:t>
      </w:r>
      <w:r>
        <w:rPr>
          <w:spacing w:val="-3"/>
          <w:lang w:val="pt-PT"/>
        </w:rPr>
        <w:t>Comité Económico e Social</w:t>
      </w:r>
      <w:r>
        <w:rPr>
          <w:lang w:val="pt-PT"/>
        </w:rPr>
        <w:t xml:space="preserve"> Europeu e ao Comité das Regiões «Legislar melhor para melhores resultados – agenda da UE» (COM(2015) 215 final).</w:t>
      </w:r>
    </w:p>
  </w:footnote>
  <w:footnote w:id="46">
    <w:p w:rsidR="005165C6" w:rsidRDefault="00280A37">
      <w:pPr>
        <w:pStyle w:val="FootnoteText"/>
        <w:rPr>
          <w:lang w:val="en-US"/>
        </w:rPr>
      </w:pPr>
      <w:r>
        <w:rPr>
          <w:rStyle w:val="FootnoteReference"/>
          <w:lang w:val="pt-PT"/>
        </w:rPr>
        <w:footnoteRef/>
      </w:r>
      <w:r>
        <w:rPr>
          <w:lang w:val="en-US"/>
        </w:rPr>
        <w:t xml:space="preserve"> </w:t>
      </w:r>
      <w:r>
        <w:rPr>
          <w:lang w:val="en-US"/>
        </w:rPr>
        <w:tab/>
      </w:r>
      <w:r>
        <w:rPr>
          <w:i/>
          <w:lang w:val="en-US"/>
        </w:rPr>
        <w:t>Severe labour exploitation: workers moving within or into the Europe</w:t>
      </w:r>
      <w:r>
        <w:rPr>
          <w:i/>
          <w:lang w:val="en-US"/>
        </w:rPr>
        <w:t>an Union</w:t>
      </w:r>
      <w:r>
        <w:rPr>
          <w:lang w:val="en-US"/>
        </w:rPr>
        <w:t xml:space="preserve">: </w:t>
      </w:r>
      <w:hyperlink r:id="rId4" w:history="1">
        <w:r>
          <w:rPr>
            <w:rStyle w:val="Hyperlink"/>
            <w:lang w:val="en-US"/>
          </w:rPr>
          <w:t>http://fra.europa.eu/en/publication/2015/severe-labour-exploitation-workers-moving-within-or-european-union</w:t>
        </w:r>
      </w:hyperlink>
      <w:r>
        <w:rPr>
          <w:lang w:val="en-US"/>
        </w:rPr>
        <w:t xml:space="preserve"> </w:t>
      </w:r>
    </w:p>
  </w:footnote>
  <w:footnote w:id="47">
    <w:p w:rsidR="005165C6" w:rsidRDefault="00280A37">
      <w:pPr>
        <w:pStyle w:val="FootnoteText"/>
        <w:rPr>
          <w:lang w:val="pt-PT"/>
        </w:rPr>
      </w:pPr>
      <w:r>
        <w:rPr>
          <w:vertAlign w:val="superscript"/>
          <w:lang w:val="pt-PT"/>
        </w:rPr>
        <w:footnoteRef/>
      </w:r>
      <w:r>
        <w:rPr>
          <w:lang w:val="pt-PT"/>
        </w:rPr>
        <w:tab/>
        <w:t>Por exemplo</w:t>
      </w:r>
      <w:r>
        <w:rPr>
          <w:lang w:val="pt-PT"/>
        </w:rPr>
        <w:t>, o Canadá, a Austrália e a Nova Zelândia.</w:t>
      </w:r>
    </w:p>
  </w:footnote>
  <w:footnote w:id="48">
    <w:p w:rsidR="005165C6" w:rsidRDefault="00280A37">
      <w:pPr>
        <w:pStyle w:val="FootnoteText"/>
        <w:rPr>
          <w:lang w:val="pt-PT"/>
        </w:rPr>
      </w:pPr>
      <w:r>
        <w:rPr>
          <w:vertAlign w:val="superscript"/>
          <w:lang w:val="pt-PT"/>
        </w:rPr>
        <w:footnoteRef/>
      </w:r>
      <w:r>
        <w:rPr>
          <w:lang w:val="pt-PT"/>
        </w:rPr>
        <w:tab/>
        <w:t xml:space="preserve">Ver, </w:t>
      </w:r>
      <w:r>
        <w:rPr>
          <w:spacing w:val="-3"/>
          <w:lang w:val="pt-PT"/>
        </w:rPr>
        <w:t>nomeadamente</w:t>
      </w:r>
      <w:r>
        <w:rPr>
          <w:lang w:val="pt-PT"/>
        </w:rPr>
        <w:t xml:space="preserve">, o sistema canadiano </w:t>
      </w:r>
      <w:r>
        <w:rPr>
          <w:i/>
          <w:lang w:val="pt-PT"/>
        </w:rPr>
        <w:t>Express Entry</w:t>
      </w:r>
      <w:r>
        <w:rPr>
          <w:lang w:val="pt-PT"/>
        </w:rPr>
        <w:t xml:space="preserve">: </w:t>
      </w:r>
      <w:hyperlink r:id="rId5" w:history="1">
        <w:r>
          <w:rPr>
            <w:rStyle w:val="Hyperlink"/>
            <w:lang w:val="pt-PT"/>
          </w:rPr>
          <w:t>http://www.cic.gc.ca/english/Immigrate/skilled/index.asp</w:t>
        </w:r>
        <w:r>
          <w:rPr>
            <w:rStyle w:val="Hyperlink"/>
            <w:u w:val="none"/>
            <w:lang w:val="pt-PT"/>
          </w:rPr>
          <w:t>.</w:t>
        </w:r>
      </w:hyperlink>
    </w:p>
  </w:footnote>
  <w:footnote w:id="49">
    <w:p w:rsidR="005165C6" w:rsidRDefault="00280A37">
      <w:pPr>
        <w:pStyle w:val="FootnoteText"/>
        <w:rPr>
          <w:lang w:val="pt-PT"/>
        </w:rPr>
      </w:pPr>
      <w:r>
        <w:rPr>
          <w:vertAlign w:val="superscript"/>
          <w:lang w:val="pt-PT"/>
        </w:rPr>
        <w:footnoteRef/>
      </w:r>
      <w:r>
        <w:rPr>
          <w:lang w:val="pt-PT"/>
        </w:rPr>
        <w:tab/>
        <w:t xml:space="preserve">Foram concluídas </w:t>
      </w:r>
      <w:r>
        <w:rPr>
          <w:lang w:val="pt-PT"/>
        </w:rPr>
        <w:t>parcerias para a mobilidade com a Jordânia, Marrocos, Tunísia, Moldávia, Cabo Verde, Geórgia, Arménia e Azerbaijão. Foram estabelecidas agendas comuns para a migração e a mobilidade com a Nigéria e com a Etiópia.</w:t>
      </w:r>
    </w:p>
    <w:p w:rsidR="005165C6" w:rsidRDefault="005165C6">
      <w:pPr>
        <w:pStyle w:val="FootnoteText"/>
        <w:rPr>
          <w:lang w:val="pt-PT"/>
        </w:rPr>
      </w:pPr>
    </w:p>
  </w:footnote>
  <w:footnote w:id="50">
    <w:p w:rsidR="005165C6" w:rsidRDefault="00280A37">
      <w:pPr>
        <w:pStyle w:val="FootnoteText"/>
        <w:rPr>
          <w:lang w:val="pt-PT"/>
        </w:rPr>
      </w:pPr>
      <w:r>
        <w:rPr>
          <w:vertAlign w:val="superscript"/>
        </w:rPr>
        <w:footnoteRef/>
      </w:r>
      <w:r>
        <w:rPr>
          <w:lang w:val="pt-PT"/>
        </w:rPr>
        <w:tab/>
        <w:t>Cimeira de Valeta de 11 e 12 de novembro</w:t>
      </w:r>
      <w:r>
        <w:rPr>
          <w:lang w:val="pt-PT"/>
        </w:rPr>
        <w:t xml:space="preserv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C6" w:rsidRDefault="0051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F24"/>
    <w:multiLevelType w:val="hybridMultilevel"/>
    <w:tmpl w:val="D49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402F"/>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1091E"/>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72FA0"/>
    <w:multiLevelType w:val="hybridMultilevel"/>
    <w:tmpl w:val="B34C12A8"/>
    <w:lvl w:ilvl="0" w:tplc="358A7908">
      <w:start w:val="1"/>
      <w:numFmt w:val="bullet"/>
      <w:lvlText w:val="•"/>
      <w:lvlJc w:val="left"/>
      <w:pPr>
        <w:tabs>
          <w:tab w:val="num" w:pos="720"/>
        </w:tabs>
        <w:ind w:left="720" w:hanging="360"/>
      </w:pPr>
      <w:rPr>
        <w:rFonts w:ascii="Arial" w:hAnsi="Arial" w:cs="Times New Roman" w:hint="default"/>
      </w:rPr>
    </w:lvl>
    <w:lvl w:ilvl="1" w:tplc="8A5C7516">
      <w:start w:val="1"/>
      <w:numFmt w:val="bullet"/>
      <w:lvlText w:val="•"/>
      <w:lvlJc w:val="left"/>
      <w:pPr>
        <w:tabs>
          <w:tab w:val="num" w:pos="1440"/>
        </w:tabs>
        <w:ind w:left="1440" w:hanging="360"/>
      </w:pPr>
      <w:rPr>
        <w:rFonts w:ascii="Arial" w:hAnsi="Arial" w:cs="Times New Roman" w:hint="default"/>
      </w:rPr>
    </w:lvl>
    <w:lvl w:ilvl="2" w:tplc="6D282C12">
      <w:start w:val="1"/>
      <w:numFmt w:val="bullet"/>
      <w:lvlText w:val="•"/>
      <w:lvlJc w:val="left"/>
      <w:pPr>
        <w:tabs>
          <w:tab w:val="num" w:pos="2160"/>
        </w:tabs>
        <w:ind w:left="2160" w:hanging="360"/>
      </w:pPr>
      <w:rPr>
        <w:rFonts w:ascii="Arial" w:hAnsi="Arial" w:cs="Times New Roman" w:hint="default"/>
      </w:rPr>
    </w:lvl>
    <w:lvl w:ilvl="3" w:tplc="F7E4835E">
      <w:start w:val="1"/>
      <w:numFmt w:val="bullet"/>
      <w:lvlText w:val="•"/>
      <w:lvlJc w:val="left"/>
      <w:pPr>
        <w:tabs>
          <w:tab w:val="num" w:pos="2880"/>
        </w:tabs>
        <w:ind w:left="2880" w:hanging="360"/>
      </w:pPr>
      <w:rPr>
        <w:rFonts w:ascii="Arial" w:hAnsi="Arial" w:cs="Times New Roman" w:hint="default"/>
      </w:rPr>
    </w:lvl>
    <w:lvl w:ilvl="4" w:tplc="347497BC">
      <w:start w:val="1"/>
      <w:numFmt w:val="bullet"/>
      <w:lvlText w:val="•"/>
      <w:lvlJc w:val="left"/>
      <w:pPr>
        <w:tabs>
          <w:tab w:val="num" w:pos="3600"/>
        </w:tabs>
        <w:ind w:left="3600" w:hanging="360"/>
      </w:pPr>
      <w:rPr>
        <w:rFonts w:ascii="Arial" w:hAnsi="Arial" w:cs="Times New Roman" w:hint="default"/>
      </w:rPr>
    </w:lvl>
    <w:lvl w:ilvl="5" w:tplc="9D36CE00">
      <w:start w:val="1"/>
      <w:numFmt w:val="bullet"/>
      <w:lvlText w:val="•"/>
      <w:lvlJc w:val="left"/>
      <w:pPr>
        <w:tabs>
          <w:tab w:val="num" w:pos="4320"/>
        </w:tabs>
        <w:ind w:left="4320" w:hanging="360"/>
      </w:pPr>
      <w:rPr>
        <w:rFonts w:ascii="Arial" w:hAnsi="Arial" w:cs="Times New Roman" w:hint="default"/>
      </w:rPr>
    </w:lvl>
    <w:lvl w:ilvl="6" w:tplc="71982D78">
      <w:start w:val="1"/>
      <w:numFmt w:val="bullet"/>
      <w:lvlText w:val="•"/>
      <w:lvlJc w:val="left"/>
      <w:pPr>
        <w:tabs>
          <w:tab w:val="num" w:pos="5040"/>
        </w:tabs>
        <w:ind w:left="5040" w:hanging="360"/>
      </w:pPr>
      <w:rPr>
        <w:rFonts w:ascii="Arial" w:hAnsi="Arial" w:cs="Times New Roman" w:hint="default"/>
      </w:rPr>
    </w:lvl>
    <w:lvl w:ilvl="7" w:tplc="E436A5C2">
      <w:start w:val="1"/>
      <w:numFmt w:val="bullet"/>
      <w:lvlText w:val="•"/>
      <w:lvlJc w:val="left"/>
      <w:pPr>
        <w:tabs>
          <w:tab w:val="num" w:pos="5760"/>
        </w:tabs>
        <w:ind w:left="5760" w:hanging="360"/>
      </w:pPr>
      <w:rPr>
        <w:rFonts w:ascii="Arial" w:hAnsi="Arial" w:cs="Times New Roman" w:hint="default"/>
      </w:rPr>
    </w:lvl>
    <w:lvl w:ilvl="8" w:tplc="6E60B596">
      <w:start w:val="1"/>
      <w:numFmt w:val="bullet"/>
      <w:lvlText w:val="•"/>
      <w:lvlJc w:val="left"/>
      <w:pPr>
        <w:tabs>
          <w:tab w:val="num" w:pos="6480"/>
        </w:tabs>
        <w:ind w:left="6480" w:hanging="360"/>
      </w:pPr>
      <w:rPr>
        <w:rFonts w:ascii="Arial" w:hAnsi="Arial" w:cs="Times New Roman" w:hint="default"/>
      </w:rPr>
    </w:lvl>
  </w:abstractNum>
  <w:abstractNum w:abstractNumId="4">
    <w:nsid w:val="345B4FEC"/>
    <w:multiLevelType w:val="hybridMultilevel"/>
    <w:tmpl w:val="9C0C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A40B18"/>
    <w:multiLevelType w:val="hybridMultilevel"/>
    <w:tmpl w:val="47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92D3B"/>
    <w:multiLevelType w:val="hybridMultilevel"/>
    <w:tmpl w:val="077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915B0"/>
    <w:multiLevelType w:val="hybridMultilevel"/>
    <w:tmpl w:val="B6461E6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74B6A"/>
    <w:multiLevelType w:val="hybridMultilevel"/>
    <w:tmpl w:val="C6B8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686C24"/>
    <w:multiLevelType w:val="hybridMultilevel"/>
    <w:tmpl w:val="D5163F14"/>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244465"/>
    <w:multiLevelType w:val="hybridMultilevel"/>
    <w:tmpl w:val="2C4CB416"/>
    <w:lvl w:ilvl="0" w:tplc="25CA3F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6E725C"/>
    <w:multiLevelType w:val="hybridMultilevel"/>
    <w:tmpl w:val="F4A2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1"/>
  </w:num>
  <w:num w:numId="6">
    <w:abstractNumId w:val="4"/>
  </w:num>
  <w:num w:numId="7">
    <w:abstractNumId w:val="8"/>
  </w:num>
  <w:num w:numId="8">
    <w:abstractNumId w:val="7"/>
  </w:num>
  <w:num w:numId="9">
    <w:abstractNumId w:val="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2D3F78464684699A8CDB5CA4E73D769"/>
    <w:docVar w:name="LW_CROSSREFERENCE" w:val="&lt;UNUSED&gt;"/>
    <w:docVar w:name="LW_DocType" w:val="NORMAL"/>
    <w:docVar w:name="LW_EMISSION" w:val="6.4.2016"/>
    <w:docVar w:name="LW_EMISSION_ISODATE" w:val="2016-04-06"/>
    <w:docVar w:name="LW_EMISSION_LOCATION" w:val="BRX"/>
    <w:docVar w:name="LW_EMISSION_PREFIX" w:val="Bruxelas, "/>
    <w:docVar w:name="LW_EMISSION_SUFFIX" w:val=" "/>
    <w:docVar w:name="LW_ID_DOCTYPE_NONLW" w:val="CP-012"/>
    <w:docVar w:name="LW_LANGUE" w:val="PT"/>
    <w:docVar w:name="LW_MARKING" w:val="&lt;UNUSED&g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6) 197"/>
    <w:docVar w:name="LW_REF.INTERNE" w:val="&lt;UNUSED&gt;"/>
    <w:docVar w:name="LW_SOUS.TITRE.OBJ.CP" w:val="&lt;UNUSED&gt;"/>
    <w:docVar w:name="LW_SUPERTITRE" w:val="&lt;UNUSED&gt;"/>
    <w:docVar w:name="LW_TITRE.OBJ.CP" w:val="REFORMAR O SISTEMA EUROPEU COMUM DE ASILO E MELHORAR AS VIAS DE ENTRADA LEGAL NA EUROPA"/>
    <w:docVar w:name="LW_TYPE.DOC.CP" w:val="COMUNICAÇÃO DA COMISSÃO AO PARLAMENTO EUROPEU E AO CONSELHO"/>
    <w:docVar w:name="LW_TYPE.DOC.CP.USERTEXT" w:val="&lt;EMPTY&gt;"/>
  </w:docVars>
  <w:rsids>
    <w:rsidRoot w:val="005165C6"/>
    <w:rsid w:val="00280A37"/>
    <w:rsid w:val="00516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nternetLink">
    <w:name w:val="Internet 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
    <w:basedOn w:val="Normal"/>
    <w:link w:val="FootnoteTextChar"/>
    <w:unhideWhenUsed/>
    <w:qFormat/>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BVI fnr,Footnote reference number,note TESI,Appel note de bas de p,Nota,SUPERS,Footnote number,EN Footnote Reference,-E Fußnotenzeichen,number Char Char,number,Ref,styl,styli,R, BVI fnr"/>
    <w:basedOn w:val="DefaultParagraphFont"/>
    <w:unhideWhenUsed/>
    <w:qFormat/>
    <w:rPr>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after="150" w:line="240" w:lineRule="auto"/>
    </w:pPr>
    <w:rPr>
      <w:rFonts w:ascii="Times New Roman" w:hAnsi="Times New Roman" w:cs="Times New Roman"/>
      <w:sz w:val="24"/>
      <w:szCs w:val="24"/>
      <w:lang w:eastAsia="en-GB"/>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Times New Roman" w:hAnsi="Times New Roman" w:cs="Times New Roman"/>
      <w:sz w:val="24"/>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nternetLink">
    <w:name w:val="Internet 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224">
      <w:bodyDiv w:val="1"/>
      <w:marLeft w:val="0"/>
      <w:marRight w:val="0"/>
      <w:marTop w:val="0"/>
      <w:marBottom w:val="0"/>
      <w:divBdr>
        <w:top w:val="none" w:sz="0" w:space="0" w:color="auto"/>
        <w:left w:val="none" w:sz="0" w:space="0" w:color="auto"/>
        <w:bottom w:val="none" w:sz="0" w:space="0" w:color="auto"/>
        <w:right w:val="none" w:sz="0" w:space="0" w:color="auto"/>
      </w:divBdr>
    </w:div>
    <w:div w:id="1400708654">
      <w:bodyDiv w:val="1"/>
      <w:marLeft w:val="0"/>
      <w:marRight w:val="0"/>
      <w:marTop w:val="0"/>
      <w:marBottom w:val="0"/>
      <w:divBdr>
        <w:top w:val="none" w:sz="0" w:space="0" w:color="auto"/>
        <w:left w:val="none" w:sz="0" w:space="0" w:color="auto"/>
        <w:bottom w:val="none" w:sz="0" w:space="0" w:color="auto"/>
        <w:right w:val="none" w:sz="0" w:space="0" w:color="auto"/>
      </w:divBdr>
    </w:div>
    <w:div w:id="20041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killsandmigration.eu/" TargetMode="External"/><Relationship Id="rId2" Type="http://schemas.openxmlformats.org/officeDocument/2006/relationships/hyperlink" Target="http://ec.europa.eu/dgs/home-affairs/what-is-new/public-consultation/2015/consulting_0029_en.htm" TargetMode="External"/><Relationship Id="rId1" Type="http://schemas.openxmlformats.org/officeDocument/2006/relationships/hyperlink" Target="http://ec.europa.eu/dgs/home-affairs/what-we-do/policies/asylum/examination-of-applicants/index_en.htm" TargetMode="External"/><Relationship Id="rId5" Type="http://schemas.openxmlformats.org/officeDocument/2006/relationships/hyperlink" Target="http://www.cic.gc.ca/english/Immigrate/skilled/index.asp." TargetMode="External"/><Relationship Id="rId4" Type="http://schemas.openxmlformats.org/officeDocument/2006/relationships/hyperlink" Target="http://fra.europa.eu/en/publication/2015/severe-labour-exploitation-workers-moving-within-or-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6E71-D552-4CB0-BCE0-CB4639E1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9951</Words>
  <Characters>55430</Characters>
  <Application>Microsoft Office Word</Application>
  <DocSecurity>0</DocSecurity>
  <Lines>989</Lines>
  <Paragraphs>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40</cp:revision>
  <cp:lastPrinted>2016-04-06T08:25:00Z</cp:lastPrinted>
  <dcterms:created xsi:type="dcterms:W3CDTF">2016-04-06T08:13:00Z</dcterms:created>
  <dcterms:modified xsi:type="dcterms:W3CDTF">2016-04-08T08:08:00Z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