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941AC4EDAF95482398D9DAE15C063702" style="width:450.75pt;height:416.2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bookmarkStart w:id="0" w:name="_GoBack"/>
      <w:bookmarkEnd w:id="0"/>
      <w:r>
        <w:rPr>
          <w:noProof/>
        </w:rPr>
        <w:lastRenderedPageBreak/>
        <w:t>2013/0091 (COD)</w:t>
      </w:r>
    </w:p>
    <w:p>
      <w:pPr>
        <w:pStyle w:val="Typedudocument"/>
        <w:rPr>
          <w:noProof/>
        </w:rPr>
      </w:pPr>
      <w:r>
        <w:rPr>
          <w:noProof/>
        </w:rPr>
        <w:t>СЪОБЩЕНИЕ НА КОМИСИЯТА ДО ЕВРОПЕЙСКИЯ ПАРЛАМЕНТ</w:t>
      </w:r>
      <w:r>
        <w:rPr>
          <w:noProof/>
        </w:rPr>
        <w:br/>
      </w:r>
      <w:r>
        <w:rPr>
          <w:noProof/>
        </w:rPr>
        <w:br/>
        <w:t>съгласно член 294, параграф 6 от Договора за функционирането на Европейския съюз</w:t>
      </w:r>
      <w:r>
        <w:rPr>
          <w:noProof/>
        </w:rPr>
        <w:br/>
      </w:r>
      <w:r>
        <w:rPr>
          <w:noProof/>
        </w:rPr>
        <w:br/>
        <w:t>относно</w:t>
      </w:r>
    </w:p>
    <w:p>
      <w:pPr>
        <w:pStyle w:val="Titreobjet"/>
        <w:rPr>
          <w:noProof/>
        </w:rPr>
      </w:pPr>
      <w:r>
        <w:rPr>
          <w:noProof/>
        </w:rPr>
        <w:t>Позицията на Съвета на първо четене във връзка с приемането на Регламент на Европейския парламент и на Съвета относно Агенцията на Европейския съюз за сътрудничество в областта на правоприлагането (Европол) и за отмяна на решения 2009/371/ПВР, 2009/934/ПВР, 2009/935/ПВР и 2009/968/ПВР на Съвета</w:t>
      </w:r>
    </w:p>
    <w:p>
      <w:pPr>
        <w:pStyle w:val="ManualHeading1"/>
        <w:rPr>
          <w:noProof/>
          <w:sz w:val="22"/>
        </w:rPr>
      </w:pPr>
      <w:r>
        <w:rPr>
          <w:noProof/>
        </w:rPr>
        <w:t>1.</w:t>
      </w:r>
      <w:r>
        <w:rPr>
          <w:noProof/>
        </w:rPr>
        <w:tab/>
        <w:t>Контекст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>
        <w:tc>
          <w:tcPr>
            <w:tcW w:w="680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Дата на предаване на предложението на Европейския парламент и на Съвета</w:t>
            </w:r>
            <w:r>
              <w:rPr>
                <w:noProof/>
              </w:rPr>
              <w:br/>
              <w:t>(документ COM(2013) 173 final — 2013/0091 COD))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27.3.2013 г.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Дата на становището на Европейския икономически и социален комитет: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не е приложимо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Дата на позицията на Европейския парламент на първо четене: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25.2.2014 г.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Дата на предаване на измененото предложение: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не е приложимо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Дата на приемане на позицията на Съвета: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10.3.2016 г.</w:t>
            </w:r>
          </w:p>
        </w:tc>
      </w:tr>
    </w:tbl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Цел на предложението на Комисията</w:t>
      </w:r>
    </w:p>
    <w:p>
      <w:pPr>
        <w:tabs>
          <w:tab w:val="left" w:pos="2302"/>
        </w:tabs>
        <w:spacing w:before="100" w:beforeAutospacing="1" w:after="240"/>
        <w:ind w:firstLine="33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Целта на предложението беше </w:t>
      </w:r>
      <w:r>
        <w:rPr>
          <w:b/>
          <w:noProof/>
          <w:color w:val="000000" w:themeColor="text1"/>
        </w:rPr>
        <w:t>да се приведе Европол в съответствие с изискванията на Договора от Лисабон</w:t>
      </w:r>
      <w:r>
        <w:rPr>
          <w:noProof/>
          <w:color w:val="000000" w:themeColor="text1"/>
        </w:rPr>
        <w:t xml:space="preserve"> чрез създаване на законодателна рамка за Европол в регламент и чрез въвеждане на механизъм за контрол на дейностите на Европол от страна на Европейския парламент заедно с националните парламенти. Предложението имаше за цел също така </w:t>
      </w:r>
      <w:r>
        <w:rPr>
          <w:b/>
          <w:noProof/>
          <w:color w:val="000000" w:themeColor="text1"/>
        </w:rPr>
        <w:t>да се увеличат ефикасността, ефективността и отчетността на Европол</w:t>
      </w:r>
      <w:r>
        <w:rPr>
          <w:noProof/>
          <w:color w:val="000000" w:themeColor="text1"/>
        </w:rPr>
        <w:t xml:space="preserve">. Това трябваше да бъде постигнато чрез засилване на аналитичния капацитет на Европол и насърчаване на предприемането на оперативни действия от страна на държавите членки, като паралелно с това режимът за защита на данни, прилаган от Агенцията, стане още по-строг. С цел по-голяма ефикасност и в съответствие с Общия подход по въпросите на децентрализираните агенции, в предложението се предвиждаше сливането на Европол с Европейската агенция за обучение в областта на правоприлагането (CEPOL). И накрая, чрез предложението управлението на Европол се привеждаше в съответствие с принципите, изложени в Общия подход по въпросите на децентрализираните агенции на ЕС. 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3.</w:t>
      </w:r>
      <w:r>
        <w:rPr>
          <w:noProof/>
        </w:rPr>
        <w:tab/>
        <w:t>Коментари относно позицията на Съвета</w:t>
      </w:r>
    </w:p>
    <w:p>
      <w:pPr>
        <w:pStyle w:val="Text1"/>
        <w:ind w:left="0"/>
        <w:rPr>
          <w:noProof/>
        </w:rPr>
      </w:pPr>
      <w:r>
        <w:rPr>
          <w:noProof/>
        </w:rPr>
        <w:t>По време на тристранната среща, проведена на 26 ноември 2015 г., съзаконодателите постигнаха политическо споразумение, което бе одобрено от Корепер на 27 ноември 2015 г. и от Комисията по граждански свободи, правосъдие и вътрешни работи (LIBE) на Европейския парламент на 30 ноември 2015 г.</w:t>
      </w:r>
    </w:p>
    <w:p>
      <w:pPr>
        <w:pStyle w:val="Text1"/>
        <w:ind w:left="0"/>
        <w:rPr>
          <w:noProof/>
        </w:rPr>
      </w:pPr>
      <w:r>
        <w:rPr>
          <w:noProof/>
        </w:rPr>
        <w:t>Основните разлики между Общата позиция и първоначалното предложение на Комисията са изложени по-долу.</w:t>
      </w:r>
    </w:p>
    <w:p>
      <w:pPr>
        <w:pStyle w:val="Text1"/>
        <w:ind w:left="0"/>
        <w:rPr>
          <w:b/>
          <w:noProof/>
        </w:rPr>
      </w:pPr>
    </w:p>
    <w:p>
      <w:pPr>
        <w:pStyle w:val="Text1"/>
        <w:ind w:left="0"/>
        <w:rPr>
          <w:b/>
          <w:noProof/>
        </w:rPr>
      </w:pPr>
      <w:r>
        <w:rPr>
          <w:b/>
          <w:noProof/>
        </w:rPr>
        <w:t>Сливане на Европол и CEPOL (дял, член 1)</w:t>
      </w:r>
    </w:p>
    <w:p>
      <w:pPr>
        <w:pStyle w:val="Text1"/>
        <w:ind w:left="0"/>
        <w:rPr>
          <w:noProof/>
          <w:szCs w:val="24"/>
        </w:rPr>
      </w:pPr>
      <w:r>
        <w:rPr>
          <w:noProof/>
        </w:rPr>
        <w:t xml:space="preserve">Вследствие на масовото и твърдо противопоставяне на сливането на Cepol и Европол в Съвета и LIBE, Комисията взе решение да се откаже от този аспект на законодателното си предложение. Междувременно беше приет регламент за реформа на CEPOL. Поради тази причина в текста на Общата позиция сливането не се споменава. </w:t>
      </w:r>
    </w:p>
    <w:p>
      <w:pPr>
        <w:pStyle w:val="Text1"/>
        <w:ind w:left="0"/>
        <w:rPr>
          <w:b/>
          <w:noProof/>
        </w:rPr>
      </w:pPr>
    </w:p>
    <w:p>
      <w:pPr>
        <w:pStyle w:val="Text1"/>
        <w:ind w:left="0"/>
        <w:rPr>
          <w:b/>
          <w:noProof/>
        </w:rPr>
      </w:pPr>
      <w:r>
        <w:rPr>
          <w:b/>
          <w:noProof/>
        </w:rPr>
        <w:t>Звено за сигнализиранe за незаконно съдържание в интернет (член 4)</w:t>
      </w:r>
    </w:p>
    <w:p>
      <w:pPr>
        <w:rPr>
          <w:bCs/>
          <w:noProof/>
          <w:color w:val="000000" w:themeColor="text1"/>
        </w:rPr>
      </w:pPr>
      <w:r>
        <w:rPr>
          <w:noProof/>
          <w:color w:val="000000" w:themeColor="text1"/>
        </w:rPr>
        <w:t xml:space="preserve">Общата позиция съдържа разпоредби, необходими за функционирането на звеното за сигнализиране на незаконно съдържание в интернет, което представлява една от важните мерки за борба с тероризма, целящи намаляване на терористичната пропаганда онлайн и ограничаване на достъпа до нея. Звеното за сигнализиране на незаконно съдържание в интернет беше нов елемент в регламента, въведен след терористичните атаки в Париж през 2015 г. Създаването на това звено беше изрично посочено в Европейската програма за сигурност и е от жизнено важно значение при сегашните обстоятелства в областта на сигурността. </w:t>
      </w:r>
      <w:r>
        <w:rPr>
          <w:noProof/>
        </w:rPr>
        <w:t>Текстът дава възможност на Европол да предава публично достъпни лични данни на частни заинтересовани страни, ако това е необходимо, за да се помогне на държавите членки да предотвратяват престъпления, попадащи в правомощията на Европол и извършени или улеснени чрез използването на интернет, и да се борят с такива престъпления.</w:t>
      </w:r>
    </w:p>
    <w:p>
      <w:pPr>
        <w:pStyle w:val="Text1"/>
        <w:ind w:left="0"/>
        <w:rPr>
          <w:b/>
          <w:noProof/>
        </w:rPr>
      </w:pPr>
    </w:p>
    <w:p>
      <w:pPr>
        <w:pStyle w:val="Text1"/>
        <w:ind w:left="0"/>
        <w:rPr>
          <w:b/>
          <w:noProof/>
        </w:rPr>
      </w:pPr>
      <w:r>
        <w:rPr>
          <w:b/>
          <w:noProof/>
        </w:rPr>
        <w:t xml:space="preserve">Разпоредби относно управлението </w:t>
      </w:r>
    </w:p>
    <w:p>
      <w:pPr>
        <w:pStyle w:val="Text1"/>
        <w:ind w:left="0"/>
        <w:rPr>
          <w:noProof/>
        </w:rPr>
      </w:pPr>
      <w:r>
        <w:rPr>
          <w:noProof/>
        </w:rPr>
        <w:t>Разпоредбите относно управлението, представени в първоначалното предложение на Комисията, произтичат от Общия подход по въпросите на децентрализираните агенции на ЕС. Управлението беше една от най-спорните теми, обсъждани по време на преговорите. Съзаконодателите постигнаха следните компромиси:</w:t>
      </w:r>
    </w:p>
    <w:p>
      <w:pPr>
        <w:pStyle w:val="Point1"/>
        <w:rPr>
          <w:noProof/>
        </w:rPr>
      </w:pPr>
      <w:r>
        <w:rPr>
          <w:noProof/>
        </w:rPr>
        <w:t>а)</w:t>
      </w:r>
      <w:r>
        <w:rPr>
          <w:noProof/>
        </w:rPr>
        <w:tab/>
        <w:t>Състав на управителния съвет (член 10)</w:t>
      </w:r>
    </w:p>
    <w:p>
      <w:pPr>
        <w:pStyle w:val="Text1"/>
        <w:ind w:left="720"/>
        <w:rPr>
          <w:b/>
          <w:noProof/>
        </w:rPr>
      </w:pPr>
      <w:r>
        <w:rPr>
          <w:noProof/>
        </w:rPr>
        <w:t xml:space="preserve">Съгласно Общата позиция броят на представителите на Комисията в управителния съвет е намален от двама (както е предвидено в Общия подход по въпросите на децентрализираните агенции) на един. </w:t>
      </w:r>
    </w:p>
    <w:p>
      <w:pPr>
        <w:pStyle w:val="Point1"/>
        <w:rPr>
          <w:noProof/>
        </w:rPr>
      </w:pPr>
      <w:r>
        <w:rPr>
          <w:noProof/>
        </w:rPr>
        <w:t>б)</w:t>
      </w:r>
      <w:r>
        <w:rPr>
          <w:noProof/>
        </w:rPr>
        <w:tab/>
        <w:t>Изпълнителен съвет (бивша глава IV)</w:t>
      </w:r>
    </w:p>
    <w:p>
      <w:pPr>
        <w:pStyle w:val="Text1"/>
        <w:ind w:left="720"/>
        <w:rPr>
          <w:b/>
          <w:noProof/>
        </w:rPr>
      </w:pPr>
      <w:r>
        <w:rPr>
          <w:noProof/>
        </w:rPr>
        <w:t xml:space="preserve">Предложението на Комисията предвиждаше евентуалното създаване на изпълнителен съвет, който да оказва административна подкрепа на управителния съвет и на изпълнителния директор. Вследствие на твърдото противопоставяне от страна на съзаконодателите Общата позиция не съдържа </w:t>
      </w:r>
      <w:r>
        <w:rPr>
          <w:noProof/>
        </w:rPr>
        <w:lastRenderedPageBreak/>
        <w:t>възможност за създаването на такъв орган. Комисията прие заличаването на възможността за създаване на изпълнителен съвет. И все пак, въз основа на член 68 от Общата позиция Комисията ще има възможност да направи в бъдеще оценка на необходимостта от създаването на изпълнителен съвет. Комисията обясни това и в декларация и пое ангажимент за извършването на оценка на ситуацията след две години.</w:t>
      </w:r>
      <w:r>
        <w:rPr>
          <w:noProof/>
          <w:color w:val="000000" w:themeColor="text1"/>
        </w:rPr>
        <w:t xml:space="preserve"> </w:t>
      </w:r>
      <w:r>
        <w:rPr>
          <w:noProof/>
        </w:rPr>
        <w:t>За да не се излагат на риск бъдещи преговори по предложението за Евроюст, декларацията е допълнена от изявление, в което се подчертава важността на изпълнителния съвет за управлението на агенциите на ЕС.</w:t>
      </w:r>
    </w:p>
    <w:p>
      <w:pPr>
        <w:pStyle w:val="Point1"/>
        <w:rPr>
          <w:noProof/>
        </w:rPr>
      </w:pPr>
      <w:r>
        <w:rPr>
          <w:noProof/>
        </w:rPr>
        <w:t>в)</w:t>
      </w:r>
      <w:r>
        <w:rPr>
          <w:noProof/>
        </w:rPr>
        <w:tab/>
        <w:t>Назначаване на изпълнителния директор (член 54)</w:t>
      </w:r>
    </w:p>
    <w:p>
      <w:pPr>
        <w:pStyle w:val="Text1"/>
        <w:ind w:left="720"/>
        <w:rPr>
          <w:b/>
          <w:noProof/>
        </w:rPr>
      </w:pPr>
      <w:r>
        <w:rPr>
          <w:noProof/>
        </w:rPr>
        <w:t xml:space="preserve">Текстът на Общата позиция се различава от предложената от Комисията процедура, която беше приведена в съответствие с Общия подход по въпросите на децентрализираните агенции (предварителен подбор на кандидатите от Комисията и назначаване от управителния съвет).   </w:t>
      </w:r>
    </w:p>
    <w:p>
      <w:pPr>
        <w:spacing w:after="240"/>
        <w:ind w:left="720"/>
        <w:contextualSpacing/>
        <w:rPr>
          <w:noProof/>
        </w:rPr>
      </w:pPr>
      <w:r>
        <w:rPr>
          <w:noProof/>
        </w:rPr>
        <w:t xml:space="preserve">В Общата позиция се установява процедура, при която назначаването се извършва от Съвета въз основа на списък на подбрани кандидати, който се изготвя от смесена комисия, съставена от представител на Комисията и представители на държавите членки. </w:t>
      </w:r>
    </w:p>
    <w:p>
      <w:pPr>
        <w:spacing w:after="240"/>
        <w:contextualSpacing/>
        <w:rPr>
          <w:noProof/>
        </w:rPr>
      </w:pPr>
      <w:r>
        <w:rPr>
          <w:noProof/>
        </w:rPr>
        <w:t xml:space="preserve"> </w:t>
      </w:r>
    </w:p>
    <w:p>
      <w:pPr>
        <w:rPr>
          <w:bCs/>
          <w:noProof/>
          <w:color w:val="000000" w:themeColor="text1"/>
        </w:rPr>
      </w:pPr>
      <w:r>
        <w:rPr>
          <w:noProof/>
          <w:color w:val="000000" w:themeColor="text1"/>
        </w:rPr>
        <w:t xml:space="preserve">Имайки предвид горепосочените отклонения от Общия подход по въпросите на децентрализираните агенции, Комисията реши да направи политическа декларация, подчертавайки, че договореният текст не е напълно в съответствие с принципите на Общия подход. </w:t>
      </w:r>
    </w:p>
    <w:p>
      <w:pPr>
        <w:pStyle w:val="Text1"/>
        <w:ind w:left="0"/>
        <w:rPr>
          <w:noProof/>
        </w:rPr>
      </w:pPr>
    </w:p>
    <w:p>
      <w:pPr>
        <w:pStyle w:val="Text1"/>
        <w:ind w:left="0"/>
        <w:rPr>
          <w:b/>
          <w:noProof/>
        </w:rPr>
      </w:pPr>
      <w:r>
        <w:rPr>
          <w:b/>
          <w:noProof/>
        </w:rPr>
        <w:t>Достъп от страна на Евроюст до информация, съхранявана от Европол (член 21)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Достъпът от страна на Евроюст до информация, съхранявана от Европол, беше сведен до непряк достъп въз основа на наличието на попадение или липсата на попадение (,,hit/no hit“) в резултат на твърдото настояване на Европейския парламент. Това е в съответствие със сходната разпоредба, съдържаща се в Регламента за Евроюст. </w:t>
      </w:r>
    </w:p>
    <w:p>
      <w:pPr>
        <w:pStyle w:val="Text1"/>
        <w:ind w:left="0"/>
        <w:rPr>
          <w:b/>
          <w:noProof/>
        </w:rPr>
      </w:pPr>
    </w:p>
    <w:p>
      <w:pPr>
        <w:pStyle w:val="Text1"/>
        <w:ind w:left="0"/>
        <w:rPr>
          <w:b/>
          <w:noProof/>
        </w:rPr>
      </w:pPr>
      <w:r>
        <w:rPr>
          <w:b/>
          <w:noProof/>
        </w:rPr>
        <w:t xml:space="preserve">Сътрудничество между Европейския надзорен орган по защита на данните и националните надзорни органи (членове 44 и 45) </w:t>
      </w:r>
    </w:p>
    <w:p>
      <w:pPr>
        <w:rPr>
          <w:rFonts w:eastAsia="ヒラギノ角ゴ Pro W3"/>
          <w:noProof/>
        </w:rPr>
      </w:pPr>
      <w:r>
        <w:rPr>
          <w:noProof/>
        </w:rPr>
        <w:t>Общата позиция засилва сътрудничеството между Европейския надзорен орган по защита на данните (ЕНОЗД) и националните надзорни органи, като паралелно с това обезпечава независимостта и ефективността на ЕНОЗД. Сътрудничеството е засилено в два аспекта:</w:t>
      </w:r>
    </w:p>
    <w:p>
      <w:pPr>
        <w:pStyle w:val="Point1"/>
        <w:rPr>
          <w:noProof/>
        </w:rPr>
      </w:pPr>
      <w:r>
        <w:rPr>
          <w:noProof/>
        </w:rPr>
        <w:t>а)</w:t>
      </w:r>
      <w:r>
        <w:rPr>
          <w:noProof/>
        </w:rPr>
        <w:tab/>
        <w:t xml:space="preserve">Създава се Съвет за сътрудничество, който представлява платформа за официални дискусии между ЕНОЗД и националните надзорни органи по защита на данните и в който редовно ще се обсъжда общата стратегия за защита на данните, ще се изготвят хармонизирани предложения за съвместни решения, в които ще се изисква участието на националните органи, ще се разглеждат трудности при тълкуването на Регламента за Европол и т.н. Този нов съвет за сътрудничество е само консултативен орган и не взема решения. </w:t>
      </w:r>
    </w:p>
    <w:p>
      <w:pPr>
        <w:pStyle w:val="Point1"/>
        <w:rPr>
          <w:noProof/>
        </w:rPr>
      </w:pPr>
      <w:r>
        <w:rPr>
          <w:noProof/>
        </w:rPr>
        <w:lastRenderedPageBreak/>
        <w:t>б)</w:t>
      </w:r>
      <w:r>
        <w:rPr>
          <w:noProof/>
        </w:rPr>
        <w:tab/>
        <w:t>Засилено всекидневно сътрудничество между ЕНОЗД и националите надзорни органи (ЕНОЗД ще използва знанията и опита на националните надзорни органи винаги когато изпълнява задълженията си; ЕНОЗД и националните надзорни органи ще извършват съвместни проверки, ЕНОЗД ще консултира съответните национални надзорни органи по случаи, свързани с данни, идващи от една или няколко държави членки, и т.н.)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Комисията прие създаването на Съвета за сътрудничество. За да се постигнат ефективност и съгласуваност и за да се избегне ненужно дублиране, Комисията прие обаче декларация, в която се подчертава, че функциите, упражнявани от Съвета за сътрудничество, учреден с Регламента за Европол, трябва бързо да бъдат поети от Европейския комитет по защита на данните, създаден в контекста на реформата за защита на данните (вж. изявление 2 в раздел 5). </w:t>
      </w:r>
    </w:p>
    <w:p>
      <w:pPr>
        <w:pStyle w:val="Text1"/>
        <w:ind w:left="0"/>
        <w:rPr>
          <w:noProof/>
        </w:rPr>
      </w:pPr>
    </w:p>
    <w:p>
      <w:pPr>
        <w:pStyle w:val="Text1"/>
        <w:ind w:left="0"/>
        <w:rPr>
          <w:b/>
          <w:noProof/>
        </w:rPr>
      </w:pPr>
      <w:r>
        <w:rPr>
          <w:b/>
          <w:noProof/>
        </w:rPr>
        <w:t>Парламентарен контрол (глава VIII)</w:t>
      </w:r>
    </w:p>
    <w:p>
      <w:pPr>
        <w:spacing w:after="240"/>
        <w:contextualSpacing/>
        <w:rPr>
          <w:noProof/>
        </w:rPr>
      </w:pPr>
      <w:r>
        <w:rPr>
          <w:noProof/>
        </w:rPr>
        <w:t>В общ план предложението на Комисията гарантираше, че дейностите на Европол подлежат на парламентарен контрол съгласно изискваното по член 88 от ДФЕС.</w:t>
      </w:r>
    </w:p>
    <w:p>
      <w:pPr>
        <w:spacing w:after="240"/>
        <w:contextualSpacing/>
        <w:rPr>
          <w:noProof/>
        </w:rPr>
      </w:pPr>
      <w:r>
        <w:rPr>
          <w:noProof/>
        </w:rPr>
        <w:t xml:space="preserve">По време на преговорите Европейският парламент подчерта, че е необходимо по-подробно представяне на начина, по който се извършва парламентарният контрол. </w:t>
      </w:r>
    </w:p>
    <w:p>
      <w:pPr>
        <w:spacing w:after="240"/>
        <w:contextualSpacing/>
        <w:rPr>
          <w:noProof/>
        </w:rPr>
      </w:pPr>
      <w:r>
        <w:rPr>
          <w:noProof/>
        </w:rPr>
        <w:t xml:space="preserve">  </w:t>
      </w:r>
    </w:p>
    <w:p>
      <w:pPr>
        <w:rPr>
          <w:noProof/>
        </w:rPr>
      </w:pPr>
      <w:r>
        <w:rPr>
          <w:noProof/>
        </w:rPr>
        <w:t>В резултат на това създаването на Съвместна група за парламентарен контрол (СГПК) беше включено в текста на Общата позиция. СГПК ще бъде специализиран орган, създаден съвместно от националните парламенти и компетентната комисия на Европейския парламент, и ще отговаря за политическия надзор на дейностите на Европол. Надзорът ще включва, наред с другото, информация относно документите за планиране и докладване, консултации с Европейския парламент и националните парламенти по многогодишната работна програма на Европол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и явяване на изпълнителния директор и председателя на управителния съвет за обсъждане на въпроси, свързани с Европол.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Заключение</w:t>
      </w:r>
    </w:p>
    <w:p>
      <w:pPr>
        <w:pStyle w:val="Text1"/>
        <w:ind w:left="0"/>
        <w:rPr>
          <w:bCs/>
          <w:noProof/>
          <w:color w:val="000000" w:themeColor="text1"/>
        </w:rPr>
      </w:pPr>
      <w:r>
        <w:rPr>
          <w:noProof/>
        </w:rPr>
        <w:t>Въпреки промените, въведени чрез Общата позиция, текстът на Общата позиция е най-добрият резултат, който Комисията успя да постигне във водените в продължение на две години преговори с Парламента и Съвета по много сложен текст.</w:t>
      </w:r>
      <w:r>
        <w:rPr>
          <w:noProof/>
          <w:color w:val="000000" w:themeColor="text1"/>
        </w:rPr>
        <w:t xml:space="preserve"> </w:t>
      </w:r>
    </w:p>
    <w:p>
      <w:pPr>
        <w:rPr>
          <w:bCs/>
          <w:noProof/>
          <w:color w:val="000000" w:themeColor="text1"/>
        </w:rPr>
      </w:pPr>
      <w:r>
        <w:rPr>
          <w:noProof/>
          <w:color w:val="000000" w:themeColor="text1"/>
        </w:rPr>
        <w:t xml:space="preserve">Целите на Комисията по отношение на реформата на Европол бяха постигнати чрез привеждането на Европол в съответствие с изискванията на Договора от Лисабон и чрез повишаването на нейната ефикасност, ефективност и отчетност. </w:t>
      </w:r>
    </w:p>
    <w:p>
      <w:pPr>
        <w:rPr>
          <w:bCs/>
          <w:noProof/>
          <w:color w:val="000000" w:themeColor="text1"/>
        </w:rPr>
      </w:pPr>
      <w:r>
        <w:rPr>
          <w:noProof/>
          <w:color w:val="000000" w:themeColor="text1"/>
        </w:rPr>
        <w:t xml:space="preserve">Привеждането на управлението на Европол в съответствие с принципите, посочени в Общия подход по въпросите на децентрализираните агенции на ЕС, не беше изцяло постигнато заради твърдото противопоставяне на съзаконодателите. Комисията ще </w:t>
      </w:r>
      <w:r>
        <w:rPr>
          <w:noProof/>
          <w:color w:val="000000" w:themeColor="text1"/>
        </w:rPr>
        <w:lastRenderedPageBreak/>
        <w:t xml:space="preserve">участва в управлението на агенцията, т.е. ще има представител с право на глас в управителния съвет и ще участва в предварителния подбор на кандидатите за изпълнителен директор. </w:t>
      </w:r>
    </w:p>
    <w:p>
      <w:pPr>
        <w:pStyle w:val="Text1"/>
        <w:ind w:left="0"/>
        <w:rPr>
          <w:noProof/>
        </w:rPr>
      </w:pPr>
    </w:p>
    <w:p>
      <w:pPr>
        <w:rPr>
          <w:b/>
          <w:bCs/>
          <w:smallCaps/>
          <w:noProof/>
          <w:color w:val="000000" w:themeColor="text1"/>
        </w:rPr>
      </w:pPr>
      <w:r>
        <w:rPr>
          <w:b/>
          <w:smallCaps/>
          <w:noProof/>
          <w:color w:val="000000" w:themeColor="text1"/>
        </w:rPr>
        <w:t>5.</w:t>
      </w:r>
      <w:r>
        <w:rPr>
          <w:noProof/>
        </w:rPr>
        <w:tab/>
      </w:r>
      <w:r>
        <w:rPr>
          <w:b/>
          <w:smallCaps/>
          <w:noProof/>
          <w:color w:val="000000" w:themeColor="text1"/>
        </w:rPr>
        <w:t xml:space="preserve">Изявления на Комисията </w:t>
      </w:r>
    </w:p>
    <w:p>
      <w:pPr>
        <w:pStyle w:val="Default"/>
        <w:rPr>
          <w:b/>
          <w:bCs/>
          <w:noProof/>
          <w:sz w:val="23"/>
          <w:szCs w:val="23"/>
        </w:rPr>
      </w:pPr>
    </w:p>
    <w:p>
      <w:pPr>
        <w:pStyle w:val="Default"/>
        <w:jc w:val="both"/>
        <w:rPr>
          <w:noProof/>
        </w:rPr>
      </w:pPr>
      <w:r>
        <w:rPr>
          <w:b/>
          <w:noProof/>
        </w:rPr>
        <w:t xml:space="preserve">1. Относно общия подход по въпросите на децентрализираните агенции на ЕС </w:t>
      </w:r>
    </w:p>
    <w:p>
      <w:pPr>
        <w:pStyle w:val="Default"/>
        <w:jc w:val="both"/>
        <w:rPr>
          <w:noProof/>
        </w:rPr>
      </w:pPr>
      <w:r>
        <w:rPr>
          <w:noProof/>
        </w:rPr>
        <w:t xml:space="preserve">„Комисията припомня, че договореният текст не е изцяло в съответствие с принципите на Общия подход по въпросите на децентрализираните агенции на ЕС. Поради тази причина постигнатото между Европейския парламент и Съвета споразумение относно управлението на Агенцията не засяга каквито и да било законодателни текстове в бъдеще. Комисията продължава да бъде убедена в ползите от създаването на изпълнителен съвет в рамките на структурата на управление на Европол и други агенции. Комисията ще направи преглед на ситуацията във връзка с управлението на Европол в рамките на следващите две години, по-специално за да установи дали са оправдани допълнителни предложения по тази точка.“ </w:t>
      </w:r>
    </w:p>
    <w:p>
      <w:pPr>
        <w:pStyle w:val="Default"/>
        <w:jc w:val="both"/>
        <w:rPr>
          <w:noProof/>
        </w:rPr>
      </w:pPr>
    </w:p>
    <w:p>
      <w:pPr>
        <w:pStyle w:val="Default"/>
        <w:jc w:val="both"/>
        <w:rPr>
          <w:noProof/>
        </w:rPr>
      </w:pPr>
      <w:r>
        <w:rPr>
          <w:b/>
          <w:noProof/>
        </w:rPr>
        <w:t xml:space="preserve">2. Относно Съвета за сътрудничество </w:t>
      </w:r>
    </w:p>
    <w:p>
      <w:pPr>
        <w:rPr>
          <w:noProof/>
          <w:szCs w:val="24"/>
        </w:rPr>
      </w:pPr>
      <w:r>
        <w:rPr>
          <w:noProof/>
        </w:rPr>
        <w:t>„Европейската комисия счита, че след приемането на предложения Общ регламент относно защитата на данните и предложената Директива относно защитата на данните във връзка с обработването им от страна на полицейските и съдебните органи и предвид обявеното преразглеждане на Регламент (ЕО) № 45/2001, за да се постигнат ефективност и съгласуваност и за да се избегне ненужното дублиране, функциите, упражнявани от учредения с настоящия регламент Съвет за сътрудничество, трябва да се упражняват от новосъздадения Европейски комитет по защита на данните.“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СГПК ще бъде също така органът, чрез който ще се извършват консултациите с националните парламенти по многогодишното програмиране. По този начин Европол вече няма да носи отговорност за провеждането на консултации с 28 национални парламента и Европейския парламент относно своето многогодишно програмиране (както беше предвидено в първоначалното предложение на Комисията).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48ABD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620E0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6143B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E2A23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58E49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6D2F8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166A9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EE2EA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4-07 10:50:27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2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2"/>
    <w:docVar w:name="DQCResult_UnknownFonts" w:val="0;0"/>
    <w:docVar w:name="DQCResult_UnknownStyles" w:val="0;5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941AC4EDAF95482398D9DAE15C063702"/>
    <w:docVar w:name="LW_CROSSREFERENCE" w:val="&lt;UNUSED&gt;"/>
    <w:docVar w:name="LW_DocType" w:val="COM"/>
    <w:docVar w:name="LW_EMISSION" w:val="8.4.2016"/>
    <w:docVar w:name="LW_EMISSION_ISODATE" w:val="2016-04-08"/>
    <w:docVar w:name="LW_EMISSION_LOCATION" w:val="BRX"/>
    <w:docVar w:name="LW_EMISSION_PREFIX" w:val="\u1041?\u1088?\u1102?\u1082?\u1089?\u1077?\u1083?, "/>
    <w:docVar w:name="LW_EMISSION_SUFFIX" w:val=" \u1075?."/>
    <w:docVar w:name="LW_ID_DOCMODEL" w:val="SJ-028"/>
    <w:docVar w:name="LW_ID_DOCSTRUCTURE" w:val="COM/PL/CODEC"/>
    <w:docVar w:name="LW_ID_DOCTYPE" w:val="SJ-028"/>
    <w:docVar w:name="LW_INTERETEEE.CP" w:val="&lt;UNUSED&gt;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91"/>
    <w:docVar w:name="LW_REF.II.NEW.CP_YEAR" w:val="2013"/>
    <w:docVar w:name="LW_REF.INST.NEW" w:val="COM"/>
    <w:docVar w:name="LW_REF.INST.NEW_ADOPTED" w:val="final"/>
    <w:docVar w:name="LW_REF.INST.NEW_TEXT" w:val="(2016) 209"/>
    <w:docVar w:name="LW_REF.INTERNE" w:val="&lt;UNUSED&gt;"/>
    <w:docVar w:name="LW_SOUS.TITRE.OBJ.CP" w:val="&lt;UNUSED&gt;"/>
    <w:docVar w:name="LW_SUPERTITRE" w:val="&lt;UNUSED&gt;"/>
    <w:docVar w:name="LW_TITRE.OBJ.CP" w:val="\u1055?\u1086?\u1079?\u1080?\u1094?\u1080?\u1103?\u1090?\u1072? \u1085?\u1072? \u1057?\u1098?\u1074?\u1077?\u1090?\u1072? \u1085?\u1072? \u1087?\u1098?\u1088?\u1074?\u1086? \u1095?\u1077?\u1090?\u1077?\u1085?\u1077? \u1074?\u1098?\u1074? \u1074?\u1088?\u1098?\u1079?\u1082?\u1072? \u1089? \u1087?\u1088?\u1080?\u1077?\u1084?\u1072?\u1085?\u1077?\u1090?\u1086? \u1085?\u1072? \u1056?\u1077?\u1075?\u1083?\u1072?\u1084?\u1077?\u1085?\u1090? \u1085?\u1072? \u1045?\u1074?\u1088?\u1086?\u1087?\u1077?\u1081?\u1089?\u1082?\u1080?\u1103? \u1087?\u1072?\u1088?\u1083?\u1072?\u1084?\u1077?\u1085?\u1090? \u1080? \u1085?\u1072? \u1057?\u1098?\u1074?\u1077?\u1090?\u1072? \u1086?\u1090?\u1085?\u1086?\u1089?\u1085?\u1086? \u1040?\u1075?\u1077?\u1085?\u1094?\u1080?\u1103?\u1090?\u1072? \u1085?\u1072? \u1045?\u1074?\u1088?\u1086?\u1087?\u1077?\u1081?\u1089?\u1082?\u1080?\u1103? \u1089?\u1098?\u1102?\u1079? \u1079?\u1072? \u1089?\u1098?\u1090?\u1088?\u1091?\u1076?\u1085?\u1080?\u1095?\u1077?\u1089?\u1090?\u1074?\u1086? \u1074? \u1086?\u1073?\u1083?\u1072?\u1089?\u1090?\u1090?\u1072? \u1085?\u1072? \u1087?\u1088?\u1072?\u1074?\u1086?\u1087?\u1088?\u1080?\u1083?\u1072?\u1075?\u1072?\u1085?\u1077?\u1090?\u1086? (\u1045?\u1074?\u1088?\u1086?\u1087?\u1086?\u1083?) \u1080? \u1079?\u1072? \u1086?\u1090?\u1084?\u1103?\u1085?\u1072? \u1085?\u1072? \u1088?\u1077?\u1096?\u1077?\u1085?\u1080?\u1103? 2009/371/\u1055?\u1042?\u1056?, 2009/934/\u1055?\u1042?\u1056?, 2009/935/\u1055?\u1042?\u1056? \u1080? 2009/968/\u1055?\u1042?\u1056? \u1085?\u1072? \u1057?\u1098?\u1074?\u1077?\u1090?\u1072?"/>
    <w:docVar w:name="LW_TYPE.DOC.CP" w:val="\u1057?\u1066?\u1054?\u1041?\u1065?\u1045?\u1053?\u1048?\u1045? \u1053?\u1040? \u1050?\u1054?\u1052?\u1048?\u1057?\u1048?\u1071?\u1058?\u1040? \u1044?\u1054? \u1045?\u1042?\u1056?\u1054?\u1055?\u1045?\u1049?\u1057?\u1050?\u1048?\u1071? \u1055?\u1040?\u1056?\u1051?\u1040?\u1052?\u1045?\u1053?\u1058?_x000b__x000b_\u1089?\u1098?\u1075?\u1083?\u1072?\u1089?\u1085?\u1086? \u1095?\u1083?\u1077?\u1085? 294, \u1087?\u1072?\u1088?\u1072?\u1075?\u1088?\u1072?\u1092? 6 \u1086?\u1090? \u1044?\u1086?\u1075?\u1086?\u1074?\u1086?\u1088?\u1072? \u1079?\u1072? \u1092?\u1091?\u1085?\u1082?\u1094?\u1080?\u1086?\u1085?\u1080?\u1088?\u1072?\u1085?\u1077?\u1090?\u1086? \u1085?\u1072? \u1045?\u1074?\u1088?\u1086?\u1087?\u1077?\u1081?\u1089?\u1082?\u1080?\u1103? \u1089?\u1098?\u1102?\u1079?_x000b__x000b_\u1086?\u1090?\u1085?\u1086?\u1089?\u1085?\u1086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706D-2055-4B39-A01B-C9FA9B17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6</Pages>
  <Words>1640</Words>
  <Characters>9760</Characters>
  <Application>Microsoft Office Word</Application>
  <DocSecurity>0</DocSecurity>
  <Lines>195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16</cp:revision>
  <cp:lastPrinted>2016-03-18T17:20:00Z</cp:lastPrinted>
  <dcterms:created xsi:type="dcterms:W3CDTF">2016-04-05T13:23:00Z</dcterms:created>
  <dcterms:modified xsi:type="dcterms:W3CDTF">2016-04-07T08:50:00Z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COM/PL/CODEC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SJ-028</vt:lpwstr>
  </property>
  <property fmtid="{D5CDD505-2E9C-101B-9397-08002B2CF9AE}" pid="10" name="DQCStatus">
    <vt:lpwstr>Green (DQC version 03)</vt:lpwstr>
  </property>
</Properties>
</file>