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1B7B01818BB4090933A03D0030237BA" style="width:450.35pt;height:409.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TOELICHTING</w:t>
      </w:r>
    </w:p>
    <w:p>
      <w:pPr>
        <w:pStyle w:val="ManualHeading1"/>
        <w:rPr>
          <w:noProof/>
        </w:rPr>
      </w:pPr>
      <w:r>
        <w:rPr>
          <w:noProof/>
        </w:rPr>
        <w:t>ACHTERGROND VAN HET VOORSTEL</w:t>
      </w:r>
    </w:p>
    <w:p>
      <w:pPr>
        <w:rPr>
          <w:noProof/>
        </w:rPr>
      </w:pPr>
      <w:r>
        <w:rPr>
          <w:noProof/>
        </w:rPr>
        <w:t>De eengemaakte interne markt is een van de grootste verwezenlijkingen van de Europese Unie. Integratie en een perfect werkende interne markt zijn onontbeerlijk om de Europa 2020-strategie te doen slagen en de EU-economie op een duurzaam groeipad te brengen om uit de financiële en de staatsschuldencrisis te geraken die sinds 2008 aan de gang is.</w:t>
      </w:r>
    </w:p>
    <w:p>
      <w:pPr>
        <w:rPr>
          <w:noProof/>
        </w:rPr>
      </w:pPr>
      <w:r>
        <w:rPr>
          <w:noProof/>
        </w:rPr>
        <w:t>Omdat de kapitaalmarkten mondiaal zijn, is het van essentieel belang dat de voorschriften voor de financiële verslaggeving en de controle van jaarrekeningen wereldwijd worden geharmoniseerd om een vlotte werking van de kapitaalmarkten te verzekeren en binnen de EU een geïntegreerde markt voor financiële diensten tot stand te brengen. In plaats van haar eigen reeks standaarden voor financiële verslaggeving in te voeren, besloot de EU in 2002 met de vaststelling van Verordening 1606/2002 betreffende de toepassing van internationale standaarden voor jaarrekeningen (de IAS-verordening) om internationaal overeengekomen standaarden voor jaarrekeningen, de zogenaamde International Financial Reporting Standards (IFRS), ontwikkeld door de International Accounting Standards Board (IASB), uit te voeren.</w:t>
      </w:r>
    </w:p>
    <w:p>
      <w:pPr>
        <w:tabs>
          <w:tab w:val="left" w:pos="120"/>
        </w:tabs>
        <w:rPr>
          <w:noProof/>
        </w:rPr>
      </w:pPr>
      <w:r>
        <w:rPr>
          <w:noProof/>
        </w:rPr>
        <w:t>Nu meer en meer landen de weg van de IFRS inslaan en die standaarden goedkeuren, moet de EU met één stem spreken. De European Financial Reporting Advisory Group (EFRAG), het technische adviesorgaan van de Europese Commissie op boekhoudgebied, heeft geleidelijk de rol op zich genomen om in een vroeg stadium een technische en geloofwaardige bijdrage te leveren aan het IASB-proces voor de vaststelling van standaarden.</w:t>
      </w:r>
    </w:p>
    <w:p>
      <w:pPr>
        <w:rPr>
          <w:noProof/>
        </w:rPr>
      </w:pPr>
      <w:r>
        <w:rPr>
          <w:noProof/>
        </w:rPr>
        <w:t>Zowel de instantie die internationale standaarden vaststelt, als de organisatie die de Europese belangen behartigt, moet onafhankelijk zijn, moet over voldoende capaciteit en deskundigheid beschikken om kwaliteitsvolle standaarden op te stellen, respectievelijk bijdragen aan deze standaarden te leveren, en moet een solide financiële basis hebben om haar taken van algemeen belang op lange termijn te kunnen uitvoeren.</w:t>
      </w:r>
    </w:p>
    <w:p>
      <w:pPr>
        <w:rPr>
          <w:noProof/>
        </w:rPr>
      </w:pPr>
      <w:r>
        <w:rPr>
          <w:noProof/>
        </w:rPr>
        <w:t>Daartoe hebben het Europees Parlement en de Raad in 2009 een Gemeenschapsprogramma ter ondersteuning van specifieke activiteiten op het gebied van financiële diensten, financiële verslaggeving en controle van jaarrekeningen vastgesteld</w:t>
      </w:r>
      <w:r>
        <w:rPr>
          <w:rStyle w:val="FootnoteReference"/>
          <w:noProof/>
        </w:rPr>
        <w:footnoteReference w:id="1"/>
      </w:r>
      <w:r>
        <w:rPr>
          <w:noProof/>
        </w:rPr>
        <w:t>. Dit programma werd verlengd bij Verordening (EU) nr. 258/2014 van het Europees Parlement en de Raad van 3 april 2014 (hierna "de financieringsverordening" genoemd). De begunstigden van het verlengde programma zijn de IFRS Foundation, de EFRAG en de Public Interest Oversight Board (PIOB).</w:t>
      </w:r>
    </w:p>
    <w:p>
      <w:pPr>
        <w:rPr>
          <w:noProof/>
        </w:rPr>
      </w:pPr>
      <w:r>
        <w:rPr>
          <w:noProof/>
        </w:rPr>
        <w:t>De financieringsverordening verlengde de financiering van de IFRS Foundation en de PIOB voor de periode 2014-2020. Omdat de EFRAG in 2014 een grote bestuurshervorming onderging, wat met onzekerheden gepaard ging, besloten de medewetgevers om zijn financieringsperiode tot eind 2016 te beperken, en verzochten zij de Commissie om een wetgevingsvoorstel in te dienen om de financiering van de EFRAG desgevallend na 31 december 2016 voort te zetten. Inmiddels werd de bestuurshervorming van de EFRAG met succes uitgevoerd op 31 oktober 2014. Het doel van deze verordening is bijgevolg om de medefinanciering van de Unie van de EFRAG te verlengen voor de periode 2017-2020 in het kader van het Unieprogramma dat bij de financieringsverordening is ingesteld.</w:t>
      </w:r>
    </w:p>
    <w:p>
      <w:pPr>
        <w:pStyle w:val="ManualHeading2"/>
        <w:rPr>
          <w:noProof/>
        </w:rPr>
      </w:pPr>
      <w:r>
        <w:t>1.1.</w:t>
      </w:r>
      <w:r>
        <w:tab/>
      </w:r>
      <w:r>
        <w:rPr>
          <w:noProof/>
        </w:rPr>
        <w:t>EFRAG</w:t>
      </w:r>
    </w:p>
    <w:p>
      <w:pPr>
        <w:rPr>
          <w:noProof/>
        </w:rPr>
      </w:pPr>
      <w:r>
        <w:rPr>
          <w:noProof/>
        </w:rPr>
        <w:t>De EFRAG is in 2001 opgericht als een particuliere organisatie die de Commissie met zijn technische deskundigheid moet bijstaan in aangelegenheden op het gebied van financiële verslaggeving. Aanvankelijk bracht de EFRAG vooral advies uit aan de Commissie over de vraag of een bepaalde, voor toepassing in de Unie goed te keuren internationale standaard voor jaarrekeningen aan de technische goedkeuringscriteria voldeed</w:t>
      </w:r>
      <w:r>
        <w:rPr>
          <w:rStyle w:val="FootnoteReference"/>
          <w:noProof/>
        </w:rPr>
        <w:footnoteReference w:id="2"/>
      </w:r>
      <w:r>
        <w:rPr>
          <w:noProof/>
        </w:rPr>
        <w:t>. De EFRAG is de werkzaamheden van de IASB op het gebied van de vaststelling van standaarden geleidelijk proactief gaan beïnvloeden. Thans geeft de organisatie commentaar op ontwerpstandaarden en draagt zij in een vroeg stadium tot de werkzaamheden bij door middel van de publicatie van discussiestukken over actuele boekhoudkwesties.</w:t>
      </w:r>
    </w:p>
    <w:p>
      <w:pPr>
        <w:rPr>
          <w:noProof/>
        </w:rPr>
      </w:pPr>
      <w:r>
        <w:rPr>
          <w:noProof/>
        </w:rPr>
        <w:t>Aanvankelijk waren de vertegenwoordiging en de stemrechten in de bestuursorganen van de EFRAG (zoals de algemene vergadering en de raad van toezicht) afhankelijk van de financiële bijdrage aan de begroting van de EFRAG. Het orgaan dat met de technische kernwerkzaamheden is belast, namelijk de Technical Expert Group, is altijd onafhankelijk geweest.</w:t>
      </w:r>
    </w:p>
    <w:p>
      <w:pPr>
        <w:rPr>
          <w:noProof/>
        </w:rPr>
      </w:pPr>
      <w:r>
        <w:rPr>
          <w:noProof/>
        </w:rPr>
        <w:t>Op 12 november 2013 publiceerde de Commissie het verslag van Philippe Maystadt, bijzonder adviseur van de commissaris voor Interne Markt en Diensten, waarin hij mogelijke hervormingen van het bestuur van de EFRAG aanbeval om de bijdrage van de Unie aan de ontwikkeling van internationale standaarden voor jaarrekeningen te versterken. De aanbevelingen van Philippe Maystadt konden op ruime steun rekenen van de ECOFIN-raad van 15 november 2014. Ook het Europees Parlement en de Raad achtten het noodzakelijk dat het bestuur van de EFRAG tijdig zou worden hervormd zodat de verwachte doelstellingen van het bij de financieringsverordening van 2014 vastgestelde medefinancieringsprogramma zouden kunnen worden verwezenlijkt.</w:t>
      </w:r>
    </w:p>
    <w:p>
      <w:pPr>
        <w:rPr>
          <w:noProof/>
          <w:szCs w:val="24"/>
        </w:rPr>
      </w:pPr>
      <w:r>
        <w:rPr>
          <w:noProof/>
        </w:rPr>
        <w:t>In juli 2014 diende de Commissie bij het Europees Parlement en de Raad een verslag</w:t>
      </w:r>
      <w:r>
        <w:rPr>
          <w:rStyle w:val="FootnoteReference"/>
          <w:noProof/>
        </w:rPr>
        <w:footnoteReference w:id="3"/>
      </w:r>
      <w:r>
        <w:rPr>
          <w:noProof/>
        </w:rPr>
        <w:t xml:space="preserve"> in over de gemaakte vorderingen bij het doorvoeren van de hervorming van de EFRAG, waarvan de conclusie luidde dat er al heel wat vooruitgang was geboekt.</w:t>
      </w:r>
    </w:p>
    <w:p>
      <w:pPr>
        <w:rPr>
          <w:noProof/>
        </w:rPr>
      </w:pPr>
      <w:r>
        <w:rPr>
          <w:noProof/>
        </w:rPr>
        <w:t>De hervorming betrof een fundamentele wijziging van de statuten en het huishoudelijk reglement van de EFRAG om een nieuwe bestuursstructuur op te nemen waardoor de legitimiteit en de representativiteit van EFRAG groter worden. De gewijzigde statuten en het gewijzigde huishoudelijk reglement van de EFRAG werden op 16 juni 2014 goedgekeurd en gingen op 31 oktober 2014 in. Op dezelfde dag breidde de EFRAG zijn lidmaatschap</w:t>
      </w:r>
      <w:r>
        <w:rPr>
          <w:rStyle w:val="FootnoteReference"/>
          <w:noProof/>
        </w:rPr>
        <w:footnoteReference w:id="4"/>
      </w:r>
      <w:r>
        <w:rPr>
          <w:noProof/>
        </w:rPr>
        <w:t xml:space="preserve"> uit en de nieuwe bestuursstructuur werd operationeel vanaf november 2014.</w:t>
      </w:r>
    </w:p>
    <w:p>
      <w:pPr>
        <w:rPr>
          <w:noProof/>
        </w:rPr>
      </w:pPr>
      <w:r>
        <w:rPr>
          <w:noProof/>
        </w:rPr>
        <w:t xml:space="preserve">Bij de hervorming van de EFRAG werd een nieuw besluitvormingsorgaan opgericht, namelijk een nieuwe raad waarin publieke en particuliere belangen evenwichtig vertegenwoordigd zijn. De raad van de EFRAG neemt al zijn besluiten bij consensus nadat de resultaten van de geijkte procedure van de EFRAG in overweging zijn genomen. De Commissie, de Europese toezichthoudende autoriteiten en de Europese Centrale Bank hebben als waarnemers bijgedragen aan de discussies van de raad. De voorzitter van de raad wordt voorgedragen door de Commissie na raadpleging van het Europees Parlement en de Raad. Momenteel treedt een van de leden van de raad als voorzitter op, in afwachting van de formele benoeming. De Commissie zorgt ervoor dat het Regelgevend Comité voor financiële verslaglegging de EFRAG input levert of om specifieke beoordelingen verzoekt wanneer dat nodig is. Bijgevolg is de EFRAG nu goed uitgerust om de legitimiteit van zijn standpunten te versterken en in grote mate bij te dragen aan de doelstelling Europa met één stem te doen spreken. </w:t>
      </w:r>
    </w:p>
    <w:p>
      <w:pPr>
        <w:rPr>
          <w:noProof/>
        </w:rPr>
      </w:pPr>
      <w:r>
        <w:rPr>
          <w:noProof/>
        </w:rPr>
        <w:t>Om in de ontwikkelingsfase van nieuwe standaarden een belangrijke rol te blijven spelen zodat met de behoeften en belangen van de Unie rekening wordt gehouden, en om de Commissie te voorzien van kwalitatief hoogwaardig goedkeuringsadvies over nieuwe of gewijzigde standaarden, heeft de EFRAG solide en diverse financiering op lange termijn nodig om geloofwaardig en onafhankelijk te zijn, en topdeskundigen in dienst te hebben die documenten van de hoogste kwaliteit kunnen produceren.</w:t>
      </w:r>
    </w:p>
    <w:p>
      <w:pPr>
        <w:rPr>
          <w:noProof/>
        </w:rPr>
      </w:pPr>
      <w:r>
        <w:rPr>
          <w:noProof/>
        </w:rPr>
        <w:t>De financieringsverordening voorzag voor de EFRAG in een bedrag van 9 303 000 EUR voor de periode 2014-2016. De huidige verordening stelt voor de EFRAG een extra bedrag van 13 831 000 EUR toe te wijzen voor de periode 2017-2020. Dit bedrag stemt overeen met het financieringsbedrag dat voor die periode voor de EFRAG was opgenomen in het voorstel van de Commissie van 19 december 2012 voor de thans geldende financieringsverordening. Om de operationele continuïteit van de EFRAG te garanderen, moet de medefinanciering van de EU worden gehandhaafd, aangezien die ongeveer 60 % van de begroting van de EFRAG uitmaakt.</w:t>
      </w:r>
    </w:p>
    <w:p>
      <w:pPr>
        <w:pStyle w:val="ManualHeading1"/>
        <w:rPr>
          <w:noProof/>
        </w:rPr>
      </w:pPr>
      <w:r>
        <w:rPr>
          <w:noProof/>
        </w:rPr>
        <w:t>2.</w:t>
      </w:r>
      <w:r>
        <w:rPr>
          <w:noProof/>
        </w:rPr>
        <w:tab/>
        <w:t>RECHTSGRONDSLAG, SUBSIDIARITEIT EN EVENREDIGHEID</w:t>
      </w:r>
    </w:p>
    <w:p>
      <w:pPr>
        <w:pStyle w:val="ManualHeading2"/>
        <w:rPr>
          <w:noProof/>
        </w:rPr>
      </w:pPr>
      <w:r>
        <w:rPr>
          <w:noProof/>
        </w:rPr>
        <w:t>2.1.</w:t>
      </w:r>
      <w:r>
        <w:rPr>
          <w:noProof/>
        </w:rPr>
        <w:tab/>
        <w:t>Rechtsgrondslag</w:t>
      </w:r>
    </w:p>
    <w:p>
      <w:pPr>
        <w:rPr>
          <w:noProof/>
        </w:rPr>
      </w:pPr>
      <w:r>
        <w:rPr>
          <w:noProof/>
        </w:rPr>
        <w:t>De rechtsgrondslag is het Verdrag betreffende de werking van de Europese Unie, en met name artikel 114.</w:t>
      </w:r>
    </w:p>
    <w:p>
      <w:pPr>
        <w:rPr>
          <w:noProof/>
        </w:rPr>
      </w:pPr>
      <w:r>
        <w:rPr>
          <w:noProof/>
        </w:rPr>
        <w:t>In overeenstemming met het in het raam van het meerjarige financiële kader goedgekeurde wetgevingsbeleid van de Commissie wordt dit financieringsprogramma voorgesteld in de vorm van een verordening.</w:t>
      </w:r>
    </w:p>
    <w:p>
      <w:pPr>
        <w:pStyle w:val="ManualHeading2"/>
        <w:rPr>
          <w:noProof/>
        </w:rPr>
      </w:pPr>
      <w:r>
        <w:rPr>
          <w:noProof/>
        </w:rPr>
        <w:t>2.2.</w:t>
      </w:r>
      <w:r>
        <w:rPr>
          <w:noProof/>
        </w:rPr>
        <w:tab/>
        <w:t>Subsidiariteitsbeginsel</w:t>
      </w:r>
    </w:p>
    <w:p>
      <w:pPr>
        <w:rPr>
          <w:noProof/>
        </w:rPr>
      </w:pPr>
      <w:r>
        <w:rPr>
          <w:noProof/>
        </w:rPr>
        <w:t>Het Unieprogramma voorziet in de mogelijkheid om medefinanciering te verlenen voor activiteiten van bepaalde organen die doelstellingen van algemeen Uniebelang nastreven in verband met Uniebrede kwesties op het gebied van financiële verslaggeving en controle van jaarrekeningen. Het voorstel is in overeenstemming met het subsidiariteitsbeginsel aangezien overeenkomstig artikel 5 van het Verdrag betreffende de Europese Unie de doelstellingen ervan niet voldoende door de lidstaten kunnen worden verwezenlijkt en derhalve wegens de omvang en de gevolgen van het optreden beter door de Unie kunnen worden gerealiseerd.</w:t>
      </w:r>
    </w:p>
    <w:p>
      <w:pPr>
        <w:pStyle w:val="ManualHeading2"/>
        <w:rPr>
          <w:noProof/>
        </w:rPr>
      </w:pPr>
      <w:r>
        <w:rPr>
          <w:noProof/>
        </w:rPr>
        <w:t>2.3.</w:t>
      </w:r>
      <w:r>
        <w:rPr>
          <w:noProof/>
        </w:rPr>
        <w:tab/>
        <w:t>Evenredigheids</w:t>
      </w:r>
      <w:r>
        <w:rPr>
          <w:noProof/>
          <w:color w:val="000000"/>
        </w:rPr>
        <w:t>beginsel</w:t>
      </w:r>
    </w:p>
    <w:p>
      <w:pPr>
        <w:rPr>
          <w:noProof/>
        </w:rPr>
      </w:pPr>
      <w:r>
        <w:rPr>
          <w:noProof/>
        </w:rPr>
        <w:t>Het voorstel is in overeenstemming met het evenredigheidsbeginsel, zoals vastgelegd in artikel 5 van het Verdrag betreffende de Europese Unie. Zoals beoordeeld in de voorafgaande evaluatie bij het voorstel van de Commissie van 19 december 2012 voor de thans geldende financieringsverordening, gaat deze verordening niet verder dan wat nodig is om haar doelstellingen te verwezenlijken. Er wordt Uniefinanciering voorgesteld voor een duidelijk omschreven en beperkt aantal van de belangrijkste organen op het gebied van financiële diensten. Binnen het huidige institutionele kader zullen de nieuwe financieringsregelingen zorgen voor een stabiele, gediversifieerde, degelijke en toereikende financiering zodat deze organen hun taken die verband houden met de Unie of die het algemeen belang van de Unie dienen, op een onafhankelijke en efficiënte manier kunnen vervullen. De financiële steun zal worden verleend overeenkomstig de voorwaarden die zijn neergelegd in Verordening (EU, Euratom) nr. 966/2012 van het Europees Parlement en de Raad van 25 oktober 2012 tot vaststelling van de financiële regels van toepassing op de algemene begroting van de Unie en Gedelegeerde Verordening (EU, Euratom) nr. 1268/2012 van de Commissie van 29 oktober 2012 houdende uitvoeringsvoorschriften voor Verordening (EU, Euratom) nr. 966/2012.</w:t>
      </w:r>
    </w:p>
    <w:p>
      <w:pPr>
        <w:pStyle w:val="ManualHeading1"/>
        <w:rPr>
          <w:noProof/>
        </w:rPr>
      </w:pPr>
      <w:r>
        <w:rPr>
          <w:noProof/>
        </w:rPr>
        <w:t>3.</w:t>
      </w:r>
      <w:r>
        <w:rPr>
          <w:noProof/>
        </w:rPr>
        <w:tab/>
        <w:t>RESULTATEN VAN EX-POSTEVALUATIES, RAADPLEGINGEN VAN BELANGHEBBENDEN EN EFFECTBEOORDELINGEN</w:t>
      </w:r>
    </w:p>
    <w:p>
      <w:pPr>
        <w:autoSpaceDE w:val="0"/>
        <w:autoSpaceDN w:val="0"/>
        <w:adjustRightInd w:val="0"/>
        <w:spacing w:before="0" w:after="0"/>
        <w:rPr>
          <w:noProof/>
        </w:rPr>
      </w:pPr>
      <w:r>
        <w:rPr>
          <w:noProof/>
        </w:rPr>
        <w:t>In de voorafgaande evaluatie</w:t>
      </w:r>
      <w:r>
        <w:rPr>
          <w:rStyle w:val="FootnoteReference"/>
          <w:noProof/>
        </w:rPr>
        <w:footnoteReference w:id="5"/>
      </w:r>
      <w:r>
        <w:rPr>
          <w:noProof/>
        </w:rPr>
        <w:t xml:space="preserve"> bij het voorstel van de Commissie van 19 december 2012 voor de thans geldende financieringsverordening werden verschillende mogelijke alternatieven voor de financiering van de EFRAG beoordeeld. Het bij de verordening ingestelde programma had ten doel een stabiele, gediversifieerde, degelijke en toereikende financiering te garanderen, zodat de EFRAG zijn taken op een onafhankelijke en efficiënte manier kan uitvoeren. De conclusie luidde dat medefinanciering van de Unie de meest efficiënte optie is. Die beoordeling is nog altijd geldig na de bestuurshervorming van de EFRAG die in 2014 is uitgevoerd.</w:t>
      </w:r>
    </w:p>
    <w:p>
      <w:pPr>
        <w:autoSpaceDE w:val="0"/>
        <w:autoSpaceDN w:val="0"/>
        <w:adjustRightInd w:val="0"/>
        <w:spacing w:before="0" w:after="0"/>
        <w:rPr>
          <w:noProof/>
        </w:rPr>
      </w:pPr>
    </w:p>
    <w:p>
      <w:pPr>
        <w:autoSpaceDE w:val="0"/>
        <w:autoSpaceDN w:val="0"/>
        <w:adjustRightInd w:val="0"/>
        <w:spacing w:before="0" w:after="0"/>
        <w:rPr>
          <w:noProof/>
        </w:rPr>
      </w:pPr>
      <w:r>
        <w:rPr>
          <w:noProof/>
        </w:rPr>
        <w:t>In de voorafgaande evaluatie werd geconcludeerd dat het programma met betrekking tot de EFRAG tot dusver aan de vastgelegde doelstellingen voldoet en dat de financiering zou moeten worden voortgezet. Zoals hierboven uitgelegd werd het bestuur van de EFRAG met succes hervormd in 2014 na de aanbevelingen die in het verslag van Philippe Maystadt waren gedaan. In het verslag van de Commissie aan het Europees Parlement en de Raad van 17 september 2015</w:t>
      </w:r>
      <w:r>
        <w:rPr>
          <w:rStyle w:val="FootnoteReference"/>
          <w:noProof/>
        </w:rPr>
        <w:footnoteReference w:id="6"/>
      </w:r>
      <w:r>
        <w:rPr>
          <w:noProof/>
        </w:rPr>
        <w:t xml:space="preserve"> werden de activiteiten van de EFRAG na de hervorming gunstig beoordeeld. In het verslag bevestigde de Commissie dat de EFRAG in zijn goedkeuringsbeoordelingen naging of de IFRS aan alle technische criteria van de IAS-verordening voldeden. Na zijn bestuurshervorming heeft de EFRAG zijn beoordelingen uitgebreid naar de vraag of nieuwe of voorgestelde vereisten op het gebied van financiële verslaggeving het openbaar belang dienen. De Commissie is ook ingenomen met de bereidheid van de EFRAG om zijn capaciteit verder te ontwikkelen met betrekking tot de analyse van de effecten van standaarden, waaronder macro-economische effecten zoals nadelige gevolgen voor de financiële stabiliteit of de economische ontwikkeling in de EU.</w:t>
      </w:r>
    </w:p>
    <w:p>
      <w:pPr>
        <w:autoSpaceDE w:val="0"/>
        <w:autoSpaceDN w:val="0"/>
        <w:adjustRightInd w:val="0"/>
        <w:spacing w:before="0" w:after="0"/>
        <w:jc w:val="left"/>
        <w:rPr>
          <w:noProof/>
          <w:szCs w:val="24"/>
        </w:rPr>
      </w:pPr>
    </w:p>
    <w:p>
      <w:pPr>
        <w:autoSpaceDE w:val="0"/>
        <w:autoSpaceDN w:val="0"/>
        <w:adjustRightInd w:val="0"/>
        <w:spacing w:before="0" w:after="0"/>
        <w:rPr>
          <w:noProof/>
          <w:szCs w:val="24"/>
        </w:rPr>
      </w:pPr>
      <w:r>
        <w:rPr>
          <w:noProof/>
        </w:rPr>
        <w:t>Het is derhalve passend voor te stellen dat de financiering van de EFRAG wordt voortgezet voor de periode 2017-2020, zodat de langetermijndoelstellingen van het Unieprogramma ter ondersteuning van specifieke activiteiten op het gebied van financiële verslaggeving en controle van jaarrekeningen kunnen worden verwezenlijkt. Zie voor nadere informatie de voorafgaande evaluatie van de diensten van de Commissie bij het voorstel van de Commissie van 19 december 2012 voor de thans geldende financieringsverordening (COM(2012) 782 final).</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0" w:after="240"/>
        <w:rPr>
          <w:noProof/>
        </w:rPr>
      </w:pPr>
      <w:r>
        <w:rPr>
          <w:noProof/>
        </w:rPr>
        <w:t>De voorgestelde verordening waarbij de financiering van de EFRAG wordt verlengd voor de periode 2017-2020 zal de totale begroting van het programma ter ondersteuning van specifieke activiteiten op het gebied van financiële verslaggeving en controle van jaarrekeningen verhogen van 43,176 miljoen EUR tot ongeveer 57 miljoen EUR.</w:t>
      </w:r>
    </w:p>
    <w:p>
      <w:pPr>
        <w:pBdr>
          <w:top w:val="nil"/>
          <w:left w:val="nil"/>
          <w:bottom w:val="nil"/>
          <w:right w:val="nil"/>
          <w:between w:val="nil"/>
          <w:bar w:val="nil"/>
        </w:pBdr>
        <w:spacing w:before="0" w:after="240"/>
        <w:rPr>
          <w:noProof/>
        </w:rPr>
      </w:pPr>
      <w:r>
        <w:rPr>
          <w:noProof/>
        </w:rPr>
        <w:t>Dit zal leiden tot een extra bedrag dat door de begroting van de Unie moet worden gedragen, van 13,831 miljoen EUR.</w:t>
      </w:r>
    </w:p>
    <w:p>
      <w:pPr>
        <w:pBdr>
          <w:top w:val="nil"/>
          <w:left w:val="nil"/>
          <w:bottom w:val="nil"/>
          <w:right w:val="nil"/>
          <w:between w:val="nil"/>
          <w:bar w:val="nil"/>
        </w:pBdr>
        <w:spacing w:before="0" w:after="24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2016/0110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tot wijziging van Verordening (EU) nr. 258/2014 tot vaststelling van een Unieprogramma ter ondersteuning van specifieke activiteiten op het gebied van financiële verslaggeving en controle van jaarrekeningen voor de periode 2014-2020</w:t>
      </w:r>
    </w:p>
    <w:p>
      <w:pPr>
        <w:pStyle w:val="IntrtEEE"/>
        <w:rPr>
          <w:noProof/>
        </w:rPr>
      </w:pPr>
      <w:r>
        <w:rPr>
          <w:noProof/>
        </w:rPr>
        <w:t>(Voor de EER relevante tekst)</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114,</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Economisch en Sociaal Comité</w:t>
      </w:r>
      <w:r>
        <w:rPr>
          <w:rStyle w:val="FootnoteReference"/>
          <w:noProof/>
        </w:rPr>
        <w:footnoteReference w:id="7"/>
      </w:r>
      <w:r>
        <w:rPr>
          <w:noProof/>
        </w:rPr>
        <w:t>,</w:t>
      </w:r>
    </w:p>
    <w:p>
      <w:pPr>
        <w:rPr>
          <w:noProof/>
        </w:rPr>
      </w:pPr>
      <w:r>
        <w:rPr>
          <w:noProof/>
        </w:rPr>
        <w:t>Handelend volgens de gewone wetgevingsprocedure,</w:t>
      </w:r>
    </w:p>
    <w:p>
      <w:pPr>
        <w:rPr>
          <w:noProof/>
        </w:rPr>
      </w:pPr>
      <w:r>
        <w:rPr>
          <w:noProof/>
        </w:rPr>
        <w:t>Overwegende hetgeen volgt:</w:t>
      </w:r>
    </w:p>
    <w:p>
      <w:pPr>
        <w:pStyle w:val="ManualConsidrant"/>
        <w:rPr>
          <w:noProof/>
        </w:rPr>
      </w:pPr>
      <w:r>
        <w:t>(1)</w:t>
      </w:r>
      <w:r>
        <w:tab/>
      </w:r>
      <w:r>
        <w:rPr>
          <w:noProof/>
        </w:rPr>
        <w:t>Op grond van Verordening (EU) nr. 258/2014 van het Europees Parlement en de Raad</w:t>
      </w:r>
      <w:r>
        <w:rPr>
          <w:rStyle w:val="FootnoteReference"/>
          <w:noProof/>
        </w:rPr>
        <w:footnoteReference w:id="8"/>
      </w:r>
      <w:r>
        <w:rPr>
          <w:noProof/>
        </w:rPr>
        <w:t xml:space="preserve"> genieten de International Financial Reporting Standards Foundation (de IFRS Foundation), die de rechtsopvolgster van de International Accounting Standards Committee Foundation (IASCF) is, en de Public Interest Oversight Board (PIOB) tot 31 december 2020 medefinanciering van de Unie in de vorm van exploitatiesubsidies.</w:t>
      </w:r>
    </w:p>
    <w:p>
      <w:pPr>
        <w:pStyle w:val="ManualConsidrant"/>
        <w:rPr>
          <w:noProof/>
        </w:rPr>
      </w:pPr>
      <w:r>
        <w:t>(2)</w:t>
      </w:r>
      <w:r>
        <w:tab/>
      </w:r>
      <w:r>
        <w:rPr>
          <w:noProof/>
        </w:rPr>
        <w:t>De European Financial Reporting Advisory Group (EFRAG) geniet op grond van Verordening (EU) nr. 258/2014 medefinanciering van de Unie in de vorm van exploitatiesubsidies tot 31 december 2016.</w:t>
      </w:r>
    </w:p>
    <w:p>
      <w:pPr>
        <w:pStyle w:val="ManualConsidrant"/>
        <w:rPr>
          <w:noProof/>
        </w:rPr>
      </w:pPr>
      <w:r>
        <w:t>(3)</w:t>
      </w:r>
      <w:r>
        <w:tab/>
      </w:r>
      <w:r>
        <w:rPr>
          <w:noProof/>
        </w:rPr>
        <w:t>Op 12 november 2013 publiceerde de Commissie het verslag van Philippe Maystadt, bijzonder adviseur van de commissaris voor Interne Markt en Diensten, waarin hij mogelijke hervormingen van het bestuur van de EFRAG aanbeval om de bijdrage van de Unie aan de ontwikkeling van internationale standaarden voor jaarrekeningen te versterken.</w:t>
      </w:r>
    </w:p>
    <w:p>
      <w:pPr>
        <w:pStyle w:val="ManualConsidrant"/>
        <w:rPr>
          <w:noProof/>
        </w:rPr>
      </w:pPr>
      <w:r>
        <w:t>(4)</w:t>
      </w:r>
      <w:r>
        <w:tab/>
      </w:r>
      <w:r>
        <w:rPr>
          <w:noProof/>
        </w:rPr>
        <w:t>De Commissie volgde de uitvoering van de bestuurshervormingen in de EFRAG op de voet en hield het Europees Parlement en de Raad op de hoogte van de vooruitgang die daarbij werd geboekt. De Commissie stelde vast dat de EFRAG de conclusies van het verslag van de bijzonder adviseur met succes had uitgevoerd, door een nieuwe bestuursstructuur in te voeren waardoor de legitimiteit en de representativiteit van de EFRAG groter zijn geworden. Het is derhalve passend de financiering van de EFRAG voort te zetten voor de periode 2017-2020, zodat de langetermijndoelstellingen van het Unieprogramma ter ondersteuning van specifieke activiteiten op het gebied van financiële verslaggeving en controle van jaarrekeningen kunnen worden verwezenlijkt.</w:t>
      </w:r>
    </w:p>
    <w:p>
      <w:pPr>
        <w:pStyle w:val="ManualConsidrant"/>
        <w:rPr>
          <w:noProof/>
        </w:rPr>
      </w:pPr>
      <w:r>
        <w:t>(5)</w:t>
      </w:r>
      <w:r>
        <w:tab/>
      </w:r>
      <w:r>
        <w:rPr>
          <w:noProof/>
        </w:rPr>
        <w:t>Verordening (EU) nr. 258/2014 moet derhalve dienovereenkomstig worden gewijzigd.</w:t>
      </w:r>
    </w:p>
    <w:p>
      <w:pPr>
        <w:pStyle w:val="ManualConsidrant"/>
        <w:rPr>
          <w:noProof/>
        </w:rPr>
      </w:pPr>
      <w:r>
        <w:t>(6)</w:t>
      </w:r>
      <w:r>
        <w:tab/>
      </w:r>
      <w:r>
        <w:rPr>
          <w:noProof/>
        </w:rPr>
        <w:t>Daar de doelstelling van deze verordening, te weten de verhoging van de begroting voor de periode 2017 tot en met 2020 van een Unieprogramma ter ondersteuning van de activiteiten van de EFRAG die bijdragen aan de verwezenlijking van beleidsdoelstellingen van de Unie in verband met financiële verslaggeving, niet voldoende door de lidstaten kunnen worden verwezenlijkt maar vanwege de omvang en de gevolgen ervan beter door de Unie kunnen worden verwezenlijkt, kan de Unie, overeenkomstig het in artikel 5 van het Verdrag betreffende de Europese Unie neergelegde subsidiariteitsbeginsel, maatregelen nemen. Overeenkomstig het in hetzelfde artikel neergelegde evenredigheidsbeginsel gaat deze verordening niet verder dan nodig is om deze doelstelling te verwezenlijken,</w:t>
      </w:r>
    </w:p>
    <w:p>
      <w:pPr>
        <w:pStyle w:val="Formuledadoption"/>
        <w:rPr>
          <w:noProof/>
        </w:rPr>
      </w:pPr>
      <w:r>
        <w:rPr>
          <w:noProof/>
        </w:rPr>
        <w:t>HEBBEN DE VOLGENDE VERORDENING VASTGESTELD:</w:t>
      </w:r>
    </w:p>
    <w:p>
      <w:pPr>
        <w:pStyle w:val="Titrearticle"/>
        <w:rPr>
          <w:noProof/>
        </w:rPr>
      </w:pPr>
      <w:r>
        <w:rPr>
          <w:noProof/>
        </w:rPr>
        <w:t>Artikel 1</w:t>
      </w:r>
    </w:p>
    <w:p>
      <w:pPr>
        <w:rPr>
          <w:noProof/>
        </w:rPr>
      </w:pPr>
      <w:r>
        <w:rPr>
          <w:noProof/>
        </w:rPr>
        <w:t>Verordening (EU) nr. 258/2014 wordt als volgt gewijzigd:</w:t>
      </w:r>
    </w:p>
    <w:p>
      <w:pPr>
        <w:rPr>
          <w:noProof/>
        </w:rPr>
      </w:pPr>
      <w:r>
        <w:rPr>
          <w:noProof/>
        </w:rPr>
        <w:t>(1) in artikel 3, lid 1, onder a), wordt punt i) vervangen door:</w:t>
      </w:r>
    </w:p>
    <w:p>
      <w:pPr>
        <w:rPr>
          <w:noProof/>
        </w:rPr>
      </w:pPr>
      <w:r>
        <w:rPr>
          <w:noProof/>
        </w:rPr>
        <w:t>"i) EFRAG;";</w:t>
      </w:r>
    </w:p>
    <w:p>
      <w:pPr>
        <w:rPr>
          <w:noProof/>
        </w:rPr>
      </w:pPr>
      <w:r>
        <w:rPr>
          <w:noProof/>
        </w:rPr>
        <w:t>2) artikel 6 wordt als volgt gewijzigd:</w:t>
      </w:r>
    </w:p>
    <w:p>
      <w:pPr>
        <w:rPr>
          <w:noProof/>
        </w:rPr>
      </w:pPr>
      <w:r>
        <w:rPr>
          <w:noProof/>
        </w:rPr>
        <w:t>a) lid 1 wordt vervangen door:</w:t>
      </w:r>
    </w:p>
    <w:p>
      <w:pPr>
        <w:ind w:left="720"/>
        <w:rPr>
          <w:noProof/>
        </w:rPr>
      </w:pPr>
      <w:r>
        <w:rPr>
          <w:noProof/>
        </w:rPr>
        <w:t>"1. De financiële middelen voor de uitvoering van het programma voor de periode 2014 tot en met 2020 bedragen 57 007 000 EUR in lopende prijzen.";</w:t>
      </w:r>
    </w:p>
    <w:p>
      <w:pPr>
        <w:rPr>
          <w:noProof/>
        </w:rPr>
      </w:pPr>
      <w:r>
        <w:rPr>
          <w:noProof/>
        </w:rPr>
        <w:t>b) in lid 3 wordt punt a) vervangen door:</w:t>
      </w:r>
    </w:p>
    <w:p>
      <w:pPr>
        <w:ind w:firstLine="720"/>
        <w:rPr>
          <w:noProof/>
        </w:rPr>
      </w:pPr>
      <w:r>
        <w:rPr>
          <w:noProof/>
        </w:rPr>
        <w:t>"a) voor EFRAG: 23 134 000 EUR;".</w:t>
      </w:r>
    </w:p>
    <w:p>
      <w:pPr>
        <w:pStyle w:val="Titrearticle"/>
        <w:rPr>
          <w:noProof/>
        </w:rPr>
      </w:pPr>
      <w:r>
        <w:rPr>
          <w:noProof/>
        </w:rPr>
        <w:t xml:space="preserve">Artikel 2 </w:t>
      </w:r>
    </w:p>
    <w:p>
      <w:pPr>
        <w:pStyle w:val="Titrearticle"/>
        <w:rPr>
          <w:noProof/>
        </w:rPr>
      </w:pPr>
      <w:r>
        <w:rPr>
          <w:noProof/>
        </w:rPr>
        <w:t>Inwerkingtreding</w:t>
      </w:r>
    </w:p>
    <w:p>
      <w:pPr>
        <w:rPr>
          <w:noProof/>
        </w:rPr>
      </w:pPr>
      <w:r>
        <w:rPr>
          <w:noProof/>
        </w:rPr>
        <w:t xml:space="preserve">Deze verordening treedt in werking op de  dag na die van de bekendmaking ervan in het </w:t>
      </w:r>
      <w:r>
        <w:rPr>
          <w:i/>
          <w:noProof/>
        </w:rPr>
        <w:t>Publicatieblad van de Europese Unie</w:t>
      </w:r>
      <w:r>
        <w:rPr>
          <w:noProof/>
        </w:rPr>
        <w:t>.</w:t>
      </w:r>
    </w:p>
    <w:p>
      <w:pPr>
        <w:rPr>
          <w:noProof/>
        </w:rPr>
      </w:pPr>
      <w:r>
        <w:rPr>
          <w:noProof/>
        </w:rPr>
        <w:t>Zij is van toepassing met ingang van 1 januari 2017.</w:t>
      </w:r>
    </w:p>
    <w:p>
      <w:pPr>
        <w:pStyle w:val="Applicationdirecte"/>
        <w:keepNext/>
        <w:keepLines/>
        <w:rPr>
          <w:noProof/>
        </w:rPr>
      </w:pPr>
      <w:r>
        <w:rPr>
          <w:noProof/>
        </w:rPr>
        <w:t>Deze verordening is verbindend in al haar onderdelen en is rechtstreeks toepasselijk in elke lidstaat.</w:t>
      </w:r>
    </w:p>
    <w:p>
      <w:pPr>
        <w:pStyle w:val="Fait"/>
        <w:rPr>
          <w:noProof/>
        </w:rPr>
      </w:pPr>
      <w:r>
        <w:rPr>
          <w:noProof/>
        </w:rP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FINANCIEEL MEMORANDUM</w:t>
      </w:r>
    </w:p>
    <w:p>
      <w:pPr>
        <w:pStyle w:val="ManualHeading1"/>
        <w:rPr>
          <w:noProof/>
        </w:rPr>
      </w:pPr>
      <w:r>
        <w:rPr>
          <w:noProof/>
        </w:rPr>
        <w:t>1.</w:t>
      </w:r>
      <w:r>
        <w:rPr>
          <w:noProof/>
        </w:rPr>
        <w:tab/>
        <w:t>KADER VAN HET VOORSTEL/INITIATIEF</w:t>
      </w:r>
    </w:p>
    <w:p>
      <w:pPr>
        <w:pStyle w:val="ManualHeading2"/>
        <w:rPr>
          <w:b w:val="0"/>
          <w:noProof/>
        </w:rPr>
      </w:pPr>
      <w:r>
        <w:rPr>
          <w:noProof/>
        </w:rPr>
        <w:tab/>
      </w:r>
      <w:r>
        <w:rPr>
          <w:b w:val="0"/>
          <w:noProof/>
        </w:rPr>
        <w:t>1.1.</w:t>
      </w:r>
      <w:r>
        <w:rPr>
          <w:noProof/>
        </w:rPr>
        <w:tab/>
      </w:r>
      <w:r>
        <w:rPr>
          <w:b w:val="0"/>
          <w:noProof/>
        </w:rPr>
        <w:t>Benaming van het voorstel/initiatief</w:t>
      </w:r>
    </w:p>
    <w:p>
      <w:pPr>
        <w:pStyle w:val="ManualHeading2"/>
        <w:rPr>
          <w:b w:val="0"/>
          <w:noProof/>
        </w:rPr>
      </w:pPr>
      <w:r>
        <w:rPr>
          <w:noProof/>
        </w:rPr>
        <w:tab/>
      </w:r>
      <w:r>
        <w:rPr>
          <w:b w:val="0"/>
          <w:noProof/>
        </w:rPr>
        <w:t>1.2.</w:t>
      </w:r>
      <w:r>
        <w:rPr>
          <w:noProof/>
        </w:rPr>
        <w:tab/>
      </w:r>
      <w:r>
        <w:rPr>
          <w:b w:val="0"/>
          <w:noProof/>
        </w:rPr>
        <w:t>Betrokken beleidsterrein(en) in de ABM/ABB-structuur</w:t>
      </w:r>
    </w:p>
    <w:p>
      <w:pPr>
        <w:pStyle w:val="ManualHeading2"/>
        <w:rPr>
          <w:b w:val="0"/>
          <w:noProof/>
        </w:rPr>
      </w:pPr>
      <w:r>
        <w:rPr>
          <w:noProof/>
        </w:rPr>
        <w:tab/>
      </w:r>
      <w:r>
        <w:rPr>
          <w:b w:val="0"/>
          <w:noProof/>
        </w:rPr>
        <w:t>1.3.</w:t>
      </w:r>
      <w:r>
        <w:rPr>
          <w:noProof/>
        </w:rPr>
        <w:tab/>
      </w:r>
      <w:r>
        <w:rPr>
          <w:b w:val="0"/>
          <w:noProof/>
        </w:rPr>
        <w:t>Aard van het voorstel/initiatief</w:t>
      </w:r>
    </w:p>
    <w:p>
      <w:pPr>
        <w:pStyle w:val="ManualHeading2"/>
        <w:rPr>
          <w:b w:val="0"/>
          <w:noProof/>
        </w:rPr>
      </w:pPr>
      <w:r>
        <w:rPr>
          <w:noProof/>
        </w:rPr>
        <w:tab/>
      </w:r>
      <w:r>
        <w:rPr>
          <w:b w:val="0"/>
          <w:noProof/>
        </w:rPr>
        <w:t>1.4.</w:t>
      </w:r>
      <w:r>
        <w:rPr>
          <w:noProof/>
        </w:rPr>
        <w:tab/>
      </w:r>
      <w:r>
        <w:rPr>
          <w:b w:val="0"/>
          <w:noProof/>
        </w:rPr>
        <w:t>Doelstelling(en)</w:t>
      </w:r>
    </w:p>
    <w:p>
      <w:pPr>
        <w:pStyle w:val="ManualHeading2"/>
        <w:rPr>
          <w:b w:val="0"/>
          <w:noProof/>
        </w:rPr>
      </w:pPr>
      <w:r>
        <w:rPr>
          <w:noProof/>
        </w:rPr>
        <w:tab/>
      </w:r>
      <w:r>
        <w:rPr>
          <w:b w:val="0"/>
          <w:noProof/>
        </w:rPr>
        <w:t>1.5.</w:t>
      </w:r>
      <w:r>
        <w:rPr>
          <w:noProof/>
        </w:rPr>
        <w:tab/>
      </w:r>
      <w:r>
        <w:rPr>
          <w:b w:val="0"/>
          <w:noProof/>
        </w:rPr>
        <w:t>Motivering van het voorstel/initiatief</w:t>
      </w:r>
    </w:p>
    <w:p>
      <w:pPr>
        <w:pStyle w:val="ManualHeading2"/>
        <w:rPr>
          <w:b w:val="0"/>
          <w:noProof/>
        </w:rPr>
      </w:pPr>
      <w:r>
        <w:rPr>
          <w:noProof/>
        </w:rPr>
        <w:tab/>
      </w:r>
      <w:r>
        <w:rPr>
          <w:b w:val="0"/>
          <w:noProof/>
        </w:rPr>
        <w:t>1.6.</w:t>
      </w:r>
      <w:r>
        <w:rPr>
          <w:noProof/>
        </w:rPr>
        <w:tab/>
      </w:r>
      <w:r>
        <w:rPr>
          <w:b w:val="0"/>
          <w:noProof/>
        </w:rPr>
        <w:t>Duur en financiële gevolgen</w:t>
      </w:r>
    </w:p>
    <w:p>
      <w:pPr>
        <w:pStyle w:val="ManualHeading2"/>
        <w:rPr>
          <w:b w:val="0"/>
          <w:noProof/>
        </w:rPr>
      </w:pPr>
      <w:r>
        <w:rPr>
          <w:noProof/>
        </w:rPr>
        <w:tab/>
      </w:r>
      <w:r>
        <w:rPr>
          <w:b w:val="0"/>
          <w:noProof/>
        </w:rPr>
        <w:t>1.7.</w:t>
      </w:r>
      <w:r>
        <w:rPr>
          <w:noProof/>
        </w:rPr>
        <w:tab/>
      </w:r>
      <w:r>
        <w:rPr>
          <w:b w:val="0"/>
          <w:noProof/>
        </w:rPr>
        <w:t>Beheersvorm(en)</w:t>
      </w:r>
    </w:p>
    <w:p>
      <w:pPr>
        <w:pStyle w:val="ManualHeading1"/>
        <w:rPr>
          <w:noProof/>
        </w:rPr>
      </w:pPr>
      <w:r>
        <w:rPr>
          <w:noProof/>
        </w:rPr>
        <w:t>2.</w:t>
      </w:r>
      <w:r>
        <w:rPr>
          <w:noProof/>
        </w:rPr>
        <w:tab/>
        <w:t>BEHEERSMAATREGELEN</w:t>
      </w:r>
    </w:p>
    <w:p>
      <w:pPr>
        <w:pStyle w:val="ManualHeading2"/>
        <w:rPr>
          <w:b w:val="0"/>
          <w:noProof/>
        </w:rPr>
      </w:pPr>
      <w:r>
        <w:rPr>
          <w:noProof/>
        </w:rPr>
        <w:tab/>
      </w:r>
      <w:r>
        <w:rPr>
          <w:b w:val="0"/>
          <w:noProof/>
        </w:rPr>
        <w:t>2.1.</w:t>
      </w:r>
      <w:r>
        <w:rPr>
          <w:noProof/>
        </w:rPr>
        <w:tab/>
      </w:r>
      <w:r>
        <w:rPr>
          <w:b w:val="0"/>
          <w:noProof/>
        </w:rPr>
        <w:t>Regels inzake het toezicht en de verslagen</w:t>
      </w:r>
    </w:p>
    <w:p>
      <w:pPr>
        <w:pStyle w:val="ManualHeading2"/>
        <w:rPr>
          <w:b w:val="0"/>
          <w:noProof/>
        </w:rPr>
      </w:pPr>
      <w:r>
        <w:rPr>
          <w:noProof/>
        </w:rPr>
        <w:tab/>
      </w:r>
      <w:r>
        <w:rPr>
          <w:b w:val="0"/>
          <w:noProof/>
        </w:rPr>
        <w:t>2.2.</w:t>
      </w:r>
      <w:r>
        <w:rPr>
          <w:noProof/>
        </w:rPr>
        <w:tab/>
      </w:r>
      <w:r>
        <w:rPr>
          <w:b w:val="0"/>
          <w:noProof/>
        </w:rPr>
        <w:t>Beheers- en controlesysteem</w:t>
      </w:r>
    </w:p>
    <w:p>
      <w:pPr>
        <w:pStyle w:val="ManualHeading2"/>
        <w:rPr>
          <w:b w:val="0"/>
          <w:noProof/>
        </w:rPr>
      </w:pPr>
      <w:r>
        <w:rPr>
          <w:noProof/>
        </w:rPr>
        <w:tab/>
      </w:r>
      <w:r>
        <w:rPr>
          <w:b w:val="0"/>
          <w:noProof/>
        </w:rPr>
        <w:t>2.3.</w:t>
      </w:r>
      <w:r>
        <w:rPr>
          <w:noProof/>
        </w:rPr>
        <w:tab/>
      </w:r>
      <w:r>
        <w:rPr>
          <w:b w:val="0"/>
          <w:noProof/>
        </w:rPr>
        <w:t>Maatregelen ter voorkoming van fraude en onregelmatigheden</w:t>
      </w:r>
    </w:p>
    <w:p>
      <w:pPr>
        <w:pStyle w:val="ManualHeading1"/>
        <w:rPr>
          <w:noProof/>
        </w:rPr>
      </w:pPr>
      <w:r>
        <w:rPr>
          <w:noProof/>
        </w:rPr>
        <w:t>3.</w:t>
      </w:r>
      <w:r>
        <w:rPr>
          <w:noProof/>
        </w:rPr>
        <w:tab/>
        <w:t>GERAAMDE FINANCIËLE GEVOLGEN VAN HET VOORSTEL/INITIATIEF</w:t>
      </w:r>
    </w:p>
    <w:p>
      <w:pPr>
        <w:pStyle w:val="ManualHeading2"/>
        <w:rPr>
          <w:b w:val="0"/>
          <w:noProof/>
        </w:rPr>
      </w:pPr>
      <w:r>
        <w:rPr>
          <w:noProof/>
        </w:rPr>
        <w:tab/>
      </w:r>
      <w:r>
        <w:rPr>
          <w:b w:val="0"/>
          <w:noProof/>
        </w:rPr>
        <w:t>3.1.</w:t>
      </w:r>
      <w:r>
        <w:rPr>
          <w:noProof/>
        </w:rPr>
        <w:tab/>
      </w:r>
      <w:r>
        <w:rPr>
          <w:b w:val="0"/>
          <w:noProof/>
        </w:rPr>
        <w:t>Rubriek(en) van het meerjarige financiële kader en betrokken begrotingsonderde(e)l(en) voor uitgaven</w:t>
      </w:r>
    </w:p>
    <w:p>
      <w:pPr>
        <w:pStyle w:val="ManualHeading2"/>
        <w:rPr>
          <w:noProof/>
        </w:rPr>
      </w:pPr>
      <w:r>
        <w:rPr>
          <w:noProof/>
        </w:rPr>
        <w:tab/>
      </w:r>
      <w:r>
        <w:rPr>
          <w:b w:val="0"/>
          <w:noProof/>
        </w:rPr>
        <w:t>3.2.</w:t>
      </w:r>
      <w:r>
        <w:rPr>
          <w:noProof/>
        </w:rPr>
        <w:tab/>
      </w:r>
      <w:r>
        <w:rPr>
          <w:b w:val="0"/>
          <w:noProof/>
        </w:rPr>
        <w:t>Geraamde gevolgen voor de uitgaven</w:t>
      </w:r>
    </w:p>
    <w:p>
      <w:pPr>
        <w:pStyle w:val="ManualHeading3"/>
        <w:rPr>
          <w:noProof/>
        </w:rPr>
      </w:pPr>
      <w:r>
        <w:rPr>
          <w:noProof/>
        </w:rPr>
        <w:tab/>
        <w:t>3.2.1.</w:t>
      </w:r>
      <w:r>
        <w:rPr>
          <w:noProof/>
        </w:rPr>
        <w:tab/>
        <w:t>Samenvatting van de geraamde gevolgen voor de uitgaven</w:t>
      </w:r>
    </w:p>
    <w:p>
      <w:pPr>
        <w:pStyle w:val="ManualHeading3"/>
        <w:rPr>
          <w:noProof/>
        </w:rPr>
      </w:pPr>
      <w:r>
        <w:rPr>
          <w:noProof/>
        </w:rPr>
        <w:tab/>
        <w:t>3.2.2.</w:t>
      </w:r>
      <w:r>
        <w:rPr>
          <w:noProof/>
        </w:rPr>
        <w:tab/>
        <w:t>Geraamde gevolgen voor de beleidskredieten</w:t>
      </w:r>
    </w:p>
    <w:p>
      <w:pPr>
        <w:pStyle w:val="ManualHeading3"/>
        <w:rPr>
          <w:noProof/>
        </w:rPr>
      </w:pPr>
      <w:r>
        <w:rPr>
          <w:noProof/>
        </w:rPr>
        <w:tab/>
        <w:t>3.2.3.</w:t>
      </w:r>
      <w:r>
        <w:rPr>
          <w:noProof/>
        </w:rPr>
        <w:tab/>
        <w:t>Geraamde gevolgen voor de administratieve kredieten</w:t>
      </w:r>
    </w:p>
    <w:p>
      <w:pPr>
        <w:pStyle w:val="ManualHeading3"/>
        <w:rPr>
          <w:noProof/>
        </w:rPr>
      </w:pPr>
      <w:r>
        <w:rPr>
          <w:noProof/>
        </w:rPr>
        <w:tab/>
        <w:t>3.2.4.</w:t>
      </w:r>
      <w:r>
        <w:rPr>
          <w:noProof/>
        </w:rPr>
        <w:tab/>
        <w:t>Verenigbaarheid met het huidige meerjarige financiële kader</w:t>
      </w:r>
    </w:p>
    <w:p>
      <w:pPr>
        <w:pStyle w:val="ManualHeading3"/>
        <w:rPr>
          <w:noProof/>
        </w:rPr>
      </w:pPr>
      <w:r>
        <w:rPr>
          <w:noProof/>
        </w:rPr>
        <w:tab/>
        <w:t>3.2.5.</w:t>
      </w:r>
      <w:r>
        <w:rPr>
          <w:noProof/>
        </w:rPr>
        <w:tab/>
        <w:t>Bijdragen van derden aan de financiering</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Geraamde gevolgen voor de ontvangsten</w:t>
      </w:r>
    </w:p>
    <w:p>
      <w:pPr>
        <w:jc w:val="center"/>
        <w:rPr>
          <w:noProof/>
        </w:rPr>
      </w:pPr>
      <w:r>
        <w:rPr>
          <w:b/>
          <w:noProof/>
          <w:u w:val="single"/>
        </w:rPr>
        <w:t>FINANCIEEL MEMORANDUM</w:t>
      </w:r>
    </w:p>
    <w:p>
      <w:pPr>
        <w:pStyle w:val="ManualHeading1"/>
        <w:rPr>
          <w:noProof/>
        </w:rPr>
      </w:pPr>
      <w:r>
        <w:t>1.</w:t>
      </w:r>
      <w:r>
        <w:tab/>
      </w:r>
      <w:r>
        <w:rPr>
          <w:noProof/>
        </w:rPr>
        <w:t>KADER VAN HET VOORSTEL/INITIATIEF</w:t>
      </w:r>
    </w:p>
    <w:p>
      <w:pPr>
        <w:pStyle w:val="ManualHeading2"/>
        <w:rPr>
          <w:noProof/>
        </w:rPr>
      </w:pPr>
      <w:r>
        <w:t>1.1.</w:t>
      </w:r>
      <w:r>
        <w:tab/>
      </w:r>
      <w:r>
        <w:rPr>
          <w:noProof/>
        </w:rPr>
        <w:t>Benaming van het voorstel/initiatief</w:t>
      </w:r>
    </w:p>
    <w:p>
      <w:pPr>
        <w:pStyle w:val="Text1"/>
        <w:pBdr>
          <w:top w:val="single" w:sz="4" w:space="1" w:color="auto"/>
          <w:left w:val="single" w:sz="4" w:space="4" w:color="auto"/>
          <w:bottom w:val="single" w:sz="4" w:space="1" w:color="auto"/>
          <w:right w:val="single" w:sz="4" w:space="4" w:color="auto"/>
        </w:pBdr>
        <w:rPr>
          <w:noProof/>
        </w:rPr>
      </w:pPr>
      <w:r>
        <w:rPr>
          <w:noProof/>
        </w:rPr>
        <w:t>Voorstel voor een verordening van het Europees Parlement en de Raad tot wijziging van Verordening (EU) nr. 258/2014 van het Europees Parlement en de Raad van 3 april 2014 tot vaststelling van een Unieprogramma ter ondersteuning van specifieke activiteiten op het gebied van financiële verslaggeving en controle van jaarrekeningen voor de periode 2014-2020 en houdende intrekking van Besluit nr. 716/2009/EG.</w:t>
      </w:r>
    </w:p>
    <w:p>
      <w:pPr>
        <w:pStyle w:val="ManualHeading2"/>
        <w:rPr>
          <w:noProof/>
          <w:szCs w:val="24"/>
        </w:rPr>
      </w:pPr>
      <w:r>
        <w:t>1.2.</w:t>
      </w:r>
      <w:r>
        <w:tab/>
      </w:r>
      <w:r>
        <w:rPr>
          <w:noProof/>
        </w:rPr>
        <w:t>Betrokken beleidsterrein(en) in de ABM/ABB-structuur</w:t>
      </w:r>
      <w:r>
        <w:rPr>
          <w:rStyle w:val="FootnoteReference"/>
          <w:noProof/>
        </w:rPr>
        <w:footnoteReference w:id="9"/>
      </w:r>
    </w:p>
    <w:p>
      <w:pPr>
        <w:pStyle w:val="Text1"/>
        <w:pBdr>
          <w:top w:val="single" w:sz="4" w:space="1" w:color="auto"/>
          <w:left w:val="single" w:sz="4" w:space="4" w:color="auto"/>
          <w:bottom w:val="single" w:sz="4" w:space="1" w:color="auto"/>
          <w:right w:val="single" w:sz="4" w:space="4" w:color="auto"/>
        </w:pBdr>
        <w:rPr>
          <w:noProof/>
        </w:rPr>
      </w:pPr>
      <w:r>
        <w:rPr>
          <w:noProof/>
          <w:color w:val="000000"/>
        </w:rPr>
        <w:t>Beleidsterrein: financiële stabiliteit, financiële diensten en kapitaalmarktenunie</w:t>
      </w:r>
    </w:p>
    <w:p>
      <w:pPr>
        <w:pStyle w:val="ManualHeading2"/>
        <w:rPr>
          <w:bCs/>
          <w:noProof/>
          <w:szCs w:val="24"/>
        </w:rPr>
      </w:pPr>
      <w:r>
        <w:t>1.3.</w:t>
      </w:r>
      <w:r>
        <w:tab/>
      </w:r>
      <w:r>
        <w:rPr>
          <w:noProof/>
        </w:rPr>
        <w:t>Aard van het voorstel/initiatief</w:t>
      </w:r>
    </w:p>
    <w:p>
      <w:pPr>
        <w:pStyle w:val="Text1"/>
        <w:rPr>
          <w:b/>
          <w:noProof/>
          <w:sz w:val="22"/>
        </w:rPr>
      </w:pPr>
      <w:r>
        <w:rPr>
          <w:noProof/>
          <w:sz w:val="22"/>
        </w:rPr>
        <w:sym w:font="Wingdings" w:char="F0A8"/>
      </w:r>
      <w:r>
        <w:rPr>
          <w:b/>
          <w:i/>
          <w:noProof/>
          <w:sz w:val="22"/>
        </w:rPr>
        <w:t xml:space="preserve"> </w:t>
      </w:r>
      <w:r>
        <w:rPr>
          <w:noProof/>
        </w:rPr>
        <w:t xml:space="preserve">Het voorstel/initiatief betreft </w:t>
      </w:r>
      <w:r>
        <w:rPr>
          <w:b/>
          <w:noProof/>
        </w:rPr>
        <w:t>een nieuwe actie</w:t>
      </w:r>
    </w:p>
    <w:p>
      <w:pPr>
        <w:pStyle w:val="Text1"/>
        <w:rPr>
          <w:noProof/>
          <w:sz w:val="22"/>
        </w:rPr>
      </w:pPr>
      <w:r>
        <w:rPr>
          <w:noProof/>
          <w:sz w:val="22"/>
        </w:rPr>
        <w:sym w:font="Wingdings" w:char="F0A8"/>
      </w:r>
      <w:r>
        <w:rPr>
          <w:i/>
          <w:noProof/>
          <w:sz w:val="22"/>
        </w:rPr>
        <w:t xml:space="preserve"> </w:t>
      </w:r>
      <w:r>
        <w:rPr>
          <w:noProof/>
        </w:rPr>
        <w:t xml:space="preserve">Het voorstel/initiatief betreft </w:t>
      </w:r>
      <w:r>
        <w:rPr>
          <w:b/>
          <w:noProof/>
        </w:rPr>
        <w:t>een nieuwe actie na een proefproject/een voorbereidende actie</w:t>
      </w:r>
      <w:r>
        <w:rPr>
          <w:rStyle w:val="FootnoteReference"/>
          <w:b/>
          <w:noProof/>
        </w:rPr>
        <w:footnoteReference w:id="10"/>
      </w:r>
    </w:p>
    <w:p>
      <w:pPr>
        <w:pStyle w:val="Text1"/>
        <w:rPr>
          <w:noProof/>
          <w:sz w:val="22"/>
        </w:rPr>
      </w:pPr>
      <w:r>
        <w:rPr>
          <w:noProof/>
          <w:sz w:val="22"/>
        </w:rPr>
        <w:sym w:font="Wingdings" w:char="F078"/>
      </w:r>
      <w:r>
        <w:rPr>
          <w:i/>
          <w:noProof/>
          <w:sz w:val="22"/>
        </w:rPr>
        <w:t xml:space="preserve"> </w:t>
      </w:r>
      <w:r>
        <w:rPr>
          <w:noProof/>
        </w:rPr>
        <w:t xml:space="preserve">Het voorstel/initiatief betreft </w:t>
      </w:r>
      <w:r>
        <w:rPr>
          <w:b/>
          <w:noProof/>
        </w:rPr>
        <w:t>de verlenging van een bestaande actie</w:t>
      </w:r>
    </w:p>
    <w:p>
      <w:pPr>
        <w:pStyle w:val="Text1"/>
        <w:rPr>
          <w:noProof/>
        </w:rPr>
      </w:pPr>
      <w:r>
        <w:rPr>
          <w:noProof/>
          <w:sz w:val="22"/>
        </w:rPr>
        <w:sym w:font="Wingdings" w:char="F0A8"/>
      </w:r>
      <w:r>
        <w:rPr>
          <w:i/>
          <w:noProof/>
          <w:sz w:val="22"/>
        </w:rPr>
        <w:t xml:space="preserve"> </w:t>
      </w:r>
      <w:r>
        <w:rPr>
          <w:noProof/>
        </w:rPr>
        <w:t xml:space="preserve">Het voorstel/initiatief betreft </w:t>
      </w:r>
      <w:r>
        <w:rPr>
          <w:b/>
          <w:noProof/>
        </w:rPr>
        <w:t>een actie die wordt omgebogen naar een nieuwe actie</w:t>
      </w:r>
    </w:p>
    <w:p>
      <w:pPr>
        <w:pStyle w:val="ManualHeading2"/>
        <w:rPr>
          <w:bCs/>
          <w:noProof/>
          <w:szCs w:val="24"/>
        </w:rPr>
      </w:pPr>
      <w:r>
        <w:t>1.4.</w:t>
      </w:r>
      <w:r>
        <w:tab/>
      </w:r>
      <w:r>
        <w:rPr>
          <w:noProof/>
        </w:rPr>
        <w:t>Doelstelling(en)</w:t>
      </w:r>
    </w:p>
    <w:p>
      <w:pPr>
        <w:pStyle w:val="ManualHeading3"/>
        <w:rPr>
          <w:noProof/>
        </w:rPr>
      </w:pPr>
      <w:r>
        <w:t>1.4.1.</w:t>
      </w:r>
      <w:r>
        <w:tab/>
      </w:r>
      <w:r>
        <w:rPr>
          <w:noProof/>
        </w:rPr>
        <w:t>De met het voorstel/initiatief beoogde strategische meerjarendoelstelling(en) van de Commissie</w:t>
      </w:r>
    </w:p>
    <w:p>
      <w:pPr>
        <w:pStyle w:val="Text1"/>
        <w:pBdr>
          <w:top w:val="single" w:sz="4" w:space="1" w:color="auto"/>
          <w:left w:val="single" w:sz="4" w:space="4" w:color="auto"/>
          <w:bottom w:val="single" w:sz="4" w:space="1" w:color="auto"/>
          <w:right w:val="single" w:sz="4" w:space="4" w:color="auto"/>
        </w:pBdr>
        <w:rPr>
          <w:noProof/>
        </w:rPr>
      </w:pPr>
      <w:r>
        <w:rPr>
          <w:noProof/>
        </w:rPr>
        <w:t>Het programma levert ook een bijdrage aan de Europa 2020-strategie door de eengemaakte markt voor financiële diensten en kapitaal te versterken en ook aan de externe dimensie van deze strategie. Het wordt geacht ertoe bij te dragen dat de vergelijkbaarheid en de transparantie van jaarrekeningen van ondernemingen in de gehele Unie worden gegarandeerd en dat er in de context van de mondiale harmonisatie van de standaarden voor financiële verslaggeving rekening wordt gehouden met de behoeften van de Unie.</w:t>
      </w:r>
    </w:p>
    <w:p>
      <w:pPr>
        <w:pStyle w:val="ManualHeading3"/>
        <w:rPr>
          <w:bCs/>
          <w:noProof/>
          <w:szCs w:val="24"/>
        </w:rPr>
      </w:pPr>
      <w:r>
        <w:t>1.4.2.</w:t>
      </w:r>
      <w:r>
        <w:tab/>
      </w:r>
      <w:r>
        <w:rPr>
          <w:noProof/>
        </w:rPr>
        <w:t>Specifieke doelstelling(en) en betrokken ABM/ABB-activiteit(en)</w:t>
      </w:r>
    </w:p>
    <w:p>
      <w:pPr>
        <w:pStyle w:val="Text1"/>
        <w:pBdr>
          <w:top w:val="single" w:sz="4" w:space="1" w:color="auto"/>
          <w:left w:val="single" w:sz="4" w:space="4" w:color="auto"/>
          <w:bottom w:val="single" w:sz="4" w:space="0" w:color="auto"/>
          <w:right w:val="single" w:sz="4" w:space="4" w:color="auto"/>
        </w:pBdr>
        <w:rPr>
          <w:noProof/>
        </w:rPr>
      </w:pPr>
      <w:r>
        <w:rPr>
          <w:noProof/>
          <w:u w:val="single"/>
        </w:rPr>
        <w:t>Specifieke doelstelling</w:t>
      </w:r>
      <w:r>
        <w:rPr>
          <w:noProof/>
        </w:rPr>
        <w:t>: verbeteren van de voorwaarden voor de werking van de interne markt door ondersteuning van de transparante en onafhankelijke ontwikkeling van internationale standaarden voor financiële verslaggeving.</w:t>
      </w:r>
    </w:p>
    <w:p>
      <w:pPr>
        <w:pStyle w:val="Text1"/>
        <w:pBdr>
          <w:top w:val="single" w:sz="4" w:space="1" w:color="auto"/>
          <w:left w:val="single" w:sz="4" w:space="4" w:color="auto"/>
          <w:bottom w:val="single" w:sz="4" w:space="0" w:color="auto"/>
          <w:right w:val="single" w:sz="4" w:space="4" w:color="auto"/>
        </w:pBdr>
        <w:rPr>
          <w:noProof/>
          <w:u w:val="single"/>
        </w:rPr>
      </w:pPr>
      <w:r>
        <w:rPr>
          <w:noProof/>
          <w:u w:val="single"/>
        </w:rPr>
        <w:t>Betrokken ABM/ABB-activiteit(en)</w:t>
      </w:r>
    </w:p>
    <w:p>
      <w:pPr>
        <w:pStyle w:val="Text1"/>
        <w:pBdr>
          <w:top w:val="single" w:sz="4" w:space="1" w:color="auto"/>
          <w:left w:val="single" w:sz="4" w:space="4" w:color="auto"/>
          <w:bottom w:val="single" w:sz="4" w:space="0" w:color="auto"/>
          <w:right w:val="single" w:sz="4" w:space="4" w:color="auto"/>
        </w:pBdr>
        <w:rPr>
          <w:noProof/>
        </w:rPr>
      </w:pPr>
      <w:r>
        <w:rPr>
          <w:noProof/>
        </w:rPr>
        <w:t>12 Financiële diensten en kapitaalmarkten</w:t>
      </w:r>
    </w:p>
    <w:p>
      <w:pPr>
        <w:pStyle w:val="ManualHeading3"/>
        <w:rPr>
          <w:bCs/>
          <w:noProof/>
          <w:szCs w:val="24"/>
        </w:rPr>
      </w:pPr>
      <w:r>
        <w:rPr>
          <w:noProof/>
        </w:rPr>
        <w:br w:type="page"/>
      </w:r>
      <w:r>
        <w:t>1.4.3.</w:t>
      </w:r>
      <w:r>
        <w:tab/>
      </w:r>
      <w:r>
        <w:rPr>
          <w:noProof/>
        </w:rPr>
        <w:t>Verwachte resulta(a)t(en) en gevolg(en)</w:t>
      </w:r>
    </w:p>
    <w:p>
      <w:pPr>
        <w:pStyle w:val="Text1"/>
        <w:rPr>
          <w:i/>
          <w:noProof/>
          <w:sz w:val="20"/>
        </w:rPr>
      </w:pPr>
      <w:r>
        <w:rPr>
          <w:i/>
          <w:noProof/>
          <w:sz w:val="20"/>
        </w:rPr>
        <w:t>Vermeld de gevolgen die het voorstel/initiatief zou moeten hebben op de begunstigden/doelgroepen.</w:t>
      </w:r>
    </w:p>
    <w:p>
      <w:pPr>
        <w:pStyle w:val="Text1"/>
        <w:pBdr>
          <w:top w:val="single" w:sz="4" w:space="1" w:color="auto"/>
          <w:left w:val="single" w:sz="4" w:space="4" w:color="auto"/>
          <w:bottom w:val="single" w:sz="4" w:space="1" w:color="auto"/>
          <w:right w:val="single" w:sz="4" w:space="4" w:color="auto"/>
        </w:pBdr>
        <w:rPr>
          <w:noProof/>
        </w:rPr>
      </w:pPr>
      <w:r>
        <w:rPr>
          <w:noProof/>
        </w:rPr>
        <w:t>Vergroten van de financiële onafhankelijkheid van de EFRAG.</w:t>
      </w:r>
    </w:p>
    <w:p>
      <w:pPr>
        <w:pStyle w:val="Text1"/>
        <w:pBdr>
          <w:top w:val="single" w:sz="4" w:space="1" w:color="auto"/>
          <w:left w:val="single" w:sz="4" w:space="4" w:color="auto"/>
          <w:bottom w:val="single" w:sz="4" w:space="1" w:color="auto"/>
          <w:right w:val="single" w:sz="4" w:space="4" w:color="auto"/>
        </w:pBdr>
        <w:rPr>
          <w:noProof/>
        </w:rPr>
      </w:pPr>
      <w:r>
        <w:rPr>
          <w:noProof/>
        </w:rPr>
        <w:t>De EFRAG toerusten met de nodige middelen om zijn taak van Europees algemeen belang te vervullen.</w:t>
      </w:r>
    </w:p>
    <w:p>
      <w:pPr>
        <w:pStyle w:val="ManualHeading3"/>
        <w:rPr>
          <w:bCs/>
          <w:noProof/>
          <w:szCs w:val="24"/>
        </w:rPr>
      </w:pPr>
      <w:r>
        <w:t>1.4.4.</w:t>
      </w:r>
      <w:r>
        <w:tab/>
      </w:r>
      <w:r>
        <w:rPr>
          <w:noProof/>
        </w:rPr>
        <w:t>Resultaat- en effectindicatoren</w:t>
      </w:r>
    </w:p>
    <w:p>
      <w:pPr>
        <w:pStyle w:val="Text1"/>
        <w:rPr>
          <w:i/>
          <w:noProof/>
          <w:sz w:val="20"/>
        </w:rPr>
      </w:pPr>
      <w:r>
        <w:rPr>
          <w:i/>
          <w:noProof/>
          <w:sz w:val="20"/>
        </w:rPr>
        <w:t>Vermeld de indicatoren aan de hand waarvan kan worden nagegaan in hoeverre het voorstel/initiatief is uitgevoerd.</w:t>
      </w:r>
    </w:p>
    <w:p>
      <w:pPr>
        <w:pStyle w:val="Text1"/>
        <w:pBdr>
          <w:top w:val="single" w:sz="4" w:space="1" w:color="auto"/>
          <w:left w:val="single" w:sz="4" w:space="4" w:color="auto"/>
          <w:bottom w:val="single" w:sz="4" w:space="1" w:color="auto"/>
          <w:right w:val="single" w:sz="4" w:space="4" w:color="auto"/>
        </w:pBdr>
        <w:rPr>
          <w:noProof/>
        </w:rPr>
      </w:pPr>
      <w:r>
        <w:rPr>
          <w:noProof/>
        </w:rPr>
        <w:t>De mate waarin de EU de ontwikkeling van IFRS zou kunnen beïnvloeden</w:t>
      </w:r>
    </w:p>
    <w:p>
      <w:pPr>
        <w:pStyle w:val="ManualHeading2"/>
        <w:rPr>
          <w:bCs/>
          <w:noProof/>
          <w:szCs w:val="24"/>
        </w:rPr>
      </w:pPr>
      <w:r>
        <w:t>1.5.</w:t>
      </w:r>
      <w:r>
        <w:tab/>
      </w:r>
      <w:r>
        <w:rPr>
          <w:noProof/>
        </w:rPr>
        <w:t>Motivering van het voorstel/initiatief</w:t>
      </w:r>
    </w:p>
    <w:p>
      <w:pPr>
        <w:pStyle w:val="ManualHeading3"/>
        <w:rPr>
          <w:noProof/>
        </w:rPr>
      </w:pPr>
      <w:r>
        <w:t>1.5.1.</w:t>
      </w:r>
      <w:r>
        <w:tab/>
      </w:r>
      <w:r>
        <w:rPr>
          <w:noProof/>
        </w:rPr>
        <w:t>Behoefte(n) waarin op korte of lange termijn moet worden voorzien</w:t>
      </w:r>
    </w:p>
    <w:p>
      <w:pPr>
        <w:pStyle w:val="Text1"/>
        <w:pBdr>
          <w:top w:val="single" w:sz="4" w:space="1" w:color="auto"/>
          <w:left w:val="single" w:sz="4" w:space="4" w:color="auto"/>
          <w:bottom w:val="single" w:sz="4" w:space="1" w:color="auto"/>
          <w:right w:val="single" w:sz="4" w:space="4" w:color="auto"/>
        </w:pBdr>
        <w:rPr>
          <w:noProof/>
        </w:rPr>
      </w:pPr>
      <w:r>
        <w:rPr>
          <w:noProof/>
        </w:rPr>
        <w:t>Vergroten van de onafhankelijkheid (ook de onafhankelijkheid in de ogen van de buitenwereld) van de EFRAG en hem in staat stellen zijn taak van algemeen belang op bevredigende wijze uit te voeren.</w:t>
      </w:r>
    </w:p>
    <w:p>
      <w:pPr>
        <w:pStyle w:val="ManualHeading3"/>
        <w:rPr>
          <w:bCs/>
          <w:noProof/>
          <w:szCs w:val="24"/>
        </w:rPr>
      </w:pPr>
      <w:r>
        <w:t>1.5.2.</w:t>
      </w:r>
      <w:r>
        <w:tab/>
      </w:r>
      <w:r>
        <w:rPr>
          <w:noProof/>
        </w:rPr>
        <w:t>Toegevoegde waarde van de deelname van de EU</w:t>
      </w:r>
    </w:p>
    <w:p>
      <w:pPr>
        <w:pStyle w:val="Text1"/>
        <w:pBdr>
          <w:top w:val="single" w:sz="4" w:space="1" w:color="auto"/>
          <w:left w:val="single" w:sz="4" w:space="4" w:color="auto"/>
          <w:bottom w:val="single" w:sz="4" w:space="1" w:color="auto"/>
          <w:right w:val="single" w:sz="4" w:space="4" w:color="auto"/>
        </w:pBdr>
        <w:rPr>
          <w:noProof/>
        </w:rPr>
      </w:pPr>
      <w:r>
        <w:rPr>
          <w:noProof/>
        </w:rPr>
        <w:t>Het belangrijkste doel van het programma is de verbetering van de voorwaarden voor de doeltreffende werking van de interne markt door de transparante en onafhankelijke ontwikkeling van internationale standaarden voor financiële verslaggeving te ondersteunen. In dit verband wil het programma ertoe bijdragen dat de vergelijkbaarheid en de transparantie van jaarrekeningen van ondernemingen in de gehele Unie en wereldwijd worden gegarandeerd.</w:t>
      </w:r>
    </w:p>
    <w:p>
      <w:pPr>
        <w:pStyle w:val="Text1"/>
        <w:pBdr>
          <w:top w:val="single" w:sz="4" w:space="1" w:color="auto"/>
          <w:left w:val="single" w:sz="4" w:space="4" w:color="auto"/>
          <w:bottom w:val="single" w:sz="4" w:space="1" w:color="auto"/>
          <w:right w:val="single" w:sz="4" w:space="4" w:color="auto"/>
        </w:pBdr>
        <w:rPr>
          <w:noProof/>
        </w:rPr>
      </w:pPr>
      <w:r>
        <w:rPr>
          <w:noProof/>
        </w:rPr>
        <w:t>Bij de ontwikkeling van deze standaarden is het voorts van essentieel belang dat er reeds in een vroeg stadium sprake is van een significante, geloofwaardige en onafhankelijke technische Europese inbreng. De EFRAG is verantwoordelijk voor deze werkzaamheden.</w:t>
      </w:r>
    </w:p>
    <w:p>
      <w:pPr>
        <w:pStyle w:val="ManualHeading3"/>
        <w:rPr>
          <w:bCs/>
          <w:noProof/>
          <w:szCs w:val="24"/>
        </w:rPr>
      </w:pPr>
      <w:r>
        <w:t>1.5.3.</w:t>
      </w:r>
      <w:r>
        <w:tab/>
      </w:r>
      <w:r>
        <w:rPr>
          <w:noProof/>
        </w:rPr>
        <w:t>Nuttige ervaring die bij soortgelijke activiteiten in het verleden is opgedaan</w:t>
      </w:r>
    </w:p>
    <w:p>
      <w:pPr>
        <w:pStyle w:val="Text1"/>
        <w:pBdr>
          <w:top w:val="single" w:sz="4" w:space="1" w:color="auto"/>
          <w:left w:val="single" w:sz="4" w:space="4" w:color="auto"/>
          <w:bottom w:val="single" w:sz="4" w:space="1" w:color="auto"/>
          <w:right w:val="single" w:sz="4" w:space="4" w:color="auto"/>
        </w:pBdr>
        <w:rPr>
          <w:noProof/>
        </w:rPr>
      </w:pPr>
      <w:r>
        <w:rPr>
          <w:noProof/>
        </w:rPr>
        <w:t>Met de huidige financiering is het tot dusver gelukt de verwachtingen in te lossen.</w:t>
      </w:r>
    </w:p>
    <w:p>
      <w:pPr>
        <w:pStyle w:val="ManualHeading3"/>
        <w:rPr>
          <w:bCs/>
          <w:noProof/>
          <w:szCs w:val="24"/>
        </w:rPr>
      </w:pPr>
      <w:r>
        <w:t>1.5.4.</w:t>
      </w:r>
      <w:r>
        <w:tab/>
      </w:r>
      <w:r>
        <w:rPr>
          <w:noProof/>
        </w:rPr>
        <w:t>Samenhang en eventuele synergie met andere relevante instrumenten</w:t>
      </w:r>
    </w:p>
    <w:p>
      <w:pPr>
        <w:pStyle w:val="Text1"/>
        <w:pBdr>
          <w:top w:val="single" w:sz="4" w:space="1" w:color="auto"/>
          <w:left w:val="single" w:sz="4" w:space="4" w:color="auto"/>
          <w:bottom w:val="single" w:sz="4" w:space="1" w:color="auto"/>
          <w:right w:val="single" w:sz="4" w:space="4" w:color="auto"/>
        </w:pBdr>
        <w:rPr>
          <w:noProof/>
        </w:rPr>
      </w:pPr>
      <w:r>
        <w:rPr>
          <w:noProof/>
        </w:rPr>
        <w:t>Niet van toepassing.</w:t>
      </w:r>
    </w:p>
    <w:p>
      <w:pPr>
        <w:pStyle w:val="ManualHeading2"/>
        <w:rPr>
          <w:bCs/>
          <w:noProof/>
          <w:szCs w:val="24"/>
        </w:rPr>
      </w:pPr>
      <w:r>
        <w:rPr>
          <w:noProof/>
        </w:rPr>
        <w:br w:type="page"/>
      </w:r>
      <w:r>
        <w:t>1.6.</w:t>
      </w:r>
      <w:r>
        <w:tab/>
      </w:r>
      <w:r>
        <w:rPr>
          <w:noProof/>
        </w:rPr>
        <w:t>Duur en financiële gevolgen</w:t>
      </w:r>
    </w:p>
    <w:p>
      <w:pPr>
        <w:pStyle w:val="Text1"/>
        <w:rPr>
          <w:noProof/>
        </w:rPr>
      </w:pPr>
      <w:r>
        <w:rPr>
          <w:noProof/>
        </w:rPr>
        <w:sym w:font="Wingdings" w:char="F078"/>
      </w:r>
      <w:r>
        <w:rPr>
          <w:b/>
          <w:i/>
          <w:noProof/>
        </w:rPr>
        <w:t xml:space="preserve"> </w:t>
      </w:r>
      <w:r>
        <w:rPr>
          <w:noProof/>
        </w:rPr>
        <w:t xml:space="preserve">Voorstel/initiatief met </w:t>
      </w:r>
      <w:r>
        <w:rPr>
          <w:b/>
          <w:noProof/>
        </w:rPr>
        <w:t>een beperkte geldigheidsduur</w:t>
      </w:r>
    </w:p>
    <w:p>
      <w:pPr>
        <w:pStyle w:val="ListDash2"/>
        <w:rPr>
          <w:noProof/>
        </w:rPr>
      </w:pPr>
      <w:r>
        <w:rPr>
          <w:noProof/>
        </w:rPr>
        <w:sym w:font="Wingdings" w:char="F078"/>
      </w:r>
      <w:r>
        <w:rPr>
          <w:noProof/>
        </w:rPr>
        <w:tab/>
        <w:t>Voorstel/initiatief is van kracht vanaf 01/01/2017 tot en met 31/12/2020</w:t>
      </w:r>
    </w:p>
    <w:p>
      <w:pPr>
        <w:pStyle w:val="ListDash2"/>
        <w:rPr>
          <w:noProof/>
        </w:rPr>
      </w:pPr>
      <w:r>
        <w:rPr>
          <w:noProof/>
        </w:rPr>
        <w:sym w:font="Wingdings" w:char="F078"/>
      </w:r>
      <w:r>
        <w:rPr>
          <w:noProof/>
        </w:rPr>
        <w:tab/>
        <w:t>Financiële gevolgen vanaf 2017 tot en met 2020</w:t>
      </w:r>
    </w:p>
    <w:p>
      <w:pPr>
        <w:pStyle w:val="Text1"/>
        <w:rPr>
          <w:noProof/>
        </w:rPr>
      </w:pPr>
      <w:r>
        <w:rPr>
          <w:noProof/>
        </w:rPr>
        <w:sym w:font="Wingdings" w:char="F0A8"/>
      </w:r>
      <w:r>
        <w:rPr>
          <w:b/>
          <w:i/>
          <w:noProof/>
        </w:rPr>
        <w:t xml:space="preserve"> </w:t>
      </w:r>
      <w:r>
        <w:rPr>
          <w:noProof/>
        </w:rPr>
        <w:t xml:space="preserve">Voorstel/initiatief met </w:t>
      </w:r>
      <w:r>
        <w:rPr>
          <w:b/>
          <w:noProof/>
        </w:rPr>
        <w:t>een onbeperkte geldigheidsduur</w:t>
      </w:r>
    </w:p>
    <w:p>
      <w:pPr>
        <w:pStyle w:val="ListDash1"/>
        <w:rPr>
          <w:noProof/>
        </w:rPr>
      </w:pPr>
      <w:r>
        <w:rPr>
          <w:noProof/>
        </w:rPr>
        <w:t>Uitvoering met een opstartperiode vanaf JJJJ tot en met JJJJ,</w:t>
      </w:r>
    </w:p>
    <w:p>
      <w:pPr>
        <w:pStyle w:val="ListDash1"/>
        <w:rPr>
          <w:noProof/>
        </w:rPr>
      </w:pPr>
      <w:r>
        <w:rPr>
          <w:noProof/>
        </w:rPr>
        <w:t>gevolgd door een volledige uitvoering.</w:t>
      </w:r>
    </w:p>
    <w:p>
      <w:pPr>
        <w:pStyle w:val="ManualHeading2"/>
        <w:rPr>
          <w:bCs/>
          <w:noProof/>
          <w:szCs w:val="24"/>
        </w:rPr>
      </w:pPr>
      <w:r>
        <w:t>1.7.</w:t>
      </w:r>
      <w:r>
        <w:tab/>
      </w:r>
      <w:r>
        <w:rPr>
          <w:noProof/>
        </w:rPr>
        <w:t>Beheersvorm(en)</w:t>
      </w:r>
      <w:r>
        <w:rPr>
          <w:rStyle w:val="FootnoteReference"/>
          <w:noProof/>
        </w:rPr>
        <w:footnoteReference w:id="11"/>
      </w:r>
    </w:p>
    <w:p>
      <w:pPr>
        <w:pStyle w:val="Text1"/>
        <w:rPr>
          <w:noProof/>
        </w:rPr>
      </w:pPr>
      <w:r>
        <w:rPr>
          <w:noProof/>
        </w:rPr>
        <w:sym w:font="Wingdings" w:char="F078"/>
      </w:r>
      <w:r>
        <w:rPr>
          <w:i/>
          <w:noProof/>
        </w:rPr>
        <w:t xml:space="preserve"> </w:t>
      </w:r>
      <w:r>
        <w:rPr>
          <w:b/>
          <w:noProof/>
        </w:rPr>
        <w:t>Direct beheer</w:t>
      </w:r>
      <w:r>
        <w:rPr>
          <w:noProof/>
        </w:rPr>
        <w:t xml:space="preserve"> door de Commissie</w:t>
      </w:r>
    </w:p>
    <w:p>
      <w:pPr>
        <w:pStyle w:val="ListDash2"/>
        <w:rPr>
          <w:rFonts w:cs="EUAlbertina"/>
          <w:noProof/>
        </w:rPr>
      </w:pPr>
      <w:r>
        <w:rPr>
          <w:noProof/>
        </w:rPr>
        <w:sym w:font="Wingdings" w:char="F078"/>
      </w:r>
      <w:r>
        <w:rPr>
          <w:noProof/>
        </w:rPr>
        <w:t xml:space="preserve"> door haar diensten, waaronder het personeel in de delegaties van de Unie;</w:t>
      </w:r>
    </w:p>
    <w:p>
      <w:pPr>
        <w:pStyle w:val="ListDash2"/>
        <w:rPr>
          <w:noProof/>
        </w:rPr>
      </w:pPr>
      <w:r>
        <w:rPr>
          <w:noProof/>
        </w:rPr>
        <w:sym w:font="Wingdings" w:char="F0A8"/>
      </w:r>
      <w:r>
        <w:rPr>
          <w:noProof/>
        </w:rPr>
        <w:t xml:space="preserve"> door de uitvoerende agentschappen;</w:t>
      </w:r>
    </w:p>
    <w:p>
      <w:pPr>
        <w:pStyle w:val="Text1"/>
        <w:rPr>
          <w:noProof/>
        </w:rPr>
      </w:pPr>
      <w:r>
        <w:rPr>
          <w:noProof/>
        </w:rPr>
        <w:sym w:font="Wingdings" w:char="F0A8"/>
      </w:r>
      <w:r>
        <w:rPr>
          <w:b/>
          <w:i/>
          <w:noProof/>
        </w:rPr>
        <w:t xml:space="preserve"> </w:t>
      </w:r>
      <w:r>
        <w:rPr>
          <w:b/>
          <w:noProof/>
        </w:rPr>
        <w:t>Gedeeld beheer</w:t>
      </w:r>
      <w:r>
        <w:rPr>
          <w:noProof/>
        </w:rPr>
        <w:t xml:space="preserve"> met de lidstaten</w:t>
      </w:r>
    </w:p>
    <w:p>
      <w:pPr>
        <w:pStyle w:val="Text1"/>
        <w:rPr>
          <w:noProof/>
        </w:rPr>
      </w:pPr>
      <w:r>
        <w:rPr>
          <w:noProof/>
        </w:rPr>
        <w:sym w:font="Wingdings" w:char="F0A8"/>
      </w:r>
      <w:r>
        <w:rPr>
          <w:i/>
          <w:noProof/>
        </w:rPr>
        <w:t xml:space="preserve"> </w:t>
      </w:r>
      <w:r>
        <w:rPr>
          <w:b/>
          <w:noProof/>
        </w:rPr>
        <w:t>Indirect beheer</w:t>
      </w:r>
      <w:r>
        <w:rPr>
          <w:noProof/>
        </w:rPr>
        <w:t xml:space="preserve"> door begrotingsuitvoeringstaken te delegeren aan:</w:t>
      </w:r>
    </w:p>
    <w:p>
      <w:pPr>
        <w:pStyle w:val="ListDash2"/>
        <w:rPr>
          <w:noProof/>
        </w:rPr>
      </w:pPr>
      <w:r>
        <w:rPr>
          <w:noProof/>
        </w:rPr>
        <w:sym w:font="Wingdings" w:char="F0A8"/>
      </w:r>
      <w:r>
        <w:rPr>
          <w:noProof/>
        </w:rPr>
        <w:t xml:space="preserve"> derde landen of de door hen aangewezen organen;</w:t>
      </w:r>
    </w:p>
    <w:p>
      <w:pPr>
        <w:pStyle w:val="ListDash2"/>
        <w:rPr>
          <w:noProof/>
        </w:rPr>
      </w:pPr>
      <w:r>
        <w:rPr>
          <w:noProof/>
        </w:rPr>
        <w:sym w:font="Wingdings" w:char="F0A8"/>
      </w:r>
      <w:r>
        <w:rPr>
          <w:noProof/>
        </w:rPr>
        <w:t xml:space="preserve"> internationale organisaties en hun agentschappen (geef aan welke);</w:t>
      </w:r>
    </w:p>
    <w:p>
      <w:pPr>
        <w:pStyle w:val="ListDash2"/>
        <w:rPr>
          <w:noProof/>
        </w:rPr>
      </w:pPr>
      <w:r>
        <w:rPr>
          <w:noProof/>
        </w:rPr>
        <w:sym w:font="Wingdings" w:char="F0A8"/>
      </w:r>
      <w:r>
        <w:rPr>
          <w:noProof/>
        </w:rPr>
        <w:t xml:space="preserve"> de EIB en het Europees Investeringsfonds;</w:t>
      </w:r>
    </w:p>
    <w:p>
      <w:pPr>
        <w:pStyle w:val="ListDash2"/>
        <w:rPr>
          <w:noProof/>
        </w:rPr>
      </w:pPr>
      <w:r>
        <w:rPr>
          <w:noProof/>
        </w:rPr>
        <w:sym w:font="Wingdings" w:char="F0A8"/>
      </w:r>
      <w:r>
        <w:rPr>
          <w:noProof/>
        </w:rPr>
        <w:t xml:space="preserve"> de in de artikelen 208 en 209 van het Financieel Reglement bedoelde organen;</w:t>
      </w:r>
    </w:p>
    <w:p>
      <w:pPr>
        <w:pStyle w:val="ListDash2"/>
        <w:rPr>
          <w:noProof/>
        </w:rPr>
      </w:pPr>
      <w:r>
        <w:rPr>
          <w:noProof/>
        </w:rPr>
        <w:sym w:font="Wingdings" w:char="F0A8"/>
      </w:r>
      <w:r>
        <w:rPr>
          <w:noProof/>
        </w:rPr>
        <w:t xml:space="preserve"> publiekrechtelijke lichamen;</w:t>
      </w:r>
    </w:p>
    <w:p>
      <w:pPr>
        <w:pStyle w:val="ListDash2"/>
        <w:rPr>
          <w:noProof/>
        </w:rPr>
      </w:pPr>
      <w:r>
        <w:rPr>
          <w:noProof/>
        </w:rPr>
        <w:sym w:font="Wingdings" w:char="F0A8"/>
      </w:r>
      <w:r>
        <w:rPr>
          <w:noProof/>
        </w:rPr>
        <w:t xml:space="preserve"> privaatrechtelijke organen met een openbaredienstverleningstaak, voor zover zij voldoende financiële garanties bieden;</w:t>
      </w:r>
    </w:p>
    <w:p>
      <w:pPr>
        <w:pStyle w:val="ListDash2"/>
        <w:rPr>
          <w:noProof/>
        </w:rPr>
      </w:pPr>
      <w:r>
        <w:rPr>
          <w:noProof/>
        </w:rPr>
        <w:sym w:font="Wingdings" w:char="F0A8"/>
      </w:r>
      <w:r>
        <w:rPr>
          <w:noProof/>
        </w:rPr>
        <w:t xml:space="preserve"> privaatrechtelijke organen van een lidstaat, waaraan de uitvoering van een publiek-privaat partnerschap is toevertrouwd en die voldoende financiële garanties bieden;</w:t>
      </w:r>
    </w:p>
    <w:p>
      <w:pPr>
        <w:pStyle w:val="ListDash2"/>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pPr>
        <w:pStyle w:val="ListDash2"/>
        <w:rPr>
          <w:i/>
          <w:noProof/>
          <w:sz w:val="18"/>
          <w:u w:val="single"/>
        </w:rPr>
      </w:pPr>
      <w:r>
        <w:rPr>
          <w:i/>
          <w:noProof/>
          <w:sz w:val="18"/>
        </w:rPr>
        <w:t>Verstrek, indien meer dan een beheersvorm is aangekruist, extra informatie onder "Opmerkingen".</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BEHEERSMAATREGELEN</w:t>
      </w:r>
    </w:p>
    <w:p>
      <w:pPr>
        <w:pStyle w:val="ManualHeading2"/>
        <w:rPr>
          <w:noProof/>
        </w:rPr>
      </w:pPr>
      <w:r>
        <w:t>2.1.</w:t>
      </w:r>
      <w:r>
        <w:tab/>
      </w:r>
      <w:r>
        <w:rPr>
          <w:noProof/>
        </w:rPr>
        <w:t>Regels inzake het toezicht en de verslagen</w:t>
      </w:r>
    </w:p>
    <w:p>
      <w:pPr>
        <w:pStyle w:val="Text1"/>
        <w:rPr>
          <w:i/>
          <w:noProof/>
          <w:sz w:val="20"/>
          <w:u w:val="single"/>
        </w:rPr>
      </w:pPr>
      <w:r>
        <w:rPr>
          <w:i/>
          <w:noProof/>
          <w:sz w:val="20"/>
        </w:rPr>
        <w:t>Vermeld frequentie en voorwaarden.</w:t>
      </w:r>
    </w:p>
    <w:p>
      <w:pPr>
        <w:pStyle w:val="Text1"/>
        <w:pBdr>
          <w:top w:val="single" w:sz="4" w:space="1" w:color="auto"/>
          <w:left w:val="single" w:sz="4" w:space="4" w:color="auto"/>
          <w:bottom w:val="single" w:sz="4" w:space="1" w:color="auto"/>
          <w:right w:val="single" w:sz="4" w:space="4" w:color="auto"/>
        </w:pBdr>
        <w:rPr>
          <w:noProof/>
        </w:rPr>
      </w:pPr>
      <w:r>
        <w:rPr>
          <w:noProof/>
        </w:rPr>
        <w:t>EFRAG: voortgangs- en eindverslagen zoals vereist door de subsidieovereenkomst, jaarverslag over de activiteiten van de EFRAG zoals vereist door de financieringsverordening, deelname van de diensten van de Commissie aan de bijeenkomsten van de raad van de EFRAG.</w:t>
      </w:r>
    </w:p>
    <w:p>
      <w:pPr>
        <w:pStyle w:val="ManualHeading2"/>
        <w:rPr>
          <w:bCs/>
          <w:noProof/>
          <w:szCs w:val="24"/>
        </w:rPr>
      </w:pPr>
      <w:r>
        <w:t>2.2.</w:t>
      </w:r>
      <w:r>
        <w:tab/>
      </w:r>
      <w:r>
        <w:rPr>
          <w:noProof/>
        </w:rPr>
        <w:t>Beheers- en controlesysteem</w:t>
      </w:r>
    </w:p>
    <w:p>
      <w:pPr>
        <w:pStyle w:val="ManualHeading3"/>
        <w:rPr>
          <w:noProof/>
        </w:rPr>
      </w:pPr>
      <w:r>
        <w:t>2.2.1.</w:t>
      </w:r>
      <w:r>
        <w:tab/>
      </w:r>
      <w:r>
        <w:rPr>
          <w:noProof/>
        </w:rPr>
        <w:t>Mogelijke risico's</w:t>
      </w:r>
    </w:p>
    <w:p>
      <w:pPr>
        <w:pStyle w:val="Text1"/>
        <w:pBdr>
          <w:top w:val="single" w:sz="4" w:space="1" w:color="auto"/>
          <w:left w:val="single" w:sz="4" w:space="4" w:color="auto"/>
          <w:bottom w:val="single" w:sz="4" w:space="1" w:color="auto"/>
          <w:right w:val="single" w:sz="4" w:space="4" w:color="auto"/>
        </w:pBdr>
        <w:rPr>
          <w:noProof/>
        </w:rPr>
      </w:pPr>
      <w:r>
        <w:rPr>
          <w:noProof/>
        </w:rPr>
        <w:t>Het risico bestaat dat de operationele doelstellingen niet worden gehaald (nl. dat de resultaten van de algemene activiteiten/de kwaliteit van de specifieke acties van de begunstigde niet aan de in het jaarlijks voorstel beschreven doelstellingen beantwoorden).</w:t>
      </w:r>
    </w:p>
    <w:p>
      <w:pPr>
        <w:pStyle w:val="Text1"/>
        <w:pBdr>
          <w:top w:val="single" w:sz="4" w:space="1" w:color="auto"/>
          <w:left w:val="single" w:sz="4" w:space="4" w:color="auto"/>
          <w:bottom w:val="single" w:sz="4" w:space="1" w:color="auto"/>
          <w:right w:val="single" w:sz="4" w:space="4" w:color="auto"/>
        </w:pBdr>
        <w:rPr>
          <w:noProof/>
        </w:rPr>
      </w:pPr>
      <w:r>
        <w:rPr>
          <w:noProof/>
        </w:rPr>
        <w:t>Het risico bestaat dat schade wordt toegebracht aan de financiële belangen/reputatie van de EU als de Commissiediensten er niet in slagen niet-subsidiabele kosten als zodanig te onderkennen.</w:t>
      </w:r>
    </w:p>
    <w:p>
      <w:pPr>
        <w:pStyle w:val="ManualHeading3"/>
        <w:rPr>
          <w:bCs/>
          <w:noProof/>
          <w:szCs w:val="24"/>
        </w:rPr>
      </w:pPr>
      <w:r>
        <w:t>2.2.2.</w:t>
      </w:r>
      <w:r>
        <w:tab/>
      </w:r>
      <w:r>
        <w:rPr>
          <w:noProof/>
        </w:rPr>
        <w:t>Informatie over het ingestelde systeem voor interne controle</w:t>
      </w:r>
    </w:p>
    <w:p>
      <w:pPr>
        <w:pStyle w:val="Text1"/>
        <w:pBdr>
          <w:top w:val="single" w:sz="4" w:space="1" w:color="auto"/>
          <w:left w:val="single" w:sz="4" w:space="4" w:color="auto"/>
          <w:bottom w:val="single" w:sz="4" w:space="1" w:color="auto"/>
          <w:right w:val="single" w:sz="4" w:space="4" w:color="auto"/>
        </w:pBdr>
        <w:rPr>
          <w:noProof/>
        </w:rPr>
      </w:pPr>
      <w:r>
        <w:rPr>
          <w:noProof/>
        </w:rPr>
        <w:t>- Van de begunstigden wordt verlangd dat zij een jaarverslag indienen dat aansluit bij de individuele doelstellingen van elk programma en in overeenstemming is met de richtsnoeren van Verordening (EU, Euratom) nr. 966/2012 van het Europees Parlement en de Raad van 25 oktober 2012 tot vaststelling van de financiële regels van toepassing op de algemene begroting van de Unie.</w:t>
      </w:r>
    </w:p>
    <w:p>
      <w:pPr>
        <w:pStyle w:val="Text1"/>
        <w:pBdr>
          <w:top w:val="single" w:sz="4" w:space="1" w:color="auto"/>
          <w:left w:val="single" w:sz="4" w:space="4" w:color="auto"/>
          <w:bottom w:val="single" w:sz="4" w:space="1" w:color="auto"/>
          <w:right w:val="single" w:sz="4" w:space="4" w:color="auto"/>
        </w:pBdr>
        <w:rPr>
          <w:noProof/>
        </w:rPr>
      </w:pPr>
      <w:r>
        <w:rPr>
          <w:noProof/>
        </w:rPr>
        <w:t>- De binnen DG FISMA verantwoordelijke operationele eenheid onderhoudt regelmatige contacten met de begunstigden en neemt deel aan alle comités van de EFRAG.</w:t>
      </w:r>
    </w:p>
    <w:p>
      <w:pPr>
        <w:pStyle w:val="Text1"/>
        <w:pBdr>
          <w:top w:val="single" w:sz="4" w:space="1" w:color="auto"/>
          <w:left w:val="single" w:sz="4" w:space="4" w:color="auto"/>
          <w:bottom w:val="single" w:sz="4" w:space="1" w:color="auto"/>
          <w:right w:val="single" w:sz="4" w:space="4" w:color="auto"/>
        </w:pBdr>
        <w:rPr>
          <w:noProof/>
        </w:rPr>
      </w:pPr>
      <w:r>
        <w:rPr>
          <w:noProof/>
        </w:rPr>
        <w:t>Risico dat schade wordt toegebracht aan de financiële belangen van de EU:</w:t>
      </w:r>
    </w:p>
    <w:p>
      <w:pPr>
        <w:pStyle w:val="Text1"/>
        <w:pBdr>
          <w:top w:val="single" w:sz="4" w:space="1" w:color="auto"/>
          <w:left w:val="single" w:sz="4" w:space="4" w:color="auto"/>
          <w:bottom w:val="single" w:sz="4" w:space="1" w:color="auto"/>
          <w:right w:val="single" w:sz="4" w:space="4" w:color="auto"/>
        </w:pBdr>
        <w:rPr>
          <w:noProof/>
        </w:rPr>
      </w:pPr>
      <w:r>
        <w:rPr>
          <w:noProof/>
        </w:rPr>
        <w:t>- De controles van vastleggingen en betalingen binnen DG FISMA vinden plaats in het kader van de versterkte financiële procedure en omvatten verificaties van desbetreffende bewijsstukken, met inbegrip van tussentijdse en eindverslagen, gecontroleerde rekeningen en door het DG verlangde specifieke documenten. Deze controles worden gedocumenteerd aan de hand van controlelijsten die systematisch worden ingevuld door alle partijen die bij de desbetreffende financiële transacties betrokken zijn (OIA, OVA, OVA2, FIA, FVA, FVA2, AO), en omvatten ook de controles die door de eenheid voor financiële en juridische aangelegenheden van het DG worden uitgevoerd met het oog op de afgifte van de betaalbaarverklaring.</w:t>
      </w:r>
    </w:p>
    <w:p>
      <w:pPr>
        <w:pStyle w:val="Text1"/>
        <w:pBdr>
          <w:top w:val="single" w:sz="4" w:space="1" w:color="auto"/>
          <w:left w:val="single" w:sz="4" w:space="4" w:color="auto"/>
          <w:bottom w:val="single" w:sz="4" w:space="1" w:color="auto"/>
          <w:right w:val="single" w:sz="4" w:space="4" w:color="auto"/>
        </w:pBdr>
        <w:rPr>
          <w:noProof/>
        </w:rPr>
      </w:pPr>
      <w:r>
        <w:rPr>
          <w:noProof/>
        </w:rPr>
        <w:t>- De financiële eenheid van het DG voert systematisch bij iedere begunstigde controles ter plaatse uit, waarbij een gegevensgerichte controle van een steekproef van transacties wordt verricht met de bedoeling het financiële en internecontrolesysteem van de begunstigde te toetsen en de ordonnateur extra zekerheid te verschaffen wat de afdoende bescherming van de financiële belangen van de EU betreft.</w:t>
      </w:r>
    </w:p>
    <w:p>
      <w:pPr>
        <w:pStyle w:val="ManualHeading3"/>
        <w:rPr>
          <w:noProof/>
        </w:rPr>
      </w:pPr>
      <w:r>
        <w:t>2.2.3.</w:t>
      </w:r>
      <w:r>
        <w:tab/>
      </w:r>
      <w:r>
        <w:rPr>
          <w:noProof/>
        </w:rPr>
        <w:t>Raming van de kosten en baten van de controles en evaluatie van het verwachte foutenrisico</w:t>
      </w:r>
    </w:p>
    <w:p>
      <w:pPr>
        <w:pStyle w:val="Text1"/>
        <w:pBdr>
          <w:top w:val="single" w:sz="4" w:space="1" w:color="auto"/>
          <w:left w:val="single" w:sz="4" w:space="4" w:color="auto"/>
          <w:bottom w:val="single" w:sz="4" w:space="1" w:color="auto"/>
          <w:right w:val="single" w:sz="4" w:space="4" w:color="auto"/>
        </w:pBdr>
        <w:rPr>
          <w:noProof/>
        </w:rPr>
      </w:pPr>
      <w:r>
        <w:rPr>
          <w:noProof/>
        </w:rPr>
        <w:t>Het maximale foutenpercentage zou kleiner blijven dan 2 %.</w:t>
      </w:r>
    </w:p>
    <w:p>
      <w:pPr>
        <w:pStyle w:val="Text1"/>
        <w:pBdr>
          <w:top w:val="single" w:sz="4" w:space="1" w:color="auto"/>
          <w:left w:val="single" w:sz="4" w:space="4" w:color="auto"/>
          <w:bottom w:val="single" w:sz="4" w:space="1" w:color="auto"/>
          <w:right w:val="single" w:sz="4" w:space="4" w:color="auto"/>
        </w:pBdr>
        <w:rPr>
          <w:noProof/>
        </w:rPr>
      </w:pPr>
      <w:r>
        <w:rPr>
          <w:noProof/>
        </w:rPr>
        <w:t>De kosten van de controles zouden circa 0,5 VTE of 66 000 EUR per jaar bedragen.</w:t>
      </w:r>
    </w:p>
    <w:p>
      <w:pPr>
        <w:pStyle w:val="Text1"/>
        <w:pBdr>
          <w:top w:val="single" w:sz="4" w:space="1" w:color="auto"/>
          <w:left w:val="single" w:sz="4" w:space="4" w:color="auto"/>
          <w:bottom w:val="single" w:sz="4" w:space="1" w:color="auto"/>
          <w:right w:val="single" w:sz="4" w:space="4" w:color="auto"/>
        </w:pBdr>
        <w:rPr>
          <w:noProof/>
        </w:rPr>
      </w:pPr>
      <w:r>
        <w:rPr>
          <w:noProof/>
        </w:rPr>
        <w:t>Het maximale voordeel van de controles zou zijn dat 100 % van het jaarlijks toegezegde bedrag correct en volgens het beginsel van goed financieel beheer wordt besteed.</w:t>
      </w:r>
    </w:p>
    <w:p>
      <w:pPr>
        <w:pStyle w:val="ManualHeading2"/>
        <w:rPr>
          <w:bCs/>
          <w:noProof/>
          <w:szCs w:val="24"/>
        </w:rPr>
      </w:pPr>
      <w:r>
        <w:t>2.3.</w:t>
      </w:r>
      <w:r>
        <w:tab/>
      </w:r>
      <w:r>
        <w:rPr>
          <w:noProof/>
        </w:rPr>
        <w:t>Maatregelen ter voorkoming van fraude en onregelmatigheden</w:t>
      </w:r>
    </w:p>
    <w:p>
      <w:pPr>
        <w:pStyle w:val="Text1"/>
        <w:rPr>
          <w:i/>
          <w:noProof/>
          <w:sz w:val="20"/>
        </w:rPr>
      </w:pPr>
      <w:r>
        <w:rPr>
          <w:i/>
          <w:noProof/>
          <w:sz w:val="20"/>
        </w:rPr>
        <w:t>Vermeld de bestaande en geplande preventie- en beschermingsmaatregelen.</w:t>
      </w:r>
    </w:p>
    <w:p>
      <w:pPr>
        <w:pStyle w:val="Text1"/>
        <w:pBdr>
          <w:top w:val="single" w:sz="4" w:space="1" w:color="auto"/>
          <w:left w:val="single" w:sz="4" w:space="4" w:color="auto"/>
          <w:bottom w:val="single" w:sz="4" w:space="1" w:color="auto"/>
          <w:right w:val="single" w:sz="4" w:space="4" w:color="auto"/>
        </w:pBdr>
        <w:rPr>
          <w:noProof/>
        </w:rPr>
      </w:pPr>
      <w:r>
        <w:rPr>
          <w:noProof/>
        </w:rPr>
        <w:t>Versterkte financiële procedures met zowel operationele als financiële verificatie vooraf.</w:t>
      </w:r>
    </w:p>
    <w:p>
      <w:pPr>
        <w:pStyle w:val="Text1"/>
        <w:pBdr>
          <w:top w:val="single" w:sz="4" w:space="1" w:color="auto"/>
          <w:left w:val="single" w:sz="4" w:space="4" w:color="auto"/>
          <w:bottom w:val="single" w:sz="4" w:space="1" w:color="auto"/>
          <w:right w:val="single" w:sz="4" w:space="4" w:color="auto"/>
        </w:pBdr>
        <w:rPr>
          <w:noProof/>
        </w:rPr>
      </w:pPr>
      <w:r>
        <w:rPr>
          <w:noProof/>
        </w:rPr>
        <w:t>De rekeningen, jaarverslagen en auditorverklaringen van de begunstigden worden periodiek geanalyseerd.</w:t>
      </w:r>
    </w:p>
    <w:p>
      <w:pPr>
        <w:pStyle w:val="Text1"/>
        <w:pBdr>
          <w:top w:val="single" w:sz="4" w:space="1" w:color="auto"/>
          <w:left w:val="single" w:sz="4" w:space="4" w:color="auto"/>
          <w:bottom w:val="single" w:sz="4" w:space="1" w:color="auto"/>
          <w:right w:val="single" w:sz="4" w:space="4" w:color="auto"/>
        </w:pBdr>
        <w:rPr>
          <w:noProof/>
        </w:rPr>
      </w:pPr>
      <w:r>
        <w:rPr>
          <w:noProof/>
        </w:rPr>
        <w:t>Periodieke controles ter plaatse om de budgettaire systemen en controles te verifiëren.</w:t>
      </w:r>
    </w:p>
    <w:p>
      <w:pPr>
        <w:pStyle w:val="Text1"/>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GERAAMDE FINANCIËLE GEVOLGEN VAN HET VOORSTEL/INITIATIEF</w:t>
      </w:r>
    </w:p>
    <w:p>
      <w:pPr>
        <w:pStyle w:val="ManualHeading2"/>
        <w:rPr>
          <w:noProof/>
        </w:rPr>
      </w:pPr>
      <w:r>
        <w:t>3.1.</w:t>
      </w:r>
      <w:r>
        <w:tab/>
      </w:r>
      <w:r>
        <w:rPr>
          <w:noProof/>
        </w:rPr>
        <w:t>Rubriek(en) van het meerjarige financiële kader en betrokken begrotingsonderde(e)l(en) voor uitgaven</w:t>
      </w:r>
    </w:p>
    <w:p>
      <w:pPr>
        <w:pStyle w:val="ListBullet1"/>
        <w:rPr>
          <w:noProof/>
        </w:rPr>
      </w:pPr>
      <w:r>
        <w:rPr>
          <w:noProof/>
        </w:rPr>
        <w:t>Bestaande begrotingsonderdelen</w:t>
      </w:r>
    </w:p>
    <w:p>
      <w:pPr>
        <w:pStyle w:val="Text1"/>
        <w:rPr>
          <w:noProof/>
        </w:rPr>
      </w:pPr>
      <w:r>
        <w:rPr>
          <w:noProof/>
          <w:u w:val="single"/>
        </w:rPr>
        <w:t>In volgorde</w:t>
      </w:r>
      <w:r>
        <w:rPr>
          <w:noProof/>
        </w:rPr>
        <w:t xml:space="preserve"> van de rubrieken van het meerjarige financiële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Rubriek van het meerjarige financiële kader</w:t>
            </w:r>
          </w:p>
        </w:tc>
        <w:tc>
          <w:tcPr>
            <w:tcW w:w="3960" w:type="dxa"/>
            <w:vAlign w:val="center"/>
          </w:tcPr>
          <w:p>
            <w:pPr>
              <w:spacing w:before="60" w:after="60"/>
              <w:jc w:val="center"/>
              <w:rPr>
                <w:noProof/>
                <w:sz w:val="22"/>
              </w:rPr>
            </w:pPr>
            <w:r>
              <w:rPr>
                <w:noProof/>
                <w:sz w:val="20"/>
              </w:rPr>
              <w:t>Begrotingsonderdeel</w:t>
            </w:r>
          </w:p>
        </w:tc>
        <w:tc>
          <w:tcPr>
            <w:tcW w:w="1080" w:type="dxa"/>
            <w:vAlign w:val="center"/>
          </w:tcPr>
          <w:p>
            <w:pPr>
              <w:spacing w:before="60" w:after="60"/>
              <w:jc w:val="center"/>
              <w:rPr>
                <w:noProof/>
                <w:sz w:val="22"/>
              </w:rPr>
            </w:pPr>
            <w:r>
              <w:rPr>
                <w:noProof/>
                <w:sz w:val="18"/>
              </w:rPr>
              <w:t>Soort</w:t>
            </w:r>
            <w:r>
              <w:rPr>
                <w:noProof/>
                <w:sz w:val="22"/>
              </w:rPr>
              <w:br/>
            </w:r>
            <w:r>
              <w:rPr>
                <w:noProof/>
                <w:sz w:val="18"/>
              </w:rPr>
              <w:t>krediet</w:t>
            </w:r>
          </w:p>
        </w:tc>
        <w:tc>
          <w:tcPr>
            <w:tcW w:w="4440" w:type="dxa"/>
            <w:gridSpan w:val="4"/>
            <w:vAlign w:val="center"/>
          </w:tcPr>
          <w:p>
            <w:pPr>
              <w:spacing w:before="60" w:after="60"/>
              <w:jc w:val="center"/>
              <w:rPr>
                <w:noProof/>
                <w:sz w:val="22"/>
              </w:rPr>
            </w:pPr>
            <w:r>
              <w:rPr>
                <w:noProof/>
                <w:sz w:val="20"/>
              </w:rPr>
              <w:t xml:space="preserve">Bijdrage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w:t>
            </w:r>
            <w:r>
              <w:rPr>
                <w:noProof/>
                <w:sz w:val="22"/>
              </w:rPr>
              <w:t>ummer</w:t>
            </w:r>
            <w:r>
              <w:rPr>
                <w:noProof/>
                <w:sz w:val="22"/>
              </w:rPr>
              <w:br/>
            </w:r>
            <w:r>
              <w:rPr>
                <w:noProof/>
              </w:rPr>
              <w:t>Omschrijving</w:t>
            </w:r>
          </w:p>
        </w:tc>
        <w:tc>
          <w:tcPr>
            <w:tcW w:w="1080" w:type="dxa"/>
            <w:vAlign w:val="center"/>
          </w:tcPr>
          <w:p>
            <w:pPr>
              <w:jc w:val="center"/>
              <w:rPr>
                <w:noProof/>
                <w:sz w:val="22"/>
              </w:rPr>
            </w:pPr>
            <w:r>
              <w:rPr>
                <w:noProof/>
                <w:sz w:val="18"/>
              </w:rPr>
              <w:t>GK/NGK</w:t>
            </w:r>
            <w:r>
              <w:rPr>
                <w:rStyle w:val="FootnoteReference"/>
                <w:noProof/>
                <w:sz w:val="18"/>
              </w:rPr>
              <w:footnoteReference w:id="12"/>
            </w:r>
          </w:p>
        </w:tc>
        <w:tc>
          <w:tcPr>
            <w:tcW w:w="956" w:type="dxa"/>
            <w:vAlign w:val="center"/>
          </w:tcPr>
          <w:p>
            <w:pPr>
              <w:jc w:val="center"/>
              <w:rPr>
                <w:b/>
                <w:noProof/>
                <w:sz w:val="18"/>
              </w:rPr>
            </w:pPr>
            <w:r>
              <w:rPr>
                <w:noProof/>
                <w:sz w:val="18"/>
              </w:rPr>
              <w:t>van EVA-landen</w:t>
            </w:r>
            <w:r>
              <w:rPr>
                <w:rStyle w:val="FootnoteReference"/>
                <w:noProof/>
                <w:sz w:val="18"/>
              </w:rPr>
              <w:footnoteReference w:id="13"/>
            </w:r>
          </w:p>
        </w:tc>
        <w:tc>
          <w:tcPr>
            <w:tcW w:w="1080" w:type="dxa"/>
            <w:vAlign w:val="center"/>
          </w:tcPr>
          <w:p>
            <w:pPr>
              <w:jc w:val="center"/>
              <w:rPr>
                <w:noProof/>
                <w:sz w:val="18"/>
              </w:rPr>
            </w:pPr>
            <w:r>
              <w:rPr>
                <w:noProof/>
                <w:sz w:val="18"/>
              </w:rPr>
              <w:t>van kandidaat-lidstaten</w:t>
            </w:r>
            <w:r>
              <w:rPr>
                <w:rStyle w:val="FootnoteReference"/>
                <w:noProof/>
                <w:sz w:val="18"/>
              </w:rPr>
              <w:footnoteReference w:id="14"/>
            </w:r>
          </w:p>
        </w:tc>
        <w:tc>
          <w:tcPr>
            <w:tcW w:w="956" w:type="dxa"/>
            <w:vAlign w:val="center"/>
          </w:tcPr>
          <w:p>
            <w:pPr>
              <w:jc w:val="center"/>
              <w:rPr>
                <w:noProof/>
                <w:sz w:val="18"/>
              </w:rPr>
            </w:pPr>
            <w:r>
              <w:rPr>
                <w:noProof/>
                <w:sz w:val="18"/>
              </w:rPr>
              <w:t>van derde landen</w:t>
            </w:r>
          </w:p>
        </w:tc>
        <w:tc>
          <w:tcPr>
            <w:tcW w:w="1448" w:type="dxa"/>
            <w:vAlign w:val="center"/>
          </w:tcPr>
          <w:p>
            <w:pPr>
              <w:jc w:val="center"/>
              <w:rPr>
                <w:noProof/>
                <w:sz w:val="22"/>
              </w:rPr>
            </w:pPr>
            <w:r>
              <w:rPr>
                <w:noProof/>
                <w:sz w:val="16"/>
              </w:rPr>
              <w:t>in de zin van artikel 21, lid 2, onder b), van het Financieel Reglement</w:t>
            </w:r>
          </w:p>
        </w:tc>
      </w:tr>
      <w:tr>
        <w:tc>
          <w:tcPr>
            <w:tcW w:w="1080" w:type="dxa"/>
            <w:vAlign w:val="center"/>
          </w:tcPr>
          <w:p>
            <w:pPr>
              <w:jc w:val="center"/>
              <w:rPr>
                <w:noProof/>
                <w:color w:val="0000FF"/>
                <w:sz w:val="22"/>
              </w:rPr>
            </w:pPr>
            <w:r>
              <w:rPr>
                <w:noProof/>
                <w:sz w:val="22"/>
              </w:rPr>
              <w:t>1</w:t>
            </w:r>
          </w:p>
        </w:tc>
        <w:tc>
          <w:tcPr>
            <w:tcW w:w="3960" w:type="dxa"/>
            <w:vAlign w:val="center"/>
          </w:tcPr>
          <w:p>
            <w:pPr>
              <w:spacing w:before="60"/>
              <w:rPr>
                <w:b/>
                <w:noProof/>
                <w:sz w:val="22"/>
              </w:rPr>
            </w:pPr>
            <w:r>
              <w:rPr>
                <w:b/>
                <w:noProof/>
                <w:sz w:val="22"/>
              </w:rPr>
              <w:t>12 02 03</w:t>
            </w:r>
          </w:p>
          <w:p>
            <w:pPr>
              <w:spacing w:before="60"/>
              <w:rPr>
                <w:noProof/>
                <w:sz w:val="22"/>
              </w:rPr>
            </w:pPr>
            <w:r>
              <w:rPr>
                <w:noProof/>
                <w:sz w:val="22"/>
              </w:rPr>
              <w:t>Standaarden voor financiële verslaggeving en controle van jaarrekeningen</w:t>
            </w:r>
            <w:r>
              <w:rPr>
                <w:rStyle w:val="FootnoteReference"/>
                <w:noProof/>
                <w:sz w:val="22"/>
              </w:rPr>
              <w:footnoteReference w:id="15"/>
            </w:r>
          </w:p>
        </w:tc>
        <w:tc>
          <w:tcPr>
            <w:tcW w:w="1080" w:type="dxa"/>
            <w:vAlign w:val="center"/>
          </w:tcPr>
          <w:p>
            <w:pPr>
              <w:jc w:val="center"/>
              <w:rPr>
                <w:noProof/>
                <w:color w:val="0000FF"/>
                <w:sz w:val="22"/>
              </w:rPr>
            </w:pPr>
            <w:r>
              <w:rPr>
                <w:noProof/>
                <w:sz w:val="22"/>
              </w:rPr>
              <w:t>Gespl.</w:t>
            </w:r>
          </w:p>
        </w:tc>
        <w:tc>
          <w:tcPr>
            <w:tcW w:w="956" w:type="dxa"/>
            <w:vAlign w:val="center"/>
          </w:tcPr>
          <w:p>
            <w:pPr>
              <w:rPr>
                <w:noProof/>
                <w:sz w:val="22"/>
              </w:rPr>
            </w:pPr>
            <w:r>
              <w:rPr>
                <w:noProof/>
                <w:sz w:val="22"/>
              </w:rPr>
              <w:t xml:space="preserve"> /NEE</w:t>
            </w:r>
          </w:p>
        </w:tc>
        <w:tc>
          <w:tcPr>
            <w:tcW w:w="1080" w:type="dxa"/>
            <w:vAlign w:val="center"/>
          </w:tcPr>
          <w:p>
            <w:pPr>
              <w:jc w:val="center"/>
              <w:rPr>
                <w:noProof/>
                <w:sz w:val="22"/>
              </w:rPr>
            </w:pPr>
            <w:r>
              <w:rPr>
                <w:noProof/>
                <w:sz w:val="22"/>
              </w:rPr>
              <w:t>NEE</w:t>
            </w:r>
          </w:p>
        </w:tc>
        <w:tc>
          <w:tcPr>
            <w:tcW w:w="956" w:type="dxa"/>
            <w:vAlign w:val="center"/>
          </w:tcPr>
          <w:p>
            <w:pPr>
              <w:jc w:val="center"/>
              <w:rPr>
                <w:noProof/>
                <w:sz w:val="22"/>
              </w:rPr>
            </w:pPr>
            <w:r>
              <w:rPr>
                <w:noProof/>
                <w:sz w:val="22"/>
              </w:rPr>
              <w:t>NEE</w:t>
            </w:r>
          </w:p>
        </w:tc>
        <w:tc>
          <w:tcPr>
            <w:tcW w:w="1448" w:type="dxa"/>
            <w:vAlign w:val="center"/>
          </w:tcPr>
          <w:p>
            <w:pPr>
              <w:jc w:val="center"/>
              <w:rPr>
                <w:noProof/>
                <w:sz w:val="22"/>
              </w:rPr>
            </w:pPr>
            <w:r>
              <w:rPr>
                <w:noProof/>
                <w:sz w:val="22"/>
              </w:rPr>
              <w:t>NEE</w:t>
            </w:r>
          </w:p>
        </w:tc>
      </w:tr>
    </w:tbl>
    <w:p>
      <w:pPr>
        <w:pStyle w:val="ListBullet1"/>
        <w:rPr>
          <w:noProof/>
        </w:rPr>
      </w:pPr>
      <w:r>
        <w:rPr>
          <w:noProof/>
        </w:rPr>
        <w:t>Te creëren nieuwe begrotingsonderdelen: n.v.t.</w:t>
      </w:r>
    </w:p>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Geraamde gevolgen voor de uitgaven</w:t>
      </w:r>
    </w:p>
    <w:p>
      <w:pPr>
        <w:pStyle w:val="ManualHeading3"/>
        <w:rPr>
          <w:noProof/>
          <w:u w:val="single"/>
        </w:rPr>
      </w:pPr>
      <w:r>
        <w:t>3.2.1.</w:t>
      </w:r>
      <w:r>
        <w:tab/>
      </w:r>
      <w:r>
        <w:rPr>
          <w:noProof/>
        </w:rPr>
        <w:t>Samenvatting van de geraamde gevolgen voor de uitgaven</w:t>
      </w:r>
    </w:p>
    <w:p>
      <w:pPr>
        <w:jc w:val="right"/>
        <w:rPr>
          <w:noProof/>
          <w:sz w:val="20"/>
        </w:rPr>
      </w:pPr>
      <w:r>
        <w:rPr>
          <w:noProof/>
          <w:sz w:val="20"/>
        </w:rPr>
        <w:t>miljoen EUR (tot op drie decimalen)</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Rubriek van het meerjarige financiële kader</w:t>
            </w:r>
          </w:p>
        </w:tc>
        <w:tc>
          <w:tcPr>
            <w:tcW w:w="1080" w:type="dxa"/>
            <w:vAlign w:val="center"/>
          </w:tcPr>
          <w:p>
            <w:pPr>
              <w:spacing w:before="60" w:after="60"/>
              <w:jc w:val="center"/>
              <w:rPr>
                <w:noProof/>
                <w:sz w:val="22"/>
              </w:rPr>
            </w:pPr>
            <w:r>
              <w:rPr>
                <w:noProof/>
                <w:sz w:val="22"/>
              </w:rPr>
              <w:t>1</w:t>
            </w:r>
          </w:p>
        </w:tc>
        <w:tc>
          <w:tcPr>
            <w:tcW w:w="7817" w:type="dxa"/>
            <w:vAlign w:val="center"/>
          </w:tcPr>
          <w:p>
            <w:pPr>
              <w:spacing w:before="60" w:after="60"/>
              <w:rPr>
                <w:noProof/>
                <w:sz w:val="22"/>
              </w:rPr>
            </w:pPr>
            <w:r>
              <w:rPr>
                <w:noProof/>
              </w:rPr>
              <w:t>Slimme en inclusieve groei</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1777"/>
      </w:tblGrid>
      <w:tr>
        <w:tc>
          <w:tcPr>
            <w:tcW w:w="3960" w:type="dxa"/>
            <w:vAlign w:val="center"/>
          </w:tcPr>
          <w:p>
            <w:pPr>
              <w:jc w:val="center"/>
              <w:rPr>
                <w:noProof/>
                <w:sz w:val="22"/>
              </w:rPr>
            </w:pPr>
            <w:r>
              <w:rPr>
                <w:noProof/>
                <w:sz w:val="22"/>
              </w:rPr>
              <w:t>DG FISMA</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2017</w:t>
            </w:r>
          </w:p>
        </w:tc>
        <w:tc>
          <w:tcPr>
            <w:tcW w:w="868" w:type="dxa"/>
            <w:vAlign w:val="center"/>
          </w:tcPr>
          <w:p>
            <w:pPr>
              <w:jc w:val="center"/>
              <w:rPr>
                <w:noProof/>
                <w:sz w:val="20"/>
              </w:rPr>
            </w:pPr>
            <w:r>
              <w:rPr>
                <w:noProof/>
                <w:sz w:val="20"/>
              </w:rPr>
              <w:t>2018</w:t>
            </w:r>
          </w:p>
        </w:tc>
        <w:tc>
          <w:tcPr>
            <w:tcW w:w="868" w:type="dxa"/>
            <w:vAlign w:val="center"/>
          </w:tcPr>
          <w:p>
            <w:pPr>
              <w:jc w:val="center"/>
              <w:rPr>
                <w:noProof/>
                <w:sz w:val="20"/>
              </w:rPr>
            </w:pPr>
            <w:r>
              <w:rPr>
                <w:noProof/>
                <w:sz w:val="20"/>
              </w:rPr>
              <w:t>2019</w:t>
            </w:r>
          </w:p>
        </w:tc>
        <w:tc>
          <w:tcPr>
            <w:tcW w:w="868" w:type="dxa"/>
            <w:vAlign w:val="center"/>
          </w:tcPr>
          <w:p>
            <w:pPr>
              <w:jc w:val="center"/>
              <w:rPr>
                <w:noProof/>
                <w:sz w:val="20"/>
              </w:rPr>
            </w:pPr>
            <w:r>
              <w:rPr>
                <w:noProof/>
                <w:sz w:val="20"/>
              </w:rPr>
              <w:t>2020</w:t>
            </w:r>
          </w:p>
        </w:tc>
        <w:tc>
          <w:tcPr>
            <w:tcW w:w="868" w:type="dxa"/>
            <w:vAlign w:val="center"/>
          </w:tcPr>
          <w:p>
            <w:pPr>
              <w:jc w:val="center"/>
              <w:rPr>
                <w:noProof/>
                <w:sz w:val="20"/>
              </w:rPr>
            </w:pPr>
            <w:r>
              <w:rPr>
                <w:noProof/>
                <w:sz w:val="20"/>
              </w:rPr>
              <w:t>2021</w:t>
            </w:r>
          </w:p>
        </w:tc>
        <w:tc>
          <w:tcPr>
            <w:tcW w:w="1777" w:type="dxa"/>
            <w:vAlign w:val="center"/>
          </w:tcPr>
          <w:p>
            <w:pPr>
              <w:jc w:val="center"/>
              <w:rPr>
                <w:b/>
                <w:noProof/>
                <w:sz w:val="20"/>
              </w:rPr>
            </w:pPr>
            <w:r>
              <w:rPr>
                <w:b/>
                <w:noProof/>
                <w:sz w:val="20"/>
              </w:rPr>
              <w:t>TOTAAL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Beleidskredieten</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0"/>
                <w:szCs w:val="20"/>
              </w:rPr>
            </w:pPr>
            <w:r>
              <w:rPr>
                <w:noProof/>
                <w:sz w:val="20"/>
              </w:rPr>
              <w:t>12 02 03 Standaarden voor financiële verslaggeving en controle van jaarrekeningen</w:t>
            </w:r>
          </w:p>
        </w:tc>
        <w:tc>
          <w:tcPr>
            <w:tcW w:w="1440" w:type="dxa"/>
            <w:vAlign w:val="center"/>
          </w:tcPr>
          <w:p>
            <w:pPr>
              <w:spacing w:before="20" w:after="20"/>
              <w:rPr>
                <w:noProof/>
                <w:sz w:val="18"/>
              </w:rPr>
            </w:pPr>
            <w:r>
              <w:rPr>
                <w:noProof/>
                <w:sz w:val="18"/>
              </w:rPr>
              <w:t>Vastleggingen</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18"/>
              </w:rPr>
              <w:t>3,356</w:t>
            </w:r>
          </w:p>
        </w:tc>
        <w:tc>
          <w:tcPr>
            <w:tcW w:w="868" w:type="dxa"/>
            <w:vAlign w:val="center"/>
          </w:tcPr>
          <w:p>
            <w:pPr>
              <w:spacing w:before="20" w:after="20"/>
              <w:jc w:val="right"/>
              <w:rPr>
                <w:noProof/>
                <w:sz w:val="20"/>
              </w:rPr>
            </w:pPr>
            <w:r>
              <w:rPr>
                <w:noProof/>
                <w:sz w:val="18"/>
              </w:rPr>
              <w:t xml:space="preserve">3,423 </w:t>
            </w:r>
          </w:p>
        </w:tc>
        <w:tc>
          <w:tcPr>
            <w:tcW w:w="868" w:type="dxa"/>
            <w:vAlign w:val="center"/>
          </w:tcPr>
          <w:p>
            <w:pPr>
              <w:spacing w:before="20" w:after="20"/>
              <w:jc w:val="right"/>
              <w:rPr>
                <w:noProof/>
                <w:sz w:val="20"/>
              </w:rPr>
            </w:pPr>
            <w:r>
              <w:rPr>
                <w:noProof/>
                <w:sz w:val="18"/>
              </w:rPr>
              <w:t>3,491</w:t>
            </w:r>
          </w:p>
        </w:tc>
        <w:tc>
          <w:tcPr>
            <w:tcW w:w="868" w:type="dxa"/>
            <w:vAlign w:val="center"/>
          </w:tcPr>
          <w:p>
            <w:pPr>
              <w:spacing w:before="20" w:after="20"/>
              <w:jc w:val="right"/>
              <w:rPr>
                <w:noProof/>
                <w:sz w:val="20"/>
              </w:rPr>
            </w:pPr>
            <w:r>
              <w:rPr>
                <w:noProof/>
                <w:sz w:val="18"/>
              </w:rPr>
              <w:t>3,561</w:t>
            </w:r>
          </w:p>
        </w:tc>
        <w:tc>
          <w:tcPr>
            <w:tcW w:w="868" w:type="dxa"/>
            <w:vAlign w:val="center"/>
          </w:tcPr>
          <w:p>
            <w:pPr>
              <w:spacing w:before="20" w:after="20"/>
              <w:jc w:val="right"/>
              <w:rPr>
                <w:noProof/>
                <w:sz w:val="20"/>
              </w:rPr>
            </w:pPr>
            <w:r>
              <w:rPr>
                <w:noProof/>
                <w:sz w:val="18"/>
              </w:rPr>
              <w:t>0</w:t>
            </w:r>
          </w:p>
        </w:tc>
        <w:tc>
          <w:tcPr>
            <w:tcW w:w="1777" w:type="dxa"/>
            <w:vAlign w:val="center"/>
          </w:tcPr>
          <w:p>
            <w:pPr>
              <w:spacing w:before="20" w:after="20"/>
              <w:jc w:val="right"/>
              <w:rPr>
                <w:b/>
                <w:noProof/>
                <w:sz w:val="20"/>
              </w:rPr>
            </w:pPr>
            <w:r>
              <w:rPr>
                <w:b/>
                <w:noProof/>
                <w:sz w:val="18"/>
              </w:rPr>
              <w:t>13,831</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Betalingen</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18"/>
              </w:rPr>
              <w:t>2,517</w:t>
            </w:r>
          </w:p>
        </w:tc>
        <w:tc>
          <w:tcPr>
            <w:tcW w:w="868" w:type="dxa"/>
            <w:vAlign w:val="center"/>
          </w:tcPr>
          <w:p>
            <w:pPr>
              <w:spacing w:before="20" w:after="20"/>
              <w:jc w:val="right"/>
              <w:rPr>
                <w:noProof/>
                <w:sz w:val="20"/>
              </w:rPr>
            </w:pPr>
            <w:r>
              <w:rPr>
                <w:noProof/>
                <w:sz w:val="18"/>
              </w:rPr>
              <w:t>3,406</w:t>
            </w:r>
          </w:p>
        </w:tc>
        <w:tc>
          <w:tcPr>
            <w:tcW w:w="868" w:type="dxa"/>
            <w:vAlign w:val="center"/>
          </w:tcPr>
          <w:p>
            <w:pPr>
              <w:spacing w:before="20" w:after="20"/>
              <w:jc w:val="right"/>
              <w:rPr>
                <w:noProof/>
                <w:sz w:val="20"/>
              </w:rPr>
            </w:pPr>
            <w:r>
              <w:rPr>
                <w:noProof/>
                <w:sz w:val="18"/>
              </w:rPr>
              <w:t>3,474</w:t>
            </w:r>
          </w:p>
        </w:tc>
        <w:tc>
          <w:tcPr>
            <w:tcW w:w="868" w:type="dxa"/>
            <w:vAlign w:val="center"/>
          </w:tcPr>
          <w:p>
            <w:pPr>
              <w:spacing w:before="20" w:after="20"/>
              <w:jc w:val="right"/>
              <w:rPr>
                <w:noProof/>
                <w:sz w:val="20"/>
              </w:rPr>
            </w:pPr>
            <w:r>
              <w:rPr>
                <w:noProof/>
                <w:sz w:val="18"/>
              </w:rPr>
              <w:t>3,544</w:t>
            </w:r>
          </w:p>
        </w:tc>
        <w:tc>
          <w:tcPr>
            <w:tcW w:w="868" w:type="dxa"/>
            <w:vAlign w:val="center"/>
          </w:tcPr>
          <w:p>
            <w:pPr>
              <w:spacing w:before="20" w:after="20"/>
              <w:jc w:val="right"/>
              <w:rPr>
                <w:noProof/>
                <w:sz w:val="20"/>
              </w:rPr>
            </w:pPr>
            <w:r>
              <w:rPr>
                <w:noProof/>
                <w:sz w:val="18"/>
              </w:rPr>
              <w:t>0,890</w:t>
            </w:r>
          </w:p>
        </w:tc>
        <w:tc>
          <w:tcPr>
            <w:tcW w:w="1777" w:type="dxa"/>
            <w:vAlign w:val="center"/>
          </w:tcPr>
          <w:p>
            <w:pPr>
              <w:spacing w:before="20" w:after="20"/>
              <w:jc w:val="right"/>
              <w:rPr>
                <w:b/>
                <w:noProof/>
                <w:sz w:val="18"/>
                <w:szCs w:val="18"/>
              </w:rPr>
            </w:pPr>
            <w:r>
              <w:rPr>
                <w:b/>
                <w:noProof/>
                <w:sz w:val="18"/>
              </w:rPr>
              <w:t>13,831</w:t>
            </w:r>
          </w:p>
        </w:tc>
      </w:tr>
      <w:tr>
        <w:trPr>
          <w:trHeight w:val="231"/>
        </w:trPr>
        <w:tc>
          <w:tcPr>
            <w:tcW w:w="6054" w:type="dxa"/>
            <w:gridSpan w:val="4"/>
            <w:vAlign w:val="center"/>
          </w:tcPr>
          <w:p>
            <w:pPr>
              <w:spacing w:before="20" w:after="20"/>
              <w:rPr>
                <w:noProof/>
                <w:sz w:val="22"/>
              </w:rPr>
            </w:pPr>
            <w:r>
              <w:rPr>
                <w:noProof/>
                <w:sz w:val="21"/>
              </w:rPr>
              <w:t>Uit het budget van specifieke programma's gefinancierde administratieve kredieten</w:t>
            </w:r>
            <w:r>
              <w:rPr>
                <w:rStyle w:val="FootnoteReference"/>
                <w:noProof/>
                <w:sz w:val="21"/>
              </w:rPr>
              <w:footnoteReference w:id="16"/>
            </w: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Nummer begrotingsonderdeel n.v.t.</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TOTAAL kredieten</w:t>
            </w:r>
            <w:r>
              <w:rPr>
                <w:noProof/>
                <w:sz w:val="22"/>
              </w:rPr>
              <w:br/>
            </w:r>
            <w:r>
              <w:rPr>
                <w:b/>
                <w:noProof/>
                <w:sz w:val="22"/>
              </w:rPr>
              <w:t>voor DG FISMA</w:t>
            </w:r>
          </w:p>
        </w:tc>
        <w:tc>
          <w:tcPr>
            <w:tcW w:w="1440" w:type="dxa"/>
            <w:vAlign w:val="center"/>
          </w:tcPr>
          <w:p>
            <w:pPr>
              <w:rPr>
                <w:noProof/>
                <w:sz w:val="18"/>
              </w:rPr>
            </w:pPr>
            <w:r>
              <w:rPr>
                <w:noProof/>
                <w:sz w:val="18"/>
              </w:rPr>
              <w:t>Vastleggingen</w:t>
            </w:r>
          </w:p>
        </w:tc>
        <w:tc>
          <w:tcPr>
            <w:tcW w:w="654" w:type="dxa"/>
            <w:gridSpan w:val="2"/>
            <w:vAlign w:val="center"/>
          </w:tcPr>
          <w:p>
            <w:pPr>
              <w:jc w:val="center"/>
              <w:rPr>
                <w:noProof/>
                <w:sz w:val="14"/>
              </w:rPr>
            </w:pPr>
            <w:r>
              <w:rPr>
                <w:noProof/>
                <w:sz w:val="14"/>
              </w:rPr>
              <w:t>=1</w:t>
            </w:r>
          </w:p>
        </w:tc>
        <w:tc>
          <w:tcPr>
            <w:tcW w:w="868" w:type="dxa"/>
            <w:vAlign w:val="center"/>
          </w:tcPr>
          <w:p>
            <w:pPr>
              <w:spacing w:before="20" w:after="20"/>
              <w:jc w:val="right"/>
              <w:rPr>
                <w:noProof/>
                <w:sz w:val="20"/>
              </w:rPr>
            </w:pPr>
            <w:r>
              <w:rPr>
                <w:noProof/>
                <w:sz w:val="18"/>
              </w:rPr>
              <w:t>3,356</w:t>
            </w:r>
          </w:p>
        </w:tc>
        <w:tc>
          <w:tcPr>
            <w:tcW w:w="868" w:type="dxa"/>
            <w:vAlign w:val="center"/>
          </w:tcPr>
          <w:p>
            <w:pPr>
              <w:spacing w:before="20" w:after="20"/>
              <w:jc w:val="right"/>
              <w:rPr>
                <w:noProof/>
                <w:sz w:val="20"/>
              </w:rPr>
            </w:pPr>
            <w:r>
              <w:rPr>
                <w:noProof/>
                <w:sz w:val="18"/>
              </w:rPr>
              <w:t xml:space="preserve">3,423 </w:t>
            </w:r>
          </w:p>
        </w:tc>
        <w:tc>
          <w:tcPr>
            <w:tcW w:w="868" w:type="dxa"/>
            <w:vAlign w:val="center"/>
          </w:tcPr>
          <w:p>
            <w:pPr>
              <w:spacing w:before="20" w:after="20"/>
              <w:jc w:val="right"/>
              <w:rPr>
                <w:noProof/>
                <w:sz w:val="20"/>
              </w:rPr>
            </w:pPr>
            <w:r>
              <w:rPr>
                <w:noProof/>
                <w:sz w:val="18"/>
              </w:rPr>
              <w:t>3,491</w:t>
            </w:r>
          </w:p>
        </w:tc>
        <w:tc>
          <w:tcPr>
            <w:tcW w:w="868" w:type="dxa"/>
            <w:vAlign w:val="center"/>
          </w:tcPr>
          <w:p>
            <w:pPr>
              <w:spacing w:before="20" w:after="20"/>
              <w:jc w:val="right"/>
              <w:rPr>
                <w:noProof/>
                <w:sz w:val="20"/>
              </w:rPr>
            </w:pPr>
            <w:r>
              <w:rPr>
                <w:noProof/>
                <w:sz w:val="18"/>
              </w:rPr>
              <w:t>3,561</w:t>
            </w:r>
          </w:p>
        </w:tc>
        <w:tc>
          <w:tcPr>
            <w:tcW w:w="868" w:type="dxa"/>
            <w:vAlign w:val="center"/>
          </w:tcPr>
          <w:p>
            <w:pPr>
              <w:spacing w:before="20" w:after="20"/>
              <w:jc w:val="right"/>
              <w:rPr>
                <w:noProof/>
                <w:sz w:val="20"/>
              </w:rPr>
            </w:pPr>
            <w:r>
              <w:rPr>
                <w:noProof/>
                <w:sz w:val="18"/>
              </w:rPr>
              <w:t>0</w:t>
            </w:r>
          </w:p>
        </w:tc>
        <w:tc>
          <w:tcPr>
            <w:tcW w:w="1777" w:type="dxa"/>
            <w:vAlign w:val="center"/>
          </w:tcPr>
          <w:p>
            <w:pPr>
              <w:spacing w:before="20" w:after="20"/>
              <w:jc w:val="right"/>
              <w:rPr>
                <w:b/>
                <w:noProof/>
                <w:sz w:val="20"/>
              </w:rPr>
            </w:pPr>
            <w:r>
              <w:rPr>
                <w:b/>
                <w:noProof/>
                <w:sz w:val="18"/>
              </w:rPr>
              <w:t>13,831</w:t>
            </w:r>
          </w:p>
        </w:tc>
      </w:tr>
      <w:tr>
        <w:tc>
          <w:tcPr>
            <w:tcW w:w="3960" w:type="dxa"/>
            <w:vMerge/>
          </w:tcPr>
          <w:p>
            <w:pPr>
              <w:rPr>
                <w:noProof/>
                <w:sz w:val="20"/>
              </w:rPr>
            </w:pPr>
          </w:p>
        </w:tc>
        <w:tc>
          <w:tcPr>
            <w:tcW w:w="1440" w:type="dxa"/>
            <w:vAlign w:val="center"/>
          </w:tcPr>
          <w:p>
            <w:pPr>
              <w:rPr>
                <w:noProof/>
                <w:sz w:val="18"/>
              </w:rPr>
            </w:pPr>
            <w:r>
              <w:rPr>
                <w:noProof/>
                <w:sz w:val="18"/>
              </w:rPr>
              <w:t>Betalingen</w:t>
            </w:r>
          </w:p>
        </w:tc>
        <w:tc>
          <w:tcPr>
            <w:tcW w:w="654" w:type="dxa"/>
            <w:gridSpan w:val="2"/>
            <w:vAlign w:val="center"/>
          </w:tcPr>
          <w:p>
            <w:pPr>
              <w:jc w:val="center"/>
              <w:rPr>
                <w:noProof/>
                <w:sz w:val="14"/>
              </w:rPr>
            </w:pPr>
            <w:r>
              <w:rPr>
                <w:noProof/>
                <w:sz w:val="14"/>
              </w:rPr>
              <w:t>=2</w:t>
            </w:r>
          </w:p>
        </w:tc>
        <w:tc>
          <w:tcPr>
            <w:tcW w:w="868" w:type="dxa"/>
            <w:vAlign w:val="center"/>
          </w:tcPr>
          <w:p>
            <w:pPr>
              <w:spacing w:before="20" w:after="20"/>
              <w:jc w:val="right"/>
              <w:rPr>
                <w:noProof/>
                <w:sz w:val="20"/>
              </w:rPr>
            </w:pPr>
            <w:r>
              <w:rPr>
                <w:noProof/>
                <w:sz w:val="18"/>
              </w:rPr>
              <w:t>2,517</w:t>
            </w:r>
          </w:p>
        </w:tc>
        <w:tc>
          <w:tcPr>
            <w:tcW w:w="868" w:type="dxa"/>
            <w:vAlign w:val="center"/>
          </w:tcPr>
          <w:p>
            <w:pPr>
              <w:spacing w:before="20" w:after="20"/>
              <w:jc w:val="right"/>
              <w:rPr>
                <w:noProof/>
                <w:sz w:val="20"/>
              </w:rPr>
            </w:pPr>
            <w:r>
              <w:rPr>
                <w:noProof/>
                <w:sz w:val="18"/>
              </w:rPr>
              <w:t>3,406</w:t>
            </w:r>
          </w:p>
        </w:tc>
        <w:tc>
          <w:tcPr>
            <w:tcW w:w="868" w:type="dxa"/>
            <w:vAlign w:val="center"/>
          </w:tcPr>
          <w:p>
            <w:pPr>
              <w:spacing w:before="20" w:after="20"/>
              <w:jc w:val="right"/>
              <w:rPr>
                <w:noProof/>
                <w:sz w:val="20"/>
              </w:rPr>
            </w:pPr>
            <w:r>
              <w:rPr>
                <w:noProof/>
                <w:sz w:val="18"/>
              </w:rPr>
              <w:t>3,474</w:t>
            </w:r>
          </w:p>
        </w:tc>
        <w:tc>
          <w:tcPr>
            <w:tcW w:w="868" w:type="dxa"/>
            <w:vAlign w:val="center"/>
          </w:tcPr>
          <w:p>
            <w:pPr>
              <w:spacing w:before="20" w:after="20"/>
              <w:jc w:val="right"/>
              <w:rPr>
                <w:noProof/>
                <w:sz w:val="20"/>
              </w:rPr>
            </w:pPr>
            <w:r>
              <w:rPr>
                <w:noProof/>
                <w:sz w:val="18"/>
              </w:rPr>
              <w:t>3,544</w:t>
            </w:r>
          </w:p>
        </w:tc>
        <w:tc>
          <w:tcPr>
            <w:tcW w:w="868" w:type="dxa"/>
            <w:vAlign w:val="center"/>
          </w:tcPr>
          <w:p>
            <w:pPr>
              <w:spacing w:before="20" w:after="20"/>
              <w:jc w:val="right"/>
              <w:rPr>
                <w:noProof/>
                <w:sz w:val="20"/>
              </w:rPr>
            </w:pPr>
            <w:r>
              <w:rPr>
                <w:noProof/>
                <w:sz w:val="18"/>
              </w:rPr>
              <w:t>0,890</w:t>
            </w:r>
          </w:p>
        </w:tc>
        <w:tc>
          <w:tcPr>
            <w:tcW w:w="1777" w:type="dxa"/>
            <w:vAlign w:val="center"/>
          </w:tcPr>
          <w:p>
            <w:pPr>
              <w:spacing w:before="20" w:after="20"/>
              <w:jc w:val="right"/>
              <w:rPr>
                <w:b/>
                <w:noProof/>
                <w:sz w:val="18"/>
                <w:szCs w:val="18"/>
              </w:rPr>
            </w:pPr>
            <w:r>
              <w:rPr>
                <w:b/>
                <w:noProof/>
                <w:sz w:val="18"/>
              </w:rPr>
              <w:t>13,831</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TOTAAL beleidskredieten</w:t>
            </w:r>
          </w:p>
        </w:tc>
        <w:tc>
          <w:tcPr>
            <w:tcW w:w="1440" w:type="dxa"/>
            <w:vAlign w:val="center"/>
          </w:tcPr>
          <w:p>
            <w:pPr>
              <w:spacing w:beforeLines="20" w:before="48" w:afterLines="20" w:after="48"/>
              <w:rPr>
                <w:noProof/>
                <w:sz w:val="18"/>
              </w:rPr>
            </w:pPr>
            <w:r>
              <w:rPr>
                <w:noProof/>
                <w:sz w:val="18"/>
              </w:rPr>
              <w:t>Vastleggingen</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18"/>
              </w:rPr>
              <w:t>3,356</w:t>
            </w:r>
          </w:p>
        </w:tc>
        <w:tc>
          <w:tcPr>
            <w:tcW w:w="868" w:type="dxa"/>
            <w:vAlign w:val="center"/>
          </w:tcPr>
          <w:p>
            <w:pPr>
              <w:spacing w:before="20" w:after="20"/>
              <w:jc w:val="right"/>
              <w:rPr>
                <w:noProof/>
                <w:sz w:val="20"/>
              </w:rPr>
            </w:pPr>
            <w:r>
              <w:rPr>
                <w:noProof/>
                <w:sz w:val="18"/>
              </w:rPr>
              <w:t xml:space="preserve">3,423 </w:t>
            </w:r>
          </w:p>
        </w:tc>
        <w:tc>
          <w:tcPr>
            <w:tcW w:w="868" w:type="dxa"/>
            <w:vAlign w:val="center"/>
          </w:tcPr>
          <w:p>
            <w:pPr>
              <w:spacing w:before="20" w:after="20"/>
              <w:jc w:val="right"/>
              <w:rPr>
                <w:noProof/>
                <w:sz w:val="20"/>
              </w:rPr>
            </w:pPr>
            <w:r>
              <w:rPr>
                <w:noProof/>
                <w:sz w:val="18"/>
              </w:rPr>
              <w:t>3,491</w:t>
            </w:r>
          </w:p>
        </w:tc>
        <w:tc>
          <w:tcPr>
            <w:tcW w:w="868" w:type="dxa"/>
            <w:vAlign w:val="center"/>
          </w:tcPr>
          <w:p>
            <w:pPr>
              <w:spacing w:before="20" w:after="20"/>
              <w:jc w:val="right"/>
              <w:rPr>
                <w:noProof/>
                <w:sz w:val="20"/>
              </w:rPr>
            </w:pPr>
            <w:r>
              <w:rPr>
                <w:noProof/>
                <w:sz w:val="18"/>
              </w:rPr>
              <w:t>3,561</w:t>
            </w:r>
          </w:p>
        </w:tc>
        <w:tc>
          <w:tcPr>
            <w:tcW w:w="868" w:type="dxa"/>
            <w:vAlign w:val="center"/>
          </w:tcPr>
          <w:p>
            <w:pPr>
              <w:spacing w:before="20" w:after="20"/>
              <w:jc w:val="right"/>
              <w:rPr>
                <w:noProof/>
                <w:sz w:val="20"/>
              </w:rPr>
            </w:pPr>
            <w:r>
              <w:rPr>
                <w:noProof/>
                <w:sz w:val="18"/>
              </w:rPr>
              <w:t>0</w:t>
            </w:r>
          </w:p>
        </w:tc>
        <w:tc>
          <w:tcPr>
            <w:tcW w:w="1777" w:type="dxa"/>
            <w:vAlign w:val="center"/>
          </w:tcPr>
          <w:p>
            <w:pPr>
              <w:spacing w:before="20" w:after="20"/>
              <w:jc w:val="right"/>
              <w:rPr>
                <w:b/>
                <w:noProof/>
                <w:sz w:val="20"/>
              </w:rPr>
            </w:pPr>
            <w:r>
              <w:rPr>
                <w:b/>
                <w:noProof/>
                <w:sz w:val="18"/>
              </w:rPr>
              <w:t>13,831</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Betalingen</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18"/>
              </w:rPr>
              <w:t>2,517</w:t>
            </w:r>
          </w:p>
        </w:tc>
        <w:tc>
          <w:tcPr>
            <w:tcW w:w="868" w:type="dxa"/>
            <w:vAlign w:val="center"/>
          </w:tcPr>
          <w:p>
            <w:pPr>
              <w:spacing w:before="20" w:after="20"/>
              <w:jc w:val="right"/>
              <w:rPr>
                <w:noProof/>
                <w:sz w:val="20"/>
              </w:rPr>
            </w:pPr>
            <w:r>
              <w:rPr>
                <w:noProof/>
                <w:sz w:val="18"/>
              </w:rPr>
              <w:t>3,406</w:t>
            </w:r>
          </w:p>
        </w:tc>
        <w:tc>
          <w:tcPr>
            <w:tcW w:w="868" w:type="dxa"/>
            <w:vAlign w:val="center"/>
          </w:tcPr>
          <w:p>
            <w:pPr>
              <w:spacing w:before="20" w:after="20"/>
              <w:jc w:val="right"/>
              <w:rPr>
                <w:noProof/>
                <w:sz w:val="20"/>
              </w:rPr>
            </w:pPr>
            <w:r>
              <w:rPr>
                <w:noProof/>
                <w:sz w:val="18"/>
              </w:rPr>
              <w:t>3,474</w:t>
            </w:r>
          </w:p>
        </w:tc>
        <w:tc>
          <w:tcPr>
            <w:tcW w:w="868" w:type="dxa"/>
            <w:vAlign w:val="center"/>
          </w:tcPr>
          <w:p>
            <w:pPr>
              <w:spacing w:before="20" w:after="20"/>
              <w:jc w:val="right"/>
              <w:rPr>
                <w:noProof/>
                <w:sz w:val="20"/>
              </w:rPr>
            </w:pPr>
            <w:r>
              <w:rPr>
                <w:noProof/>
                <w:sz w:val="18"/>
              </w:rPr>
              <w:t>3,544</w:t>
            </w:r>
          </w:p>
        </w:tc>
        <w:tc>
          <w:tcPr>
            <w:tcW w:w="868" w:type="dxa"/>
            <w:vAlign w:val="center"/>
          </w:tcPr>
          <w:p>
            <w:pPr>
              <w:spacing w:before="20" w:after="20"/>
              <w:jc w:val="right"/>
              <w:rPr>
                <w:noProof/>
                <w:sz w:val="20"/>
              </w:rPr>
            </w:pPr>
            <w:r>
              <w:rPr>
                <w:noProof/>
                <w:sz w:val="18"/>
              </w:rPr>
              <w:t>0,890</w:t>
            </w:r>
          </w:p>
        </w:tc>
        <w:tc>
          <w:tcPr>
            <w:tcW w:w="1777" w:type="dxa"/>
            <w:vAlign w:val="center"/>
          </w:tcPr>
          <w:p>
            <w:pPr>
              <w:spacing w:before="20" w:after="20"/>
              <w:jc w:val="right"/>
              <w:rPr>
                <w:b/>
                <w:noProof/>
                <w:sz w:val="18"/>
                <w:szCs w:val="18"/>
              </w:rPr>
            </w:pPr>
            <w:r>
              <w:rPr>
                <w:b/>
                <w:noProof/>
                <w:sz w:val="18"/>
              </w:rPr>
              <w:t>13,831</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TOTAAL uit het budget van specifieke programma's gefinancierde administratieve kredieten</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TOTAAL kredieten</w:t>
            </w:r>
            <w:r>
              <w:rPr>
                <w:noProof/>
                <w:sz w:val="22"/>
              </w:rPr>
              <w:br/>
            </w:r>
            <w:r>
              <w:rPr>
                <w:b/>
                <w:noProof/>
                <w:sz w:val="22"/>
              </w:rPr>
              <w:t>onder RUBRIEK 1</w:t>
            </w:r>
            <w:r>
              <w:rPr>
                <w:noProof/>
                <w:sz w:val="22"/>
              </w:rPr>
              <w:br/>
              <w:t>van het meerjarige financiële kader</w:t>
            </w:r>
          </w:p>
        </w:tc>
        <w:tc>
          <w:tcPr>
            <w:tcW w:w="1440" w:type="dxa"/>
            <w:vAlign w:val="center"/>
          </w:tcPr>
          <w:p>
            <w:pPr>
              <w:rPr>
                <w:noProof/>
                <w:sz w:val="18"/>
              </w:rPr>
            </w:pPr>
            <w:r>
              <w:rPr>
                <w:noProof/>
                <w:sz w:val="18"/>
              </w:rPr>
              <w:t>Vastleggingen</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r>
              <w:rPr>
                <w:noProof/>
                <w:sz w:val="18"/>
              </w:rPr>
              <w:t>3,356</w:t>
            </w:r>
          </w:p>
        </w:tc>
        <w:tc>
          <w:tcPr>
            <w:tcW w:w="868" w:type="dxa"/>
            <w:vAlign w:val="center"/>
          </w:tcPr>
          <w:p>
            <w:pPr>
              <w:spacing w:before="20" w:after="20"/>
              <w:jc w:val="right"/>
              <w:rPr>
                <w:noProof/>
                <w:sz w:val="20"/>
              </w:rPr>
            </w:pPr>
            <w:r>
              <w:rPr>
                <w:noProof/>
                <w:sz w:val="18"/>
              </w:rPr>
              <w:t xml:space="preserve">3,423 </w:t>
            </w:r>
          </w:p>
        </w:tc>
        <w:tc>
          <w:tcPr>
            <w:tcW w:w="868" w:type="dxa"/>
            <w:vAlign w:val="center"/>
          </w:tcPr>
          <w:p>
            <w:pPr>
              <w:spacing w:before="20" w:after="20"/>
              <w:jc w:val="right"/>
              <w:rPr>
                <w:noProof/>
                <w:sz w:val="20"/>
              </w:rPr>
            </w:pPr>
            <w:r>
              <w:rPr>
                <w:noProof/>
                <w:sz w:val="18"/>
              </w:rPr>
              <w:t>3,491</w:t>
            </w:r>
          </w:p>
        </w:tc>
        <w:tc>
          <w:tcPr>
            <w:tcW w:w="868" w:type="dxa"/>
            <w:vAlign w:val="center"/>
          </w:tcPr>
          <w:p>
            <w:pPr>
              <w:spacing w:before="20" w:after="20"/>
              <w:jc w:val="right"/>
              <w:rPr>
                <w:noProof/>
                <w:sz w:val="20"/>
              </w:rPr>
            </w:pPr>
            <w:r>
              <w:rPr>
                <w:noProof/>
                <w:sz w:val="18"/>
              </w:rPr>
              <w:t>3,561</w:t>
            </w:r>
          </w:p>
        </w:tc>
        <w:tc>
          <w:tcPr>
            <w:tcW w:w="868" w:type="dxa"/>
            <w:vAlign w:val="center"/>
          </w:tcPr>
          <w:p>
            <w:pPr>
              <w:spacing w:before="20" w:after="20"/>
              <w:jc w:val="right"/>
              <w:rPr>
                <w:noProof/>
                <w:sz w:val="20"/>
              </w:rPr>
            </w:pPr>
            <w:r>
              <w:rPr>
                <w:noProof/>
                <w:sz w:val="18"/>
              </w:rPr>
              <w:t>0</w:t>
            </w:r>
          </w:p>
        </w:tc>
        <w:tc>
          <w:tcPr>
            <w:tcW w:w="1777" w:type="dxa"/>
            <w:vAlign w:val="center"/>
          </w:tcPr>
          <w:p>
            <w:pPr>
              <w:spacing w:before="20" w:after="20"/>
              <w:jc w:val="right"/>
              <w:rPr>
                <w:b/>
                <w:noProof/>
                <w:sz w:val="20"/>
              </w:rPr>
            </w:pPr>
            <w:r>
              <w:rPr>
                <w:b/>
                <w:noProof/>
                <w:sz w:val="18"/>
              </w:rPr>
              <w:t>13,831</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Betalingen</w:t>
            </w:r>
          </w:p>
        </w:tc>
        <w:tc>
          <w:tcPr>
            <w:tcW w:w="654" w:type="dxa"/>
            <w:vAlign w:val="center"/>
          </w:tcPr>
          <w:p>
            <w:pPr>
              <w:jc w:val="center"/>
              <w:rPr>
                <w:noProof/>
                <w:sz w:val="14"/>
              </w:rPr>
            </w:pPr>
            <w:r>
              <w:rPr>
                <w:noProof/>
                <w:sz w:val="14"/>
              </w:rPr>
              <w:t>=5+6</w:t>
            </w:r>
          </w:p>
        </w:tc>
        <w:tc>
          <w:tcPr>
            <w:tcW w:w="868" w:type="dxa"/>
            <w:vAlign w:val="center"/>
          </w:tcPr>
          <w:p>
            <w:pPr>
              <w:spacing w:before="20" w:after="20"/>
              <w:jc w:val="right"/>
              <w:rPr>
                <w:noProof/>
                <w:sz w:val="20"/>
              </w:rPr>
            </w:pPr>
            <w:r>
              <w:rPr>
                <w:noProof/>
                <w:sz w:val="18"/>
              </w:rPr>
              <w:t>2,517</w:t>
            </w:r>
          </w:p>
        </w:tc>
        <w:tc>
          <w:tcPr>
            <w:tcW w:w="868" w:type="dxa"/>
            <w:vAlign w:val="center"/>
          </w:tcPr>
          <w:p>
            <w:pPr>
              <w:spacing w:before="20" w:after="20"/>
              <w:jc w:val="right"/>
              <w:rPr>
                <w:noProof/>
                <w:sz w:val="20"/>
              </w:rPr>
            </w:pPr>
            <w:r>
              <w:rPr>
                <w:noProof/>
                <w:sz w:val="18"/>
              </w:rPr>
              <w:t>3,406</w:t>
            </w:r>
          </w:p>
        </w:tc>
        <w:tc>
          <w:tcPr>
            <w:tcW w:w="868" w:type="dxa"/>
            <w:vAlign w:val="center"/>
          </w:tcPr>
          <w:p>
            <w:pPr>
              <w:spacing w:before="20" w:after="20"/>
              <w:jc w:val="right"/>
              <w:rPr>
                <w:noProof/>
                <w:sz w:val="20"/>
              </w:rPr>
            </w:pPr>
            <w:r>
              <w:rPr>
                <w:noProof/>
                <w:sz w:val="18"/>
              </w:rPr>
              <w:t>3,474</w:t>
            </w:r>
          </w:p>
        </w:tc>
        <w:tc>
          <w:tcPr>
            <w:tcW w:w="868" w:type="dxa"/>
            <w:vAlign w:val="center"/>
          </w:tcPr>
          <w:p>
            <w:pPr>
              <w:spacing w:before="20" w:after="20"/>
              <w:jc w:val="right"/>
              <w:rPr>
                <w:noProof/>
                <w:sz w:val="20"/>
              </w:rPr>
            </w:pPr>
            <w:r>
              <w:rPr>
                <w:noProof/>
                <w:sz w:val="18"/>
              </w:rPr>
              <w:t>3,544</w:t>
            </w:r>
          </w:p>
        </w:tc>
        <w:tc>
          <w:tcPr>
            <w:tcW w:w="868" w:type="dxa"/>
            <w:vAlign w:val="center"/>
          </w:tcPr>
          <w:p>
            <w:pPr>
              <w:spacing w:before="20" w:after="20"/>
              <w:jc w:val="right"/>
              <w:rPr>
                <w:noProof/>
                <w:sz w:val="20"/>
              </w:rPr>
            </w:pPr>
            <w:r>
              <w:rPr>
                <w:noProof/>
                <w:sz w:val="18"/>
              </w:rPr>
              <w:t>0,890</w:t>
            </w:r>
          </w:p>
        </w:tc>
        <w:tc>
          <w:tcPr>
            <w:tcW w:w="1777" w:type="dxa"/>
            <w:vAlign w:val="center"/>
          </w:tcPr>
          <w:p>
            <w:pPr>
              <w:spacing w:before="20" w:after="20"/>
              <w:jc w:val="right"/>
              <w:rPr>
                <w:b/>
                <w:noProof/>
                <w:sz w:val="18"/>
                <w:szCs w:val="18"/>
              </w:rPr>
            </w:pPr>
            <w:r>
              <w:rPr>
                <w:b/>
                <w:noProof/>
                <w:sz w:val="18"/>
              </w:rPr>
              <w:t>13,831</w:t>
            </w:r>
          </w:p>
        </w:tc>
      </w:tr>
    </w:tbl>
    <w:p>
      <w:pPr>
        <w:spacing w:after="40"/>
        <w:rPr>
          <w:b/>
          <w:noProof/>
          <w:sz w:val="22"/>
          <w:u w:val="single"/>
        </w:rPr>
      </w:pPr>
      <w:r>
        <w:rPr>
          <w:b/>
          <w:noProof/>
          <w:sz w:val="22"/>
          <w:u w:val="single"/>
        </w:rPr>
        <w:t>Wanneer het voorstel/initiatief gevolgen heeft voor meerdere rubrieken: n.v.t.</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TOTAAL beleidskredieten </w:t>
            </w:r>
          </w:p>
        </w:tc>
        <w:tc>
          <w:tcPr>
            <w:tcW w:w="1440" w:type="dxa"/>
            <w:tcBorders>
              <w:top w:val="single" w:sz="4" w:space="0" w:color="FF0000"/>
            </w:tcBorders>
            <w:vAlign w:val="center"/>
          </w:tcPr>
          <w:p>
            <w:pPr>
              <w:spacing w:beforeLines="20" w:before="48" w:afterLines="20" w:after="48"/>
              <w:rPr>
                <w:noProof/>
                <w:sz w:val="18"/>
              </w:rPr>
            </w:pPr>
            <w:r>
              <w:rPr>
                <w:noProof/>
                <w:sz w:val="18"/>
              </w:rPr>
              <w:t>Vastleggingen</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Betalingen</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TOTAAL uit het budget van specifieke programma's gefinancierde administratieve kredieten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TOTAAL kredieten</w:t>
            </w:r>
            <w:r>
              <w:rPr>
                <w:noProof/>
                <w:sz w:val="22"/>
              </w:rPr>
              <w:br/>
            </w:r>
            <w:r>
              <w:rPr>
                <w:b/>
                <w:noProof/>
                <w:sz w:val="22"/>
              </w:rPr>
              <w:t>onder de RUBRIEKEN 1 tot en met 4</w:t>
            </w:r>
            <w:r>
              <w:rPr>
                <w:noProof/>
                <w:sz w:val="22"/>
              </w:rPr>
              <w:br/>
              <w:t>van het meerjarige financiële kader</w:t>
            </w:r>
            <w:r>
              <w:rPr>
                <w:noProof/>
                <w:sz w:val="22"/>
              </w:rPr>
              <w:br/>
            </w:r>
            <w:r>
              <w:rPr>
                <w:noProof/>
                <w:sz w:val="20"/>
              </w:rPr>
              <w:t>(Referentiebedrag)</w:t>
            </w:r>
          </w:p>
        </w:tc>
        <w:tc>
          <w:tcPr>
            <w:tcW w:w="1440" w:type="dxa"/>
            <w:vAlign w:val="center"/>
          </w:tcPr>
          <w:p>
            <w:pPr>
              <w:rPr>
                <w:noProof/>
                <w:sz w:val="18"/>
              </w:rPr>
            </w:pPr>
            <w:r>
              <w:rPr>
                <w:noProof/>
                <w:sz w:val="18"/>
              </w:rPr>
              <w:t>Vastleggingen</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Betalingen</w:t>
            </w:r>
          </w:p>
        </w:tc>
        <w:tc>
          <w:tcPr>
            <w:tcW w:w="654" w:type="dxa"/>
            <w:tcBorders>
              <w:bottom w:val="single" w:sz="4" w:space="0" w:color="FF0000"/>
            </w:tcBorders>
            <w:vAlign w:val="center"/>
          </w:tcPr>
          <w:p>
            <w:pPr>
              <w:jc w:val="center"/>
              <w:rPr>
                <w:noProof/>
                <w:sz w:val="14"/>
              </w:rPr>
            </w:pPr>
            <w:r>
              <w:rPr>
                <w:noProof/>
                <w:sz w:val="14"/>
              </w:rPr>
              <w:t>=5+6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Rubriek van het meerjarige financiële kader</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Administratieve uitgaven</w:t>
            </w:r>
            <w:r>
              <w:rPr>
                <w:rStyle w:val="FootnoteReference"/>
                <w:noProof/>
                <w:sz w:val="22"/>
              </w:rPr>
              <w:footnoteReference w:id="17"/>
            </w:r>
          </w:p>
        </w:tc>
      </w:tr>
    </w:tbl>
    <w:p>
      <w:pPr>
        <w:jc w:val="right"/>
        <w:rPr>
          <w:noProof/>
          <w:sz w:val="20"/>
        </w:rPr>
      </w:pPr>
      <w:r>
        <w:rPr>
          <w:noProof/>
          <w:sz w:val="20"/>
        </w:rPr>
        <w:t>miljoen EUR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17"/>
        <w:gridCol w:w="317"/>
        <w:gridCol w:w="868"/>
        <w:gridCol w:w="868"/>
        <w:gridCol w:w="816"/>
        <w:gridCol w:w="868"/>
        <w:gridCol w:w="966"/>
        <w:gridCol w:w="1920"/>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gridSpan w:val="2"/>
            <w:tcBorders>
              <w:top w:val="nil"/>
              <w:left w:val="nil"/>
            </w:tcBorders>
          </w:tcPr>
          <w:p>
            <w:pPr>
              <w:jc w:val="center"/>
              <w:rPr>
                <w:noProof/>
                <w:sz w:val="20"/>
              </w:rPr>
            </w:pPr>
          </w:p>
        </w:tc>
        <w:tc>
          <w:tcPr>
            <w:tcW w:w="868" w:type="dxa"/>
            <w:vAlign w:val="center"/>
          </w:tcPr>
          <w:p>
            <w:pPr>
              <w:jc w:val="center"/>
              <w:rPr>
                <w:noProof/>
                <w:sz w:val="20"/>
              </w:rPr>
            </w:pPr>
            <w:r>
              <w:rPr>
                <w:noProof/>
                <w:sz w:val="20"/>
              </w:rPr>
              <w:t>2017</w:t>
            </w:r>
          </w:p>
        </w:tc>
        <w:tc>
          <w:tcPr>
            <w:tcW w:w="868" w:type="dxa"/>
            <w:vAlign w:val="center"/>
          </w:tcPr>
          <w:p>
            <w:pPr>
              <w:jc w:val="center"/>
              <w:rPr>
                <w:noProof/>
                <w:sz w:val="20"/>
              </w:rPr>
            </w:pPr>
            <w:r>
              <w:rPr>
                <w:noProof/>
                <w:sz w:val="20"/>
              </w:rPr>
              <w:t>2018</w:t>
            </w:r>
          </w:p>
        </w:tc>
        <w:tc>
          <w:tcPr>
            <w:tcW w:w="816" w:type="dxa"/>
            <w:vAlign w:val="center"/>
          </w:tcPr>
          <w:p>
            <w:pPr>
              <w:jc w:val="center"/>
              <w:rPr>
                <w:noProof/>
                <w:sz w:val="20"/>
              </w:rPr>
            </w:pPr>
            <w:r>
              <w:rPr>
                <w:noProof/>
                <w:sz w:val="20"/>
              </w:rPr>
              <w:t>2019</w:t>
            </w:r>
          </w:p>
        </w:tc>
        <w:tc>
          <w:tcPr>
            <w:tcW w:w="868" w:type="dxa"/>
            <w:vAlign w:val="center"/>
          </w:tcPr>
          <w:p>
            <w:pPr>
              <w:jc w:val="center"/>
              <w:rPr>
                <w:noProof/>
                <w:sz w:val="20"/>
              </w:rPr>
            </w:pPr>
            <w:r>
              <w:rPr>
                <w:noProof/>
                <w:sz w:val="20"/>
              </w:rPr>
              <w:t>2020</w:t>
            </w:r>
          </w:p>
        </w:tc>
        <w:tc>
          <w:tcPr>
            <w:tcW w:w="966" w:type="dxa"/>
          </w:tcPr>
          <w:p>
            <w:pPr>
              <w:jc w:val="center"/>
              <w:rPr>
                <w:b/>
                <w:noProof/>
                <w:sz w:val="20"/>
              </w:rPr>
            </w:pPr>
            <w:r>
              <w:rPr>
                <w:noProof/>
                <w:sz w:val="20"/>
              </w:rPr>
              <w:t>2021</w:t>
            </w:r>
          </w:p>
        </w:tc>
        <w:tc>
          <w:tcPr>
            <w:tcW w:w="1920" w:type="dxa"/>
            <w:vAlign w:val="center"/>
          </w:tcPr>
          <w:p>
            <w:pPr>
              <w:jc w:val="center"/>
              <w:rPr>
                <w:b/>
                <w:noProof/>
                <w:sz w:val="20"/>
              </w:rPr>
            </w:pPr>
            <w:r>
              <w:rPr>
                <w:b/>
                <w:noProof/>
                <w:sz w:val="20"/>
              </w:rPr>
              <w:t>TOTAAL</w:t>
            </w:r>
          </w:p>
        </w:tc>
      </w:tr>
      <w:tr>
        <w:trPr>
          <w:gridAfter w:val="7"/>
          <w:wAfter w:w="6623" w:type="dxa"/>
        </w:trPr>
        <w:tc>
          <w:tcPr>
            <w:tcW w:w="3960" w:type="dxa"/>
            <w:vAlign w:val="center"/>
          </w:tcPr>
          <w:p>
            <w:pPr>
              <w:spacing w:before="60" w:after="60"/>
              <w:jc w:val="center"/>
              <w:rPr>
                <w:noProof/>
                <w:sz w:val="22"/>
              </w:rPr>
            </w:pPr>
            <w:r>
              <w:rPr>
                <w:noProof/>
                <w:sz w:val="22"/>
              </w:rPr>
              <w:t>DG FISMA</w:t>
            </w:r>
          </w:p>
        </w:tc>
        <w:tc>
          <w:tcPr>
            <w:tcW w:w="1777" w:type="dxa"/>
            <w:gridSpan w:val="2"/>
          </w:tcPr>
          <w:p>
            <w:pPr>
              <w:spacing w:before="60" w:after="60"/>
              <w:jc w:val="center"/>
              <w:rPr>
                <w:noProof/>
                <w:sz w:val="22"/>
              </w:rPr>
            </w:pPr>
          </w:p>
        </w:tc>
      </w:tr>
      <w:tr>
        <w:trPr>
          <w:trHeight w:val="313"/>
        </w:trPr>
        <w:tc>
          <w:tcPr>
            <w:tcW w:w="6054" w:type="dxa"/>
            <w:gridSpan w:val="4"/>
            <w:vAlign w:val="center"/>
          </w:tcPr>
          <w:p>
            <w:pPr>
              <w:spacing w:before="20" w:after="20"/>
              <w:rPr>
                <w:noProof/>
                <w:sz w:val="22"/>
              </w:rPr>
            </w:pPr>
            <w:r>
              <w:rPr>
                <w:noProof/>
                <w:sz w:val="22"/>
              </w:rPr>
              <w:sym w:font="Wingdings" w:char="F09F"/>
            </w:r>
            <w:r>
              <w:rPr>
                <w:noProof/>
                <w:sz w:val="22"/>
              </w:rPr>
              <w:t xml:space="preserve"> Personele middelen</w:t>
            </w:r>
          </w:p>
        </w:tc>
        <w:tc>
          <w:tcPr>
            <w:tcW w:w="868" w:type="dxa"/>
            <w:vAlign w:val="center"/>
          </w:tcPr>
          <w:p>
            <w:pPr>
              <w:spacing w:before="20" w:after="20"/>
              <w:jc w:val="right"/>
              <w:rPr>
                <w:noProof/>
                <w:sz w:val="20"/>
              </w:rPr>
            </w:pPr>
            <w:r>
              <w:rPr>
                <w:noProof/>
                <w:sz w:val="20"/>
              </w:rPr>
              <w:t>0</w:t>
            </w:r>
          </w:p>
        </w:tc>
        <w:tc>
          <w:tcPr>
            <w:tcW w:w="868" w:type="dxa"/>
          </w:tcPr>
          <w:p>
            <w:pPr>
              <w:jc w:val="right"/>
              <w:rPr>
                <w:noProof/>
                <w:sz w:val="20"/>
              </w:rPr>
            </w:pPr>
            <w:r>
              <w:rPr>
                <w:noProof/>
                <w:sz w:val="20"/>
              </w:rPr>
              <w:t>0</w:t>
            </w:r>
          </w:p>
        </w:tc>
        <w:tc>
          <w:tcPr>
            <w:tcW w:w="816" w:type="dxa"/>
          </w:tcPr>
          <w:p>
            <w:pPr>
              <w:jc w:val="right"/>
              <w:rPr>
                <w:noProof/>
                <w:sz w:val="20"/>
              </w:rPr>
            </w:pPr>
            <w:r>
              <w:rPr>
                <w:noProof/>
                <w:sz w:val="20"/>
              </w:rPr>
              <w:t>0</w:t>
            </w:r>
          </w:p>
        </w:tc>
        <w:tc>
          <w:tcPr>
            <w:tcW w:w="868" w:type="dxa"/>
          </w:tcPr>
          <w:p>
            <w:pPr>
              <w:jc w:val="right"/>
              <w:rPr>
                <w:noProof/>
                <w:sz w:val="20"/>
              </w:rPr>
            </w:pPr>
            <w:r>
              <w:rPr>
                <w:noProof/>
                <w:sz w:val="20"/>
              </w:rPr>
              <w:t>0</w:t>
            </w:r>
          </w:p>
        </w:tc>
        <w:tc>
          <w:tcPr>
            <w:tcW w:w="966" w:type="dxa"/>
            <w:vAlign w:val="center"/>
          </w:tcPr>
          <w:p>
            <w:pPr>
              <w:spacing w:before="20" w:after="20"/>
              <w:jc w:val="right"/>
              <w:rPr>
                <w:noProof/>
                <w:sz w:val="20"/>
              </w:rPr>
            </w:pPr>
            <w:r>
              <w:rPr>
                <w:noProof/>
                <w:sz w:val="20"/>
              </w:rPr>
              <w:t>0</w:t>
            </w:r>
          </w:p>
        </w:tc>
        <w:tc>
          <w:tcPr>
            <w:tcW w:w="1920" w:type="dxa"/>
            <w:vAlign w:val="center"/>
          </w:tcPr>
          <w:p>
            <w:pPr>
              <w:spacing w:before="20" w:after="20"/>
              <w:jc w:val="right"/>
              <w:rPr>
                <w:noProof/>
                <w:sz w:val="20"/>
              </w:rPr>
            </w:pPr>
            <w:r>
              <w:rPr>
                <w:noProof/>
                <w:sz w:val="20"/>
              </w:rPr>
              <w:t>0</w:t>
            </w:r>
          </w:p>
        </w:tc>
      </w:tr>
      <w:tr>
        <w:trPr>
          <w:trHeight w:val="351"/>
        </w:trPr>
        <w:tc>
          <w:tcPr>
            <w:tcW w:w="6054" w:type="dxa"/>
            <w:gridSpan w:val="4"/>
            <w:vAlign w:val="center"/>
          </w:tcPr>
          <w:p>
            <w:pPr>
              <w:spacing w:before="20" w:after="20"/>
              <w:rPr>
                <w:noProof/>
                <w:sz w:val="22"/>
              </w:rPr>
            </w:pPr>
            <w:r>
              <w:rPr>
                <w:noProof/>
                <w:sz w:val="22"/>
              </w:rPr>
              <w:sym w:font="Wingdings" w:char="F09F"/>
            </w:r>
            <w:r>
              <w:rPr>
                <w:noProof/>
                <w:sz w:val="22"/>
              </w:rPr>
              <w:t xml:space="preserve"> Andere administratieve uitgaven</w:t>
            </w:r>
          </w:p>
        </w:tc>
        <w:tc>
          <w:tcPr>
            <w:tcW w:w="868" w:type="dxa"/>
            <w:vAlign w:val="center"/>
          </w:tcPr>
          <w:p>
            <w:pPr>
              <w:spacing w:before="20" w:after="20"/>
              <w:jc w:val="right"/>
              <w:rPr>
                <w:noProof/>
                <w:sz w:val="20"/>
              </w:rPr>
            </w:pPr>
            <w:r>
              <w:rPr>
                <w:noProof/>
                <w:sz w:val="20"/>
              </w:rPr>
              <w:t>0</w:t>
            </w:r>
          </w:p>
        </w:tc>
        <w:tc>
          <w:tcPr>
            <w:tcW w:w="868" w:type="dxa"/>
          </w:tcPr>
          <w:p>
            <w:pPr>
              <w:jc w:val="right"/>
              <w:rPr>
                <w:noProof/>
                <w:sz w:val="20"/>
              </w:rPr>
            </w:pPr>
            <w:r>
              <w:rPr>
                <w:noProof/>
                <w:sz w:val="20"/>
              </w:rPr>
              <w:t>0</w:t>
            </w:r>
          </w:p>
        </w:tc>
        <w:tc>
          <w:tcPr>
            <w:tcW w:w="816"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966" w:type="dxa"/>
            <w:vAlign w:val="center"/>
          </w:tcPr>
          <w:p>
            <w:pPr>
              <w:spacing w:before="20" w:after="20"/>
              <w:jc w:val="right"/>
              <w:rPr>
                <w:noProof/>
                <w:sz w:val="20"/>
              </w:rPr>
            </w:pPr>
            <w:r>
              <w:rPr>
                <w:noProof/>
                <w:sz w:val="20"/>
              </w:rPr>
              <w:t>0</w:t>
            </w:r>
          </w:p>
        </w:tc>
        <w:tc>
          <w:tcPr>
            <w:tcW w:w="1920" w:type="dxa"/>
            <w:vAlign w:val="center"/>
          </w:tcPr>
          <w:p>
            <w:pPr>
              <w:spacing w:before="20" w:after="20"/>
              <w:jc w:val="right"/>
              <w:rPr>
                <w:noProof/>
                <w:sz w:val="20"/>
              </w:rPr>
            </w:pPr>
            <w:r>
              <w:rPr>
                <w:noProof/>
                <w:sz w:val="20"/>
              </w:rPr>
              <w:t>0</w:t>
            </w:r>
          </w:p>
        </w:tc>
      </w:tr>
      <w:tr>
        <w:tc>
          <w:tcPr>
            <w:tcW w:w="3960" w:type="dxa"/>
            <w:vAlign w:val="center"/>
          </w:tcPr>
          <w:p>
            <w:pPr>
              <w:jc w:val="center"/>
              <w:rPr>
                <w:b/>
                <w:noProof/>
                <w:sz w:val="22"/>
              </w:rPr>
            </w:pPr>
            <w:r>
              <w:rPr>
                <w:b/>
                <w:noProof/>
                <w:sz w:val="22"/>
              </w:rPr>
              <w:t xml:space="preserve">TOTAAL DG </w:t>
            </w:r>
            <w:r>
              <w:rPr>
                <w:noProof/>
                <w:sz w:val="22"/>
              </w:rPr>
              <w:t>FISMA</w:t>
            </w:r>
          </w:p>
        </w:tc>
        <w:tc>
          <w:tcPr>
            <w:tcW w:w="2094" w:type="dxa"/>
            <w:gridSpan w:val="3"/>
            <w:vAlign w:val="center"/>
          </w:tcPr>
          <w:p>
            <w:pPr>
              <w:rPr>
                <w:noProof/>
                <w:sz w:val="14"/>
              </w:rPr>
            </w:pPr>
            <w:r>
              <w:rPr>
                <w:noProof/>
                <w:sz w:val="18"/>
              </w:rPr>
              <w:t xml:space="preserve">Kredieten </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16"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966" w:type="dxa"/>
            <w:vAlign w:val="center"/>
          </w:tcPr>
          <w:p>
            <w:pPr>
              <w:spacing w:before="20" w:after="20"/>
              <w:jc w:val="right"/>
              <w:rPr>
                <w:noProof/>
                <w:sz w:val="20"/>
              </w:rPr>
            </w:pPr>
            <w:r>
              <w:rPr>
                <w:noProof/>
                <w:sz w:val="20"/>
              </w:rPr>
              <w:t>0</w:t>
            </w:r>
          </w:p>
        </w:tc>
        <w:tc>
          <w:tcPr>
            <w:tcW w:w="1920" w:type="dxa"/>
            <w:vAlign w:val="center"/>
          </w:tcPr>
          <w:p>
            <w:pPr>
              <w:spacing w:before="20" w:after="20"/>
              <w:jc w:val="right"/>
              <w:rPr>
                <w:noProof/>
                <w:sz w:val="20"/>
              </w:rPr>
            </w:pPr>
            <w:r>
              <w:rPr>
                <w:noProof/>
                <w:sz w:val="20"/>
              </w:rPr>
              <w:t>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914"/>
        <w:gridCol w:w="1920"/>
      </w:tblGrid>
      <w:tr>
        <w:tc>
          <w:tcPr>
            <w:tcW w:w="3960" w:type="dxa"/>
            <w:shd w:val="thinDiagStripe" w:color="C0C0C0" w:fill="auto"/>
            <w:vAlign w:val="center"/>
          </w:tcPr>
          <w:p>
            <w:pPr>
              <w:jc w:val="center"/>
              <w:rPr>
                <w:b/>
                <w:noProof/>
                <w:sz w:val="22"/>
              </w:rPr>
            </w:pPr>
            <w:r>
              <w:rPr>
                <w:b/>
                <w:noProof/>
                <w:sz w:val="22"/>
              </w:rPr>
              <w:t>TOTAAL kredieten</w:t>
            </w:r>
            <w:r>
              <w:rPr>
                <w:noProof/>
                <w:sz w:val="22"/>
              </w:rPr>
              <w:br/>
            </w:r>
            <w:r>
              <w:rPr>
                <w:b/>
                <w:noProof/>
                <w:sz w:val="22"/>
              </w:rPr>
              <w:t>voor RUBRIEK 5</w:t>
            </w:r>
            <w:r>
              <w:rPr>
                <w:noProof/>
                <w:sz w:val="22"/>
              </w:rPr>
              <w:br/>
              <w:t>van het meerjarige financiële kader</w:t>
            </w:r>
          </w:p>
        </w:tc>
        <w:tc>
          <w:tcPr>
            <w:tcW w:w="2094" w:type="dxa"/>
            <w:vAlign w:val="center"/>
          </w:tcPr>
          <w:p>
            <w:pPr>
              <w:spacing w:before="40" w:after="40"/>
              <w:rPr>
                <w:noProof/>
                <w:sz w:val="22"/>
              </w:rPr>
            </w:pPr>
            <w:r>
              <w:rPr>
                <w:noProof/>
                <w:sz w:val="18"/>
              </w:rPr>
              <w:t>(totaal vastleggingen = totaal betalingen)</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914" w:type="dxa"/>
            <w:vAlign w:val="center"/>
          </w:tcPr>
          <w:p>
            <w:pPr>
              <w:spacing w:before="20" w:after="20"/>
              <w:jc w:val="right"/>
              <w:rPr>
                <w:b/>
                <w:noProof/>
                <w:sz w:val="20"/>
              </w:rPr>
            </w:pPr>
            <w:r>
              <w:rPr>
                <w:b/>
                <w:noProof/>
                <w:sz w:val="20"/>
              </w:rPr>
              <w:t>0</w:t>
            </w:r>
          </w:p>
        </w:tc>
        <w:tc>
          <w:tcPr>
            <w:tcW w:w="1920" w:type="dxa"/>
            <w:vAlign w:val="center"/>
          </w:tcPr>
          <w:p>
            <w:pPr>
              <w:spacing w:before="20" w:after="20"/>
              <w:jc w:val="right"/>
              <w:rPr>
                <w:b/>
                <w:noProof/>
                <w:sz w:val="20"/>
              </w:rPr>
            </w:pPr>
            <w:r>
              <w:rPr>
                <w:b/>
                <w:noProof/>
                <w:sz w:val="20"/>
              </w:rPr>
              <w:t>0</w:t>
            </w:r>
          </w:p>
        </w:tc>
      </w:tr>
    </w:tbl>
    <w:p>
      <w:pPr>
        <w:jc w:val="right"/>
        <w:rPr>
          <w:noProof/>
          <w:sz w:val="20"/>
        </w:rPr>
      </w:pPr>
      <w:r>
        <w:rPr>
          <w:noProof/>
          <w:sz w:val="20"/>
        </w:rPr>
        <w:t>miljoen EUR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914"/>
        <w:gridCol w:w="1920"/>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n.v.t.</w:t>
            </w:r>
            <w:r>
              <w:rPr>
                <w:rStyle w:val="FootnoteReference"/>
                <w:b/>
                <w:noProof/>
                <w:sz w:val="20"/>
              </w:rPr>
              <w:footnoteReference w:id="18"/>
            </w:r>
          </w:p>
        </w:tc>
        <w:tc>
          <w:tcPr>
            <w:tcW w:w="868" w:type="dxa"/>
            <w:vAlign w:val="center"/>
          </w:tcPr>
          <w:p>
            <w:pPr>
              <w:jc w:val="center"/>
              <w:rPr>
                <w:noProof/>
                <w:sz w:val="20"/>
              </w:rPr>
            </w:pPr>
            <w:r>
              <w:rPr>
                <w:noProof/>
                <w:sz w:val="20"/>
              </w:rPr>
              <w:t>Jaar</w:t>
            </w:r>
            <w:r>
              <w:rPr>
                <w:noProof/>
                <w:sz w:val="22"/>
              </w:rPr>
              <w:br/>
            </w:r>
            <w:r>
              <w:rPr>
                <w:b/>
                <w:noProof/>
                <w:sz w:val="20"/>
              </w:rPr>
              <w:t>N+1</w:t>
            </w:r>
          </w:p>
        </w:tc>
        <w:tc>
          <w:tcPr>
            <w:tcW w:w="868" w:type="dxa"/>
            <w:vAlign w:val="center"/>
          </w:tcPr>
          <w:p>
            <w:pPr>
              <w:jc w:val="center"/>
              <w:rPr>
                <w:noProof/>
                <w:sz w:val="20"/>
              </w:rPr>
            </w:pPr>
            <w:r>
              <w:rPr>
                <w:noProof/>
                <w:sz w:val="20"/>
              </w:rPr>
              <w:t>Jaar</w:t>
            </w:r>
            <w:r>
              <w:rPr>
                <w:noProof/>
                <w:sz w:val="22"/>
              </w:rPr>
              <w:br/>
            </w:r>
            <w:r>
              <w:rPr>
                <w:b/>
                <w:noProof/>
                <w:sz w:val="20"/>
              </w:rPr>
              <w:t>N+2</w:t>
            </w:r>
          </w:p>
        </w:tc>
        <w:tc>
          <w:tcPr>
            <w:tcW w:w="868" w:type="dxa"/>
            <w:vAlign w:val="center"/>
          </w:tcPr>
          <w:p>
            <w:pPr>
              <w:jc w:val="center"/>
              <w:rPr>
                <w:noProof/>
                <w:sz w:val="20"/>
              </w:rPr>
            </w:pPr>
            <w:r>
              <w:rPr>
                <w:noProof/>
                <w:sz w:val="20"/>
              </w:rPr>
              <w:t>Jaar</w:t>
            </w:r>
            <w:r>
              <w:rPr>
                <w:noProof/>
                <w:sz w:val="22"/>
              </w:rPr>
              <w:br/>
            </w:r>
            <w:r>
              <w:rPr>
                <w:b/>
                <w:noProof/>
                <w:sz w:val="20"/>
              </w:rPr>
              <w:t>N+3</w:t>
            </w:r>
          </w:p>
        </w:tc>
        <w:tc>
          <w:tcPr>
            <w:tcW w:w="914" w:type="dxa"/>
          </w:tcPr>
          <w:p>
            <w:pPr>
              <w:jc w:val="center"/>
              <w:rPr>
                <w:b/>
                <w:noProof/>
                <w:sz w:val="20"/>
              </w:rPr>
            </w:pPr>
          </w:p>
        </w:tc>
        <w:tc>
          <w:tcPr>
            <w:tcW w:w="1920" w:type="dxa"/>
            <w:vAlign w:val="center"/>
          </w:tcPr>
          <w:p>
            <w:pPr>
              <w:jc w:val="center"/>
              <w:rPr>
                <w:b/>
                <w:noProof/>
                <w:sz w:val="20"/>
              </w:rPr>
            </w:pPr>
            <w:r>
              <w:rPr>
                <w:b/>
                <w:noProof/>
                <w:sz w:val="20"/>
              </w:rPr>
              <w:t>TOTAAL</w:t>
            </w:r>
          </w:p>
        </w:tc>
      </w:tr>
      <w:tr>
        <w:tc>
          <w:tcPr>
            <w:tcW w:w="3960" w:type="dxa"/>
            <w:vMerge w:val="restart"/>
            <w:shd w:val="clear" w:color="auto" w:fill="C0C0C0"/>
            <w:vAlign w:val="center"/>
          </w:tcPr>
          <w:p>
            <w:pPr>
              <w:jc w:val="center"/>
              <w:rPr>
                <w:b/>
                <w:noProof/>
                <w:sz w:val="22"/>
              </w:rPr>
            </w:pPr>
            <w:r>
              <w:rPr>
                <w:b/>
                <w:noProof/>
                <w:sz w:val="22"/>
              </w:rPr>
              <w:t>TOTAAL kredieten</w:t>
            </w:r>
            <w:r>
              <w:rPr>
                <w:noProof/>
                <w:sz w:val="22"/>
              </w:rPr>
              <w:br/>
            </w:r>
            <w:r>
              <w:rPr>
                <w:b/>
                <w:noProof/>
                <w:sz w:val="22"/>
              </w:rPr>
              <w:t>onder de RUBRIEKEN 1 tot en met 5</w:t>
            </w:r>
            <w:r>
              <w:rPr>
                <w:noProof/>
                <w:sz w:val="22"/>
              </w:rPr>
              <w:br/>
              <w:t>van het meerjarige financiële kader</w:t>
            </w:r>
          </w:p>
        </w:tc>
        <w:tc>
          <w:tcPr>
            <w:tcW w:w="2094" w:type="dxa"/>
            <w:gridSpan w:val="2"/>
            <w:vAlign w:val="center"/>
          </w:tcPr>
          <w:p>
            <w:pPr>
              <w:rPr>
                <w:noProof/>
                <w:sz w:val="14"/>
              </w:rPr>
            </w:pPr>
            <w:r>
              <w:rPr>
                <w:noProof/>
                <w:sz w:val="18"/>
              </w:rPr>
              <w:t>Vastleggingen</w:t>
            </w:r>
          </w:p>
        </w:tc>
        <w:tc>
          <w:tcPr>
            <w:tcW w:w="868" w:type="dxa"/>
            <w:vAlign w:val="center"/>
          </w:tcPr>
          <w:p>
            <w:pPr>
              <w:spacing w:before="20" w:after="20"/>
              <w:jc w:val="right"/>
              <w:rPr>
                <w:noProof/>
                <w:sz w:val="20"/>
              </w:rPr>
            </w:pPr>
            <w:r>
              <w:rPr>
                <w:noProof/>
                <w:sz w:val="18"/>
              </w:rPr>
              <w:t>3,356</w:t>
            </w:r>
          </w:p>
        </w:tc>
        <w:tc>
          <w:tcPr>
            <w:tcW w:w="868" w:type="dxa"/>
            <w:vAlign w:val="center"/>
          </w:tcPr>
          <w:p>
            <w:pPr>
              <w:spacing w:before="20" w:after="20"/>
              <w:jc w:val="right"/>
              <w:rPr>
                <w:noProof/>
                <w:sz w:val="20"/>
              </w:rPr>
            </w:pPr>
            <w:r>
              <w:rPr>
                <w:noProof/>
                <w:sz w:val="18"/>
              </w:rPr>
              <w:t xml:space="preserve">3,423 </w:t>
            </w:r>
          </w:p>
        </w:tc>
        <w:tc>
          <w:tcPr>
            <w:tcW w:w="868" w:type="dxa"/>
            <w:vAlign w:val="center"/>
          </w:tcPr>
          <w:p>
            <w:pPr>
              <w:spacing w:before="20" w:after="20"/>
              <w:jc w:val="right"/>
              <w:rPr>
                <w:noProof/>
                <w:sz w:val="20"/>
              </w:rPr>
            </w:pPr>
            <w:r>
              <w:rPr>
                <w:noProof/>
                <w:sz w:val="18"/>
              </w:rPr>
              <w:t>3,491</w:t>
            </w:r>
          </w:p>
        </w:tc>
        <w:tc>
          <w:tcPr>
            <w:tcW w:w="868" w:type="dxa"/>
            <w:vAlign w:val="center"/>
          </w:tcPr>
          <w:p>
            <w:pPr>
              <w:spacing w:before="20" w:after="20"/>
              <w:jc w:val="right"/>
              <w:rPr>
                <w:noProof/>
                <w:sz w:val="20"/>
              </w:rPr>
            </w:pPr>
            <w:r>
              <w:rPr>
                <w:noProof/>
                <w:sz w:val="18"/>
              </w:rPr>
              <w:t>3,561</w:t>
            </w:r>
          </w:p>
        </w:tc>
        <w:tc>
          <w:tcPr>
            <w:tcW w:w="914" w:type="dxa"/>
            <w:vAlign w:val="center"/>
          </w:tcPr>
          <w:p>
            <w:pPr>
              <w:spacing w:before="20" w:after="20"/>
              <w:jc w:val="right"/>
              <w:rPr>
                <w:noProof/>
                <w:sz w:val="20"/>
              </w:rPr>
            </w:pPr>
            <w:r>
              <w:rPr>
                <w:noProof/>
                <w:sz w:val="18"/>
              </w:rPr>
              <w:t>0</w:t>
            </w:r>
          </w:p>
        </w:tc>
        <w:tc>
          <w:tcPr>
            <w:tcW w:w="1920" w:type="dxa"/>
            <w:vAlign w:val="center"/>
          </w:tcPr>
          <w:p>
            <w:pPr>
              <w:spacing w:before="20" w:after="20"/>
              <w:jc w:val="right"/>
              <w:rPr>
                <w:b/>
                <w:noProof/>
                <w:sz w:val="20"/>
              </w:rPr>
            </w:pPr>
            <w:r>
              <w:rPr>
                <w:b/>
                <w:noProof/>
                <w:sz w:val="18"/>
              </w:rPr>
              <w:t>13,831</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Betalingen</w:t>
            </w:r>
          </w:p>
        </w:tc>
        <w:tc>
          <w:tcPr>
            <w:tcW w:w="868" w:type="dxa"/>
            <w:vAlign w:val="center"/>
          </w:tcPr>
          <w:p>
            <w:pPr>
              <w:spacing w:before="20" w:after="20"/>
              <w:jc w:val="right"/>
              <w:rPr>
                <w:noProof/>
                <w:sz w:val="20"/>
              </w:rPr>
            </w:pPr>
            <w:r>
              <w:rPr>
                <w:noProof/>
                <w:sz w:val="18"/>
              </w:rPr>
              <w:t>2,517</w:t>
            </w:r>
          </w:p>
        </w:tc>
        <w:tc>
          <w:tcPr>
            <w:tcW w:w="868" w:type="dxa"/>
            <w:vAlign w:val="center"/>
          </w:tcPr>
          <w:p>
            <w:pPr>
              <w:spacing w:before="20" w:after="20"/>
              <w:jc w:val="right"/>
              <w:rPr>
                <w:noProof/>
                <w:sz w:val="20"/>
              </w:rPr>
            </w:pPr>
            <w:r>
              <w:rPr>
                <w:noProof/>
                <w:sz w:val="18"/>
              </w:rPr>
              <w:t>3,406</w:t>
            </w:r>
          </w:p>
        </w:tc>
        <w:tc>
          <w:tcPr>
            <w:tcW w:w="868" w:type="dxa"/>
            <w:vAlign w:val="center"/>
          </w:tcPr>
          <w:p>
            <w:pPr>
              <w:spacing w:before="20" w:after="20"/>
              <w:jc w:val="right"/>
              <w:rPr>
                <w:noProof/>
                <w:sz w:val="20"/>
              </w:rPr>
            </w:pPr>
            <w:r>
              <w:rPr>
                <w:noProof/>
                <w:sz w:val="18"/>
              </w:rPr>
              <w:t>3,474</w:t>
            </w:r>
          </w:p>
        </w:tc>
        <w:tc>
          <w:tcPr>
            <w:tcW w:w="868" w:type="dxa"/>
            <w:vAlign w:val="center"/>
          </w:tcPr>
          <w:p>
            <w:pPr>
              <w:spacing w:before="20" w:after="20"/>
              <w:jc w:val="right"/>
              <w:rPr>
                <w:noProof/>
                <w:sz w:val="20"/>
              </w:rPr>
            </w:pPr>
            <w:r>
              <w:rPr>
                <w:noProof/>
                <w:sz w:val="18"/>
              </w:rPr>
              <w:t>3,544</w:t>
            </w:r>
          </w:p>
        </w:tc>
        <w:tc>
          <w:tcPr>
            <w:tcW w:w="914" w:type="dxa"/>
            <w:vAlign w:val="center"/>
          </w:tcPr>
          <w:p>
            <w:pPr>
              <w:spacing w:before="20" w:after="20"/>
              <w:jc w:val="right"/>
              <w:rPr>
                <w:noProof/>
                <w:sz w:val="20"/>
              </w:rPr>
            </w:pPr>
            <w:r>
              <w:rPr>
                <w:noProof/>
                <w:sz w:val="18"/>
              </w:rPr>
              <w:t>0,890</w:t>
            </w:r>
          </w:p>
        </w:tc>
        <w:tc>
          <w:tcPr>
            <w:tcW w:w="1920" w:type="dxa"/>
            <w:vAlign w:val="center"/>
          </w:tcPr>
          <w:p>
            <w:pPr>
              <w:spacing w:before="20" w:after="20"/>
              <w:jc w:val="right"/>
              <w:rPr>
                <w:b/>
                <w:noProof/>
                <w:sz w:val="18"/>
                <w:szCs w:val="18"/>
              </w:rPr>
            </w:pPr>
            <w:r>
              <w:rPr>
                <w:b/>
                <w:noProof/>
                <w:sz w:val="18"/>
              </w:rPr>
              <w:t>13,831</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Geraamde gevolgen voor de beleidskredieten</w:t>
      </w:r>
    </w:p>
    <w:p>
      <w:pPr>
        <w:pStyle w:val="ListDash1"/>
        <w:rPr>
          <w:noProof/>
        </w:rPr>
      </w:pPr>
      <w:r>
        <w:rPr>
          <w:noProof/>
        </w:rPr>
        <w:sym w:font="Wingdings" w:char="F0A8"/>
      </w:r>
      <w:r>
        <w:rPr>
          <w:noProof/>
        </w:rPr>
        <w:tab/>
        <w:t>Voor het voorstel/initiatief zijn geen beleidskredieten nodig.</w:t>
      </w:r>
    </w:p>
    <w:p>
      <w:pPr>
        <w:pStyle w:val="ListDash1"/>
        <w:rPr>
          <w:noProof/>
        </w:rPr>
      </w:pPr>
      <w:r>
        <w:rPr>
          <w:noProof/>
        </w:rPr>
        <w:sym w:font="Wingdings" w:char="F078"/>
      </w:r>
      <w:r>
        <w:rPr>
          <w:noProof/>
        </w:rPr>
        <w:tab/>
        <w:t>Voor het voorstel/initiatief zijn beleidskredieten nodig, zoals hieronder nader wordt beschreven: n.v.t. (subsidie voor huishoudelijke uitgaven).</w:t>
      </w:r>
    </w:p>
    <w:p>
      <w:pPr>
        <w:pStyle w:val="ManualHeading3"/>
        <w:rPr>
          <w:bCs/>
          <w:noProof/>
          <w:szCs w:val="24"/>
        </w:rPr>
      </w:pPr>
      <w:r>
        <w:t>3.2.3.</w:t>
      </w:r>
      <w:r>
        <w:tab/>
      </w:r>
      <w:r>
        <w:rPr>
          <w:noProof/>
        </w:rPr>
        <w:t>Geraamde gevolgen voor de administratieve kredieten</w:t>
      </w:r>
    </w:p>
    <w:p>
      <w:pPr>
        <w:pStyle w:val="ManualHeading4"/>
        <w:rPr>
          <w:noProof/>
        </w:rPr>
      </w:pPr>
      <w:r>
        <w:t>3.2.3.1.</w:t>
      </w:r>
      <w:r>
        <w:tab/>
      </w:r>
      <w:r>
        <w:rPr>
          <w:noProof/>
        </w:rPr>
        <w:t>Samenvatting</w:t>
      </w:r>
    </w:p>
    <w:p>
      <w:pPr>
        <w:pStyle w:val="ListDash1"/>
        <w:rPr>
          <w:noProof/>
        </w:rPr>
      </w:pPr>
      <w:r>
        <w:rPr>
          <w:noProof/>
        </w:rPr>
        <w:sym w:font="Wingdings" w:char="F0A8"/>
      </w:r>
      <w:r>
        <w:rPr>
          <w:noProof/>
        </w:rPr>
        <w:tab/>
        <w:t>Voor het voorstel/initiatief zijn geen administratieve kredieten nodig.</w:t>
      </w:r>
    </w:p>
    <w:p>
      <w:pPr>
        <w:pStyle w:val="ListDash1"/>
        <w:rPr>
          <w:noProof/>
        </w:rPr>
      </w:pPr>
      <w:r>
        <w:rPr>
          <w:noProof/>
        </w:rPr>
        <w:sym w:font="Wingdings" w:char="F078"/>
      </w:r>
      <w:r>
        <w:rPr>
          <w:noProof/>
        </w:rPr>
        <w:tab/>
        <w:t>Voor het voorstel/initiatief zijn administratieve kredieten nodig, die al zijn opgenomen in het financieel memorandum bij de financieringsverordening van 2014 (voor de periode 2014-2020).</w:t>
      </w:r>
    </w:p>
    <w:p>
      <w:pPr>
        <w:pStyle w:val="ManualHeading4"/>
        <w:rPr>
          <w:bCs/>
          <w:noProof/>
          <w:szCs w:val="24"/>
        </w:rPr>
      </w:pPr>
      <w:r>
        <w:t>3.2.3.2.</w:t>
      </w:r>
      <w:r>
        <w:tab/>
      </w:r>
      <w:r>
        <w:rPr>
          <w:noProof/>
        </w:rPr>
        <w:t>Geraamde personeelsbehoeften</w:t>
      </w:r>
    </w:p>
    <w:p>
      <w:pPr>
        <w:pStyle w:val="ListDash1"/>
        <w:rPr>
          <w:noProof/>
        </w:rPr>
      </w:pPr>
      <w:r>
        <w:rPr>
          <w:noProof/>
        </w:rPr>
        <w:sym w:font="Wingdings" w:char="F0A8"/>
      </w:r>
      <w:r>
        <w:rPr>
          <w:noProof/>
        </w:rPr>
        <w:tab/>
        <w:t>Voor het voorstel/initiatief zijn geen personele middelen nodig.</w:t>
      </w:r>
    </w:p>
    <w:p>
      <w:pPr>
        <w:pStyle w:val="ListDash1"/>
        <w:rPr>
          <w:noProof/>
        </w:rPr>
      </w:pPr>
      <w:r>
        <w:rPr>
          <w:noProof/>
        </w:rPr>
        <w:sym w:font="Wingdings" w:char="F078"/>
      </w:r>
      <w:r>
        <w:rPr>
          <w:noProof/>
        </w:rPr>
        <w:tab/>
        <w:t>Voor het voorstel/initiatief zijn personele middelen nodig, die al zijn opgenomen in het financieel memorandum bij de financieringsverordening van 2014.</w:t>
      </w:r>
    </w:p>
    <w:p>
      <w:pPr>
        <w:pStyle w:val="ManualHeading3"/>
        <w:rPr>
          <w:bCs/>
          <w:noProof/>
          <w:szCs w:val="24"/>
        </w:rPr>
      </w:pPr>
      <w:r>
        <w:t>3.2.4.</w:t>
      </w:r>
      <w:r>
        <w:tab/>
      </w:r>
      <w:r>
        <w:rPr>
          <w:noProof/>
        </w:rPr>
        <w:t>Verenigbaarheid met het huidige meerjarige financiële kader</w:t>
      </w:r>
    </w:p>
    <w:p>
      <w:pPr>
        <w:pStyle w:val="ListDash1"/>
        <w:rPr>
          <w:noProof/>
        </w:rPr>
      </w:pPr>
      <w:r>
        <w:rPr>
          <w:noProof/>
        </w:rPr>
        <w:sym w:font="Wingdings" w:char="F078"/>
      </w:r>
      <w:r>
        <w:rPr>
          <w:noProof/>
        </w:rPr>
        <w:tab/>
        <w:t>Het voorstel/initiatief is verenigbaar met het huidige meerjarige financiële kader.</w:t>
      </w:r>
    </w:p>
    <w:p>
      <w:pPr>
        <w:pStyle w:val="ListDash1"/>
        <w:rPr>
          <w:noProof/>
        </w:rPr>
      </w:pPr>
      <w:r>
        <w:rPr>
          <w:noProof/>
        </w:rPr>
        <w:sym w:font="Wingdings" w:char="F0A8"/>
      </w:r>
      <w:r>
        <w:rPr>
          <w:noProof/>
        </w:rPr>
        <w:tab/>
        <w:t>Het voorstel/initiatief vergt herprogrammering van de betrokken rubriek van het meerjarige financiële kader.</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welke herprogrammering nodig is, onder vermelding van de betrokken begrotingsonderdelen en de desbetreffende bedragen.</w:t>
      </w:r>
    </w:p>
    <w:p>
      <w:pPr>
        <w:pStyle w:val="ListDash1"/>
        <w:rPr>
          <w:noProof/>
        </w:rPr>
      </w:pPr>
      <w:r>
        <w:rPr>
          <w:noProof/>
        </w:rPr>
        <w:sym w:font="Wingdings" w:char="F0A8"/>
      </w:r>
      <w:r>
        <w:rPr>
          <w:noProof/>
        </w:rPr>
        <w:tab/>
        <w:t>Het voorstel/initiatief vergt toepassing van het flexibiliteitsinstrument of herziening van het meerjarige financiële kader.</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wat nodig is, onder vermelding van de betrokken rubrieken en begrotingsonderdelen en de desbetreffende bedragen.</w:t>
      </w:r>
    </w:p>
    <w:p>
      <w:pPr>
        <w:pStyle w:val="ManualHeading3"/>
        <w:rPr>
          <w:bCs/>
          <w:noProof/>
          <w:szCs w:val="24"/>
        </w:rPr>
      </w:pPr>
      <w:r>
        <w:t>3.2.5.</w:t>
      </w:r>
      <w:r>
        <w:tab/>
      </w:r>
      <w:r>
        <w:rPr>
          <w:noProof/>
        </w:rPr>
        <w:t>Bijdragen van derden aan de financiering</w:t>
      </w:r>
    </w:p>
    <w:p>
      <w:pPr>
        <w:pStyle w:val="ListDash1"/>
        <w:rPr>
          <w:noProof/>
        </w:rPr>
      </w:pPr>
      <w:r>
        <w:rPr>
          <w:noProof/>
        </w:rPr>
        <w:t>Het voorstel/initiatief voorziet niet in medefinanciering door derden.</w:t>
      </w:r>
    </w:p>
    <w:p>
      <w:pPr>
        <w:pStyle w:val="ListDash1"/>
        <w:rPr>
          <w:noProof/>
        </w:rPr>
      </w:pPr>
      <w:r>
        <w:rPr>
          <w:noProof/>
        </w:rPr>
        <w:t>Het voorstel/initiatief voorziet in medefinanciering, zoals hieronder wordt geraamd:</w:t>
      </w:r>
    </w:p>
    <w:p>
      <w:pPr>
        <w:ind w:left="2160"/>
        <w:jc w:val="center"/>
        <w:rPr>
          <w:noProof/>
          <w:sz w:val="20"/>
        </w:rPr>
      </w:pPr>
      <w:r>
        <w:rPr>
          <w:noProof/>
          <w:sz w:val="20"/>
        </w:rPr>
        <w:t>Kredieten in miljoen EUR (tot op drie decimalen)</w:t>
      </w:r>
    </w:p>
    <w:tbl>
      <w:tblPr>
        <w:tblW w:w="7354" w:type="dxa"/>
        <w:tblInd w:w="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2017</w:t>
            </w:r>
          </w:p>
        </w:tc>
        <w:tc>
          <w:tcPr>
            <w:tcW w:w="964" w:type="dxa"/>
            <w:vAlign w:val="center"/>
          </w:tcPr>
          <w:p>
            <w:pPr>
              <w:jc w:val="center"/>
              <w:rPr>
                <w:noProof/>
                <w:sz w:val="20"/>
              </w:rPr>
            </w:pPr>
            <w:r>
              <w:rPr>
                <w:noProof/>
                <w:sz w:val="20"/>
              </w:rPr>
              <w:t>2018</w:t>
            </w:r>
          </w:p>
        </w:tc>
        <w:tc>
          <w:tcPr>
            <w:tcW w:w="964" w:type="dxa"/>
            <w:vAlign w:val="center"/>
          </w:tcPr>
          <w:p>
            <w:pPr>
              <w:jc w:val="center"/>
              <w:rPr>
                <w:noProof/>
                <w:sz w:val="20"/>
              </w:rPr>
            </w:pPr>
            <w:r>
              <w:rPr>
                <w:noProof/>
                <w:sz w:val="20"/>
              </w:rPr>
              <w:t>2019</w:t>
            </w:r>
          </w:p>
        </w:tc>
        <w:tc>
          <w:tcPr>
            <w:tcW w:w="964" w:type="dxa"/>
            <w:vAlign w:val="center"/>
          </w:tcPr>
          <w:p>
            <w:pPr>
              <w:jc w:val="center"/>
              <w:rPr>
                <w:noProof/>
                <w:sz w:val="20"/>
              </w:rPr>
            </w:pPr>
            <w:r>
              <w:rPr>
                <w:noProof/>
                <w:sz w:val="20"/>
              </w:rPr>
              <w:t>2020</w:t>
            </w:r>
          </w:p>
        </w:tc>
        <w:tc>
          <w:tcPr>
            <w:tcW w:w="1158" w:type="dxa"/>
            <w:vAlign w:val="center"/>
          </w:tcPr>
          <w:p>
            <w:pPr>
              <w:spacing w:before="60" w:after="60"/>
              <w:jc w:val="center"/>
              <w:rPr>
                <w:noProof/>
                <w:sz w:val="20"/>
              </w:rPr>
            </w:pPr>
            <w:r>
              <w:rPr>
                <w:noProof/>
                <w:sz w:val="20"/>
              </w:rPr>
              <w:t>Totaal</w:t>
            </w:r>
          </w:p>
        </w:tc>
      </w:tr>
      <w:tr>
        <w:trPr>
          <w:cantSplit/>
        </w:trPr>
        <w:tc>
          <w:tcPr>
            <w:tcW w:w="2340" w:type="dxa"/>
          </w:tcPr>
          <w:p>
            <w:pPr>
              <w:shd w:val="clear" w:color="auto" w:fill="FFFFFF"/>
              <w:spacing w:line="187" w:lineRule="exact"/>
              <w:ind w:left="10"/>
              <w:rPr>
                <w:noProof/>
              </w:rPr>
            </w:pPr>
            <w:r>
              <w:rPr>
                <w:noProof/>
                <w:color w:val="000000"/>
                <w:sz w:val="16"/>
              </w:rPr>
              <w:t>EFRAG met zijn eigen middelen en met middelen van derden</w:t>
            </w:r>
          </w:p>
          <w:p>
            <w:pPr>
              <w:rPr>
                <w:noProof/>
                <w:sz w:val="22"/>
              </w:rPr>
            </w:pPr>
            <w:r>
              <w:rPr>
                <w:noProof/>
                <w:color w:val="000000"/>
                <w:spacing w:val="-1"/>
                <w:sz w:val="16"/>
              </w:rPr>
              <w:t>(gemiddelde medefinanciering door begunstigde 40 %)</w:t>
            </w:r>
          </w:p>
        </w:tc>
        <w:tc>
          <w:tcPr>
            <w:tcW w:w="964" w:type="dxa"/>
            <w:vAlign w:val="center"/>
          </w:tcPr>
          <w:p>
            <w:pPr>
              <w:jc w:val="center"/>
              <w:rPr>
                <w:noProof/>
                <w:color w:val="000000"/>
                <w:sz w:val="18"/>
                <w:szCs w:val="18"/>
              </w:rPr>
            </w:pPr>
            <w:r>
              <w:rPr>
                <w:noProof/>
                <w:color w:val="000000"/>
                <w:sz w:val="18"/>
              </w:rPr>
              <w:t>5,593</w:t>
            </w:r>
          </w:p>
        </w:tc>
        <w:tc>
          <w:tcPr>
            <w:tcW w:w="964" w:type="dxa"/>
            <w:vAlign w:val="center"/>
          </w:tcPr>
          <w:p>
            <w:pPr>
              <w:jc w:val="center"/>
              <w:rPr>
                <w:noProof/>
                <w:color w:val="000000"/>
                <w:sz w:val="18"/>
                <w:szCs w:val="18"/>
              </w:rPr>
            </w:pPr>
            <w:r>
              <w:rPr>
                <w:noProof/>
                <w:color w:val="000000"/>
                <w:sz w:val="18"/>
              </w:rPr>
              <w:t>5,705</w:t>
            </w:r>
          </w:p>
        </w:tc>
        <w:tc>
          <w:tcPr>
            <w:tcW w:w="964" w:type="dxa"/>
            <w:vAlign w:val="center"/>
          </w:tcPr>
          <w:p>
            <w:pPr>
              <w:jc w:val="center"/>
              <w:rPr>
                <w:noProof/>
                <w:color w:val="000000"/>
                <w:sz w:val="18"/>
                <w:szCs w:val="18"/>
              </w:rPr>
            </w:pPr>
            <w:r>
              <w:rPr>
                <w:noProof/>
                <w:color w:val="000000"/>
                <w:sz w:val="18"/>
              </w:rPr>
              <w:t>5,818</w:t>
            </w:r>
          </w:p>
        </w:tc>
        <w:tc>
          <w:tcPr>
            <w:tcW w:w="964" w:type="dxa"/>
            <w:vAlign w:val="center"/>
          </w:tcPr>
          <w:p>
            <w:pPr>
              <w:jc w:val="center"/>
              <w:rPr>
                <w:noProof/>
                <w:color w:val="000000"/>
                <w:sz w:val="18"/>
                <w:szCs w:val="18"/>
              </w:rPr>
            </w:pPr>
            <w:r>
              <w:rPr>
                <w:noProof/>
                <w:color w:val="000000"/>
                <w:sz w:val="18"/>
              </w:rPr>
              <w:t>5,935</w:t>
            </w:r>
          </w:p>
        </w:tc>
        <w:tc>
          <w:tcPr>
            <w:tcW w:w="1158" w:type="dxa"/>
            <w:vAlign w:val="center"/>
          </w:tcPr>
          <w:p>
            <w:pPr>
              <w:spacing w:before="60" w:after="60"/>
              <w:jc w:val="center"/>
              <w:rPr>
                <w:noProof/>
                <w:sz w:val="20"/>
              </w:rPr>
            </w:pPr>
            <w:r>
              <w:rPr>
                <w:noProof/>
                <w:sz w:val="20"/>
              </w:rPr>
              <w:t>23,051</w:t>
            </w:r>
          </w:p>
        </w:tc>
      </w:tr>
      <w:tr>
        <w:trPr>
          <w:cantSplit/>
        </w:trPr>
        <w:tc>
          <w:tcPr>
            <w:tcW w:w="2340" w:type="dxa"/>
          </w:tcPr>
          <w:p>
            <w:pPr>
              <w:spacing w:before="60" w:after="60"/>
              <w:jc w:val="left"/>
              <w:rPr>
                <w:noProof/>
                <w:sz w:val="20"/>
              </w:rPr>
            </w:pPr>
            <w:r>
              <w:rPr>
                <w:noProof/>
                <w:sz w:val="20"/>
              </w:rPr>
              <w:t xml:space="preserve">TOTAAL medegefinancierde kredieten </w:t>
            </w:r>
          </w:p>
        </w:tc>
        <w:tc>
          <w:tcPr>
            <w:tcW w:w="964" w:type="dxa"/>
            <w:vAlign w:val="center"/>
          </w:tcPr>
          <w:p>
            <w:pPr>
              <w:jc w:val="center"/>
              <w:rPr>
                <w:noProof/>
                <w:color w:val="000000"/>
                <w:sz w:val="18"/>
                <w:szCs w:val="18"/>
              </w:rPr>
            </w:pPr>
            <w:r>
              <w:rPr>
                <w:noProof/>
                <w:color w:val="000000"/>
                <w:sz w:val="18"/>
              </w:rPr>
              <w:t>5,593</w:t>
            </w:r>
          </w:p>
        </w:tc>
        <w:tc>
          <w:tcPr>
            <w:tcW w:w="964" w:type="dxa"/>
            <w:vAlign w:val="center"/>
          </w:tcPr>
          <w:p>
            <w:pPr>
              <w:jc w:val="center"/>
              <w:rPr>
                <w:noProof/>
                <w:color w:val="000000"/>
                <w:sz w:val="18"/>
                <w:szCs w:val="18"/>
              </w:rPr>
            </w:pPr>
            <w:r>
              <w:rPr>
                <w:noProof/>
                <w:color w:val="000000"/>
                <w:sz w:val="18"/>
              </w:rPr>
              <w:t>5,705</w:t>
            </w:r>
          </w:p>
        </w:tc>
        <w:tc>
          <w:tcPr>
            <w:tcW w:w="964" w:type="dxa"/>
            <w:vAlign w:val="center"/>
          </w:tcPr>
          <w:p>
            <w:pPr>
              <w:jc w:val="center"/>
              <w:rPr>
                <w:noProof/>
                <w:color w:val="000000"/>
                <w:sz w:val="18"/>
                <w:szCs w:val="18"/>
              </w:rPr>
            </w:pPr>
            <w:r>
              <w:rPr>
                <w:noProof/>
                <w:color w:val="000000"/>
                <w:sz w:val="18"/>
              </w:rPr>
              <w:t>5,818</w:t>
            </w:r>
          </w:p>
        </w:tc>
        <w:tc>
          <w:tcPr>
            <w:tcW w:w="964" w:type="dxa"/>
            <w:vAlign w:val="center"/>
          </w:tcPr>
          <w:p>
            <w:pPr>
              <w:jc w:val="center"/>
              <w:rPr>
                <w:noProof/>
                <w:color w:val="000000"/>
                <w:sz w:val="18"/>
                <w:szCs w:val="18"/>
              </w:rPr>
            </w:pPr>
            <w:r>
              <w:rPr>
                <w:noProof/>
                <w:color w:val="000000"/>
                <w:sz w:val="18"/>
              </w:rPr>
              <w:t>5,935</w:t>
            </w:r>
          </w:p>
        </w:tc>
        <w:tc>
          <w:tcPr>
            <w:tcW w:w="1158" w:type="dxa"/>
            <w:vAlign w:val="center"/>
          </w:tcPr>
          <w:p>
            <w:pPr>
              <w:spacing w:before="60" w:after="60"/>
              <w:jc w:val="center"/>
              <w:rPr>
                <w:noProof/>
                <w:sz w:val="20"/>
              </w:rPr>
            </w:pPr>
            <w:r>
              <w:rPr>
                <w:noProof/>
                <w:sz w:val="20"/>
              </w:rPr>
              <w:t>23,051</w:t>
            </w:r>
          </w:p>
        </w:tc>
      </w:tr>
    </w:tbl>
    <w:p>
      <w:pPr>
        <w:rPr>
          <w:noProof/>
        </w:rPr>
      </w:pPr>
    </w:p>
    <w:p>
      <w:pPr>
        <w:pStyle w:val="ManualHeading2"/>
        <w:rPr>
          <w:bCs/>
          <w:noProof/>
          <w:szCs w:val="24"/>
        </w:rPr>
      </w:pPr>
      <w:r>
        <w:t>3.3.</w:t>
      </w:r>
      <w:r>
        <w:tab/>
      </w:r>
      <w:r>
        <w:rPr>
          <w:noProof/>
        </w:rPr>
        <w:t xml:space="preserve">Geraamde gevolgen voor de ontvangsten </w:t>
      </w:r>
    </w:p>
    <w:p>
      <w:pPr>
        <w:pStyle w:val="ListDash1"/>
        <w:rPr>
          <w:noProof/>
        </w:rPr>
      </w:pPr>
      <w:r>
        <w:rPr>
          <w:noProof/>
        </w:rPr>
        <w:sym w:font="Wingdings" w:char="F078"/>
      </w:r>
      <w:r>
        <w:rPr>
          <w:noProof/>
        </w:rPr>
        <w:tab/>
        <w:t>Het voorstel/initiatief heeft geen financiële gevolgen voor de ontvangsten.</w:t>
      </w:r>
    </w:p>
    <w:p>
      <w:pPr>
        <w:pStyle w:val="ListDash1"/>
        <w:rPr>
          <w:noProof/>
        </w:rPr>
      </w:pPr>
      <w:r>
        <w:rPr>
          <w:noProof/>
        </w:rPr>
        <w:sym w:font="Wingdings" w:char="F0A8"/>
      </w:r>
      <w:r>
        <w:rPr>
          <w:noProof/>
        </w:rPr>
        <w:tab/>
        <w:t>Het voorstel/initiatief heeft de hieronder beschreven financiële gevolgen:</w:t>
      </w:r>
    </w:p>
    <w:p>
      <w:pPr>
        <w:pStyle w:val="ListNumberLevel3"/>
        <w:rPr>
          <w:noProof/>
        </w:rPr>
      </w:pPr>
      <w:r>
        <w:rPr>
          <w:noProof/>
        </w:rPr>
        <w:sym w:font="Wingdings" w:char="F0A8"/>
      </w:r>
      <w:r>
        <w:rPr>
          <w:noProof/>
        </w:rPr>
        <w:tab/>
        <w:t>voor de eigen middelen.</w:t>
      </w:r>
    </w:p>
    <w:p>
      <w:pPr>
        <w:pStyle w:val="ListNumberLevel3"/>
        <w:rPr>
          <w:noProof/>
        </w:rPr>
      </w:pPr>
      <w:r>
        <w:rPr>
          <w:noProof/>
        </w:rPr>
        <w:sym w:font="Wingdings" w:char="F0A8"/>
      </w:r>
      <w:r>
        <w:rPr>
          <w:noProof/>
        </w:rPr>
        <w:tab/>
        <w:t>voor de diverse ontvangsten.</w:t>
      </w:r>
    </w:p>
    <w:sectPr>
      <w:headerReference w:type="default" r:id="rId17"/>
      <w:footerReference w:type="default" r:id="rId18"/>
      <w:headerReference w:type="first" r:id="rId19"/>
      <w:footerReference w:type="first" r:id="rId20"/>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Besluit nr. 716/2009/EG van het Europees Parlement en de Raad van 16 september 2009 tot vaststelling van een Gemeenschapsprogramma ter ondersteuning van specifieke activiteiten op het gebied van financiële diensten, financiële verslaggeving en controle van jaarrekeningen (PB L 253 van 25.9.2009, blz. 8).</w:t>
      </w:r>
    </w:p>
  </w:footnote>
  <w:footnote w:id="2">
    <w:p>
      <w:pPr>
        <w:pStyle w:val="FootnoteText"/>
      </w:pPr>
      <w:r>
        <w:rPr>
          <w:rStyle w:val="FootnoteReference"/>
        </w:rPr>
        <w:footnoteRef/>
      </w:r>
      <w:r>
        <w:tab/>
        <w:t>De EFRAG is het orgaan dat in overweging (10) van de IAS-verordening wordt genoemd.</w:t>
      </w:r>
    </w:p>
  </w:footnote>
  <w:footnote w:id="3">
    <w:p>
      <w:pPr>
        <w:pStyle w:val="FootnoteText"/>
      </w:pPr>
      <w:r>
        <w:rPr>
          <w:rStyle w:val="FootnoteReference"/>
        </w:rPr>
        <w:footnoteRef/>
      </w:r>
      <w:r>
        <w:tab/>
      </w:r>
      <w:hyperlink r:id="rId1">
        <w:r>
          <w:rPr>
            <w:rStyle w:val="Hyperlink"/>
          </w:rPr>
          <w:t>http://eur-lex.europa.eu/legal-content/NL/TXT/?qid=1458650364958&amp;uri=CELEX:52014DC0396</w:t>
        </w:r>
      </w:hyperlink>
    </w:p>
  </w:footnote>
  <w:footnote w:id="4">
    <w:p>
      <w:pPr>
        <w:pStyle w:val="FootnoteText"/>
      </w:pPr>
      <w:r>
        <w:rPr>
          <w:rStyle w:val="FootnoteReference"/>
        </w:rPr>
        <w:footnoteRef/>
      </w:r>
      <w:r>
        <w:tab/>
        <w:t>Momenteel telt EFRAG zestien leden. Europese organisaties van belanghebbenden: BUSINSESSEUROPE, EACB, EBF, EFAA, EFFAS, ESBG, FEE en Insurance Europe. Nationale organisaties uit Denemarken, Frankrijk, Duitsland, Italië, Nederland, Luxemburg, Zweden en het Verenigd Koninkrijk.</w:t>
      </w:r>
    </w:p>
  </w:footnote>
  <w:footnote w:id="5">
    <w:p>
      <w:pPr>
        <w:pStyle w:val="FootnoteText"/>
      </w:pPr>
      <w:r>
        <w:rPr>
          <w:rStyle w:val="FootnoteReference"/>
        </w:rPr>
        <w:footnoteRef/>
      </w:r>
      <w:r>
        <w:tab/>
        <w:t>SWD(2012) 444 final.</w:t>
      </w:r>
    </w:p>
  </w:footnote>
  <w:footnote w:id="6">
    <w:p>
      <w:pPr>
        <w:pStyle w:val="FootnoteText"/>
      </w:pPr>
      <w:r>
        <w:rPr>
          <w:rStyle w:val="FootnoteReference"/>
        </w:rPr>
        <w:footnoteRef/>
      </w:r>
      <w:r>
        <w:tab/>
        <w:t xml:space="preserve">Verslag over de activiteiten van de IFRS Foundation, de EFRAG en de PIOB in 2014 - COM(2015) 461, </w:t>
      </w:r>
      <w:hyperlink r:id="rId2">
        <w:r>
          <w:rPr>
            <w:rStyle w:val="Hyperlink"/>
          </w:rPr>
          <w:t>http://eur-lex.europa.eu/legal-content/NL/TXT/?qid=1458654638026&amp;uri=CELEX:52015DC0461</w:t>
        </w:r>
      </w:hyperlink>
    </w:p>
    <w:p>
      <w:pPr>
        <w:pStyle w:val="FootnoteText"/>
      </w:pPr>
    </w:p>
  </w:footnote>
  <w:footnote w:id="7">
    <w:p>
      <w:pPr>
        <w:pStyle w:val="FootnoteText"/>
      </w:pPr>
      <w:r>
        <w:rPr>
          <w:rStyle w:val="FootnoteReference"/>
        </w:rPr>
        <w:footnoteRef/>
      </w:r>
      <w:r>
        <w:tab/>
        <w:t>PB C , , blz. .</w:t>
      </w:r>
    </w:p>
  </w:footnote>
  <w:footnote w:id="8">
    <w:p>
      <w:pPr>
        <w:pStyle w:val="FootnoteText"/>
      </w:pPr>
      <w:r>
        <w:rPr>
          <w:rStyle w:val="FootnoteReference"/>
        </w:rPr>
        <w:footnoteRef/>
      </w:r>
      <w:r>
        <w:tab/>
        <w:t>Verordening (EU) nr. 258/2014 van het Europees Parlement en de Raad van 3 april 2014 tot vaststelling van een Unieprogramma ter ondersteuning van specifieke activiteiten op het gebied van financiële verslaggeving en controle van jaarrekeningen voor de periode 2014-2020 en houdende intrekking van Besluit nr. 716/2009/EG (PB L 105 van 8.4.2014, blz. 1).</w:t>
      </w:r>
    </w:p>
  </w:footnote>
  <w:footnote w:id="9">
    <w:p>
      <w:pPr>
        <w:pStyle w:val="FootnoteText"/>
        <w:rPr>
          <w:szCs w:val="24"/>
          <w:lang w:val="en-GB"/>
        </w:rPr>
      </w:pPr>
      <w:r>
        <w:rPr>
          <w:rStyle w:val="FootnoteReference"/>
        </w:rPr>
        <w:footnoteRef/>
      </w:r>
      <w:r>
        <w:rPr>
          <w:lang w:val="en-GB"/>
        </w:rPr>
        <w:tab/>
        <w:t>ABM: activity-based management; ABB: activity-based budgeting.</w:t>
      </w:r>
    </w:p>
  </w:footnote>
  <w:footnote w:id="10">
    <w:p>
      <w:pPr>
        <w:pStyle w:val="FootnoteText"/>
        <w:rPr>
          <w:szCs w:val="24"/>
        </w:rPr>
      </w:pPr>
      <w:r>
        <w:rPr>
          <w:rStyle w:val="FootnoteReference"/>
        </w:rPr>
        <w:footnoteRef/>
      </w:r>
      <w:r>
        <w:tab/>
        <w:t>In de zin van artikel 54, lid 2, onder a) of b), van het Financieel Reglement.</w:t>
      </w:r>
    </w:p>
  </w:footnote>
  <w:footnote w:id="11">
    <w:p>
      <w:pPr>
        <w:pStyle w:val="FootnoteText"/>
        <w:rPr>
          <w:szCs w:val="24"/>
        </w:rPr>
      </w:pPr>
      <w:r>
        <w:rPr>
          <w:rStyle w:val="FootnoteReference"/>
        </w:rPr>
        <w:footnoteRef/>
      </w:r>
      <w:r>
        <w:tab/>
        <w:t xml:space="preserve">Nadere gegevens over de beheersvormen en verwijzingen naar het Financieel Reglement zijn beschikbaar op BudgWeb: </w:t>
      </w:r>
      <w:hyperlink r:id="rId3">
        <w:r>
          <w:rPr>
            <w:rStyle w:val="Hyperlink"/>
            <w:sz w:val="18"/>
          </w:rPr>
          <w:t>http://www.cc.cec/budg/man/budgmanag/budgmanag_en.html</w:t>
        </w:r>
      </w:hyperlink>
    </w:p>
  </w:footnote>
  <w:footnote w:id="12">
    <w:p>
      <w:pPr>
        <w:pStyle w:val="FootnoteText"/>
        <w:rPr>
          <w:szCs w:val="24"/>
        </w:rPr>
      </w:pPr>
      <w:r>
        <w:rPr>
          <w:rStyle w:val="FootnoteReference"/>
        </w:rPr>
        <w:footnoteRef/>
      </w:r>
      <w:r>
        <w:tab/>
        <w:t>GK = gesplitste kredieten/NGK = niet-gesplitste kredieten.</w:t>
      </w:r>
    </w:p>
  </w:footnote>
  <w:footnote w:id="13">
    <w:p>
      <w:pPr>
        <w:pStyle w:val="FootnoteText"/>
        <w:rPr>
          <w:szCs w:val="24"/>
        </w:rPr>
      </w:pPr>
      <w:r>
        <w:rPr>
          <w:rStyle w:val="FootnoteReference"/>
        </w:rPr>
        <w:footnoteRef/>
      </w:r>
      <w:r>
        <w:tab/>
        <w:t>EVA: Europese Vrijhandelsassociatie.</w:t>
      </w:r>
    </w:p>
  </w:footnote>
  <w:footnote w:id="14">
    <w:p>
      <w:pPr>
        <w:pStyle w:val="FootnoteText"/>
        <w:rPr>
          <w:szCs w:val="24"/>
        </w:rPr>
      </w:pPr>
      <w:r>
        <w:rPr>
          <w:rStyle w:val="FootnoteReference"/>
        </w:rPr>
        <w:footnoteRef/>
      </w:r>
      <w:r>
        <w:tab/>
        <w:t>Kandidaat-lidstaten en, in voorkomend geval, potentiële kandidaat-lidstaten van de Westelijke Balkan.</w:t>
      </w:r>
    </w:p>
  </w:footnote>
  <w:footnote w:id="15">
    <w:p>
      <w:pPr>
        <w:pStyle w:val="FootnoteText"/>
      </w:pPr>
      <w:r>
        <w:rPr>
          <w:rStyle w:val="FootnoteReference"/>
        </w:rPr>
        <w:footnoteRef/>
      </w:r>
      <w:r>
        <w:tab/>
        <w:t>Het begrotingsonderdeel is indicatief en kan worden gewijzigd naar aanleiding van de jaarlijkse procedure.</w:t>
      </w:r>
    </w:p>
  </w:footnote>
  <w:footnote w:id="16">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17">
    <w:p>
      <w:pPr>
        <w:pStyle w:val="FootnoteText"/>
      </w:pPr>
      <w:r>
        <w:rPr>
          <w:rStyle w:val="FootnoteReference"/>
        </w:rPr>
        <w:footnoteRef/>
      </w:r>
      <w:r>
        <w:tab/>
        <w:t xml:space="preserve">Er zijn geen nieuwe administratieve kredieten nodig aangezien het financieel memorandum bij de financieringsverordening van 2014 al alle administratieve kredieten voor de periode 2014-2020 omvatte. </w:t>
      </w:r>
    </w:p>
  </w:footnote>
  <w:footnote w:id="18">
    <w:p>
      <w:pPr>
        <w:pStyle w:val="FootnoteText"/>
        <w:rPr>
          <w:szCs w:val="24"/>
        </w:rPr>
      </w:pPr>
      <w:r>
        <w:rPr>
          <w:rStyle w:val="FootnoteReference"/>
        </w:rPr>
        <w:footnoteRef/>
      </w:r>
      <w:r>
        <w:tab/>
        <w:t>Het jaar N is het jaar waarin met de uitvoering van het voorstel/initiatief wordt begonnen.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86C8C7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422CD9E"/>
    <w:lvl w:ilvl="0">
      <w:start w:val="1"/>
      <w:numFmt w:val="decimal"/>
      <w:pStyle w:val="ListNumber3"/>
      <w:lvlText w:val="%1."/>
      <w:lvlJc w:val="left"/>
      <w:pPr>
        <w:tabs>
          <w:tab w:val="num" w:pos="926"/>
        </w:tabs>
        <w:ind w:left="926" w:hanging="360"/>
      </w:pPr>
    </w:lvl>
  </w:abstractNum>
  <w:abstractNum w:abstractNumId="2">
    <w:nsid w:val="FFFFFF7F"/>
    <w:multiLevelType w:val="singleLevel"/>
    <w:tmpl w:val="342AB44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EE2F3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A567C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4"/>
    <w:lvlOverride w:ilvl="0">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num>
  <w:num w:numId="17">
    <w:abstractNumId w:val="21"/>
  </w:num>
  <w:num w:numId="18">
    <w:abstractNumId w:val="9"/>
  </w:num>
  <w:num w:numId="19">
    <w:abstractNumId w:val="11"/>
  </w:num>
  <w:num w:numId="20">
    <w:abstractNumId w:val="7"/>
  </w:num>
  <w:num w:numId="21">
    <w:abstractNumId w:val="20"/>
  </w:num>
  <w:num w:numId="22">
    <w:abstractNumId w:val="6"/>
  </w:num>
  <w:num w:numId="23">
    <w:abstractNumId w:val="12"/>
  </w:num>
  <w:num w:numId="24">
    <w:abstractNumId w:val="16"/>
  </w:num>
  <w:num w:numId="25">
    <w:abstractNumId w:val="17"/>
  </w:num>
  <w:num w:numId="26">
    <w:abstractNumId w:val="8"/>
  </w:num>
  <w:num w:numId="27">
    <w:abstractNumId w:val="15"/>
  </w:num>
  <w:num w:numId="28">
    <w:abstractNumId w:val="2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0"/>
  </w:num>
  <w:num w:numId="32">
    <w:abstractNumId w:val="21"/>
  </w:num>
  <w:num w:numId="33">
    <w:abstractNumId w:val="9"/>
  </w:num>
  <w:num w:numId="34">
    <w:abstractNumId w:val="11"/>
  </w:num>
  <w:num w:numId="35">
    <w:abstractNumId w:val="7"/>
  </w:num>
  <w:num w:numId="36">
    <w:abstractNumId w:val="20"/>
  </w:num>
  <w:num w:numId="37">
    <w:abstractNumId w:val="6"/>
  </w:num>
  <w:num w:numId="38">
    <w:abstractNumId w:val="12"/>
  </w:num>
  <w:num w:numId="39">
    <w:abstractNumId w:val="16"/>
  </w:num>
  <w:num w:numId="40">
    <w:abstractNumId w:val="17"/>
  </w:num>
  <w:num w:numId="41">
    <w:abstractNumId w:val="8"/>
  </w:num>
  <w:num w:numId="42">
    <w:abstractNumId w:val="15"/>
  </w:num>
  <w:num w:numId="43">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4-06 10:17:2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81B7B01818BB4090933A03D0030237BA"/>
    <w:docVar w:name="LW_CROSSREFERENCE" w:val="&lt;UNUSED&gt;"/>
    <w:docVar w:name="LW_DocType" w:val="COM"/>
    <w:docVar w:name="LW_EMISSION" w:val="13.4.2016"/>
    <w:docVar w:name="LW_EMISSION_ISODATE" w:val="2016-04-13"/>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STATUT" w:val="SJ-023"/>
    <w:docVar w:name="LW_INTERETEEE.CP" w:val="(Voor de EER relevante teks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110"/>
    <w:docVar w:name="LW_REF.II.NEW.CP_YEAR" w:val="2016"/>
    <w:docVar w:name="LW_REF.INST.NEW" w:val="COM"/>
    <w:docVar w:name="LW_REF.INST.NEW_ADOPTED" w:val="final"/>
    <w:docVar w:name="LW_REF.INST.NEW_TEXT" w:val="(2016) 202"/>
    <w:docVar w:name="LW_REF.INTERNE" w:val="&lt;UNUSED&gt;"/>
    <w:docVar w:name="LW_SOUS.TITRE.OBJ.CP" w:val="&lt;UNUSED&gt;"/>
    <w:docVar w:name="LW_STATUT.CP" w:val="Voorstel voor een"/>
    <w:docVar w:name="LW_SUPERTITRE" w:val="&lt;UNUSED&gt;"/>
    <w:docVar w:name="LW_TITRE.OBJ.CP" w:val="tot wijziging van Verordening (EU) nr. 258/2014 tot vaststelling van een Unieprogramma ter ondersteuning van specifieke activiteiten op het gebied van financiële verslaggeving en controle van jaarrekeningen voor de periode 2014-2020"/>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link w:val="ListParagraphChar"/>
    <w:uiPriority w:val="34"/>
    <w:qFormat/>
    <w:pPr>
      <w:widowControl w:val="0"/>
      <w:spacing w:before="0" w:after="200" w:line="276" w:lineRule="auto"/>
      <w:ind w:left="720"/>
      <w:contextualSpacing/>
      <w:jc w:val="left"/>
    </w:pPr>
    <w:rPr>
      <w:rFonts w:ascii="Calibri" w:eastAsia="Calibri" w:hAnsi="Calibri"/>
      <w:sz w:val="22"/>
      <w:lang w:val="en-US"/>
    </w:rPr>
  </w:style>
  <w:style w:type="character" w:customStyle="1" w:styleId="ListParagraphChar">
    <w:name w:val="List Paragraph Char"/>
    <w:link w:val="ListParagraph"/>
    <w:uiPriority w:val="34"/>
    <w:locked/>
    <w:rPr>
      <w:rFonts w:ascii="Calibri" w:eastAsia="Calibri" w:hAnsi="Calibri" w:cs="Times New Roman"/>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customStyle="1" w:styleId="CM4">
    <w:name w:val="CM4"/>
    <w:basedOn w:val="Default"/>
    <w:next w:val="Default"/>
    <w:uiPriority w:val="99"/>
    <w:rPr>
      <w:rFonts w:ascii="EUAlbertina" w:hAnsi="EUAlbertina"/>
      <w:color w:val="auto"/>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CM1">
    <w:name w:val="CM1"/>
    <w:basedOn w:val="Default"/>
    <w:next w:val="Default"/>
    <w:uiPriority w:val="99"/>
    <w:rPr>
      <w:rFonts w:ascii="EUAlbertina" w:eastAsiaTheme="minorHAnsi" w:hAnsi="EUAlbertina" w:cstheme="minorBidi"/>
      <w:color w:val="auto"/>
      <w:lang w:eastAsia="en-US"/>
    </w:rPr>
  </w:style>
  <w:style w:type="paragraph" w:customStyle="1" w:styleId="CM3">
    <w:name w:val="CM3"/>
    <w:basedOn w:val="Default"/>
    <w:next w:val="Default"/>
    <w:uiPriority w:val="99"/>
    <w:rPr>
      <w:rFonts w:ascii="EUAlbertina" w:eastAsiaTheme="minorHAnsi" w:hAnsi="EUAlbertina" w:cstheme="minorBidi"/>
      <w:color w:val="auto"/>
      <w:lang w:eastAsia="en-U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customStyle="1" w:styleId="normal2">
    <w:name w:val="normal2"/>
    <w:basedOn w:val="Normal"/>
    <w:pPr>
      <w:spacing w:after="0" w:line="312" w:lineRule="atLeas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link w:val="ListParagraphChar"/>
    <w:uiPriority w:val="34"/>
    <w:qFormat/>
    <w:pPr>
      <w:widowControl w:val="0"/>
      <w:spacing w:before="0" w:after="200" w:line="276" w:lineRule="auto"/>
      <w:ind w:left="720"/>
      <w:contextualSpacing/>
      <w:jc w:val="left"/>
    </w:pPr>
    <w:rPr>
      <w:rFonts w:ascii="Calibri" w:eastAsia="Calibri" w:hAnsi="Calibri"/>
      <w:sz w:val="22"/>
      <w:lang w:val="en-US"/>
    </w:rPr>
  </w:style>
  <w:style w:type="character" w:customStyle="1" w:styleId="ListParagraphChar">
    <w:name w:val="List Paragraph Char"/>
    <w:link w:val="ListParagraph"/>
    <w:uiPriority w:val="34"/>
    <w:locked/>
    <w:rPr>
      <w:rFonts w:ascii="Calibri" w:eastAsia="Calibri" w:hAnsi="Calibri" w:cs="Times New Roman"/>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customStyle="1" w:styleId="CM4">
    <w:name w:val="CM4"/>
    <w:basedOn w:val="Default"/>
    <w:next w:val="Default"/>
    <w:uiPriority w:val="99"/>
    <w:rPr>
      <w:rFonts w:ascii="EUAlbertina" w:hAnsi="EUAlbertina"/>
      <w:color w:val="auto"/>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CM1">
    <w:name w:val="CM1"/>
    <w:basedOn w:val="Default"/>
    <w:next w:val="Default"/>
    <w:uiPriority w:val="99"/>
    <w:rPr>
      <w:rFonts w:ascii="EUAlbertina" w:eastAsiaTheme="minorHAnsi" w:hAnsi="EUAlbertina" w:cstheme="minorBidi"/>
      <w:color w:val="auto"/>
      <w:lang w:eastAsia="en-US"/>
    </w:rPr>
  </w:style>
  <w:style w:type="paragraph" w:customStyle="1" w:styleId="CM3">
    <w:name w:val="CM3"/>
    <w:basedOn w:val="Default"/>
    <w:next w:val="Default"/>
    <w:uiPriority w:val="99"/>
    <w:rPr>
      <w:rFonts w:ascii="EUAlbertina" w:eastAsiaTheme="minorHAnsi" w:hAnsi="EUAlbertina" w:cstheme="minorBidi"/>
      <w:color w:val="auto"/>
      <w:lang w:eastAsia="en-U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customStyle="1" w:styleId="normal2">
    <w:name w:val="normal2"/>
    <w:basedOn w:val="Normal"/>
    <w:pPr>
      <w:spacing w:after="0" w:line="312" w:lineRule="atLeas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7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eur-lex.europa.eu/legal-content/NL/TXT/?qid=1458731408725&amp;uri=CELEX:52015DC0461" TargetMode="External"/><Relationship Id="rId1" Type="http://schemas.openxmlformats.org/officeDocument/2006/relationships/hyperlink" Target="http://eur-lex.europa.eu/legal-content/NL/TXT/?qid=1458650364958&amp;uri=CELEX:52014DC039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F1AF-7CBE-410F-ACD3-26C2BBC6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21</Pages>
  <Words>4641</Words>
  <Characters>27987</Characters>
  <Application>Microsoft Office Word</Application>
  <DocSecurity>0</DocSecurity>
  <Lines>799</Lines>
  <Paragraphs>459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2016-03-29T11:33:00Z</cp:lastPrinted>
  <dcterms:created xsi:type="dcterms:W3CDTF">2016-03-29T11:54:00Z</dcterms:created>
  <dcterms:modified xsi:type="dcterms:W3CDTF">2016-04-06T08:17:00Z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