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A5DAD21D61C457ABCF58F1BAA6009B5" style="width:450.8pt;height:365.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Text1"/>
        <w:rPr>
          <w:noProof/>
        </w:rPr>
      </w:pPr>
      <w:r>
        <w:rPr>
          <w:noProof/>
        </w:rPr>
        <w:t>Evropska unija je po sprejetju Direktive Sveta 2003/48/ES (v nadaljnjem besedilu: direktiva o davkih na prihranke) in z namenom, da bi se ohranili enaki konkurenčni pogoji za gospodarske subjekte, podpisala sporazume s Švico, Andoro, Lihtenštajnom, Monakom in San Marinom o zagotovitvi ukrepov, ki so enakovredni tistim iz direktive. Države članice so prav tako podpisale sporazume z odvisnimi ozemlji Združenega kraljestva in Nizozemske.</w:t>
      </w:r>
    </w:p>
    <w:p>
      <w:pPr>
        <w:pStyle w:val="Text1"/>
        <w:rPr>
          <w:noProof/>
        </w:rPr>
      </w:pPr>
      <w:r>
        <w:rPr>
          <w:noProof/>
        </w:rPr>
        <w:t>Nedavno je bil na mednarodni ravni priznan pomen avtomatične izmenjave informacij kot sredstva v boju proti čezmejnim davčnim goljufijam in davčnim utajam, s čimer se bosta zagotovila popolna davčna preglednost in sistematično sodelovanje med davčnimi upravami po vsem svetu. Skupina G-20 je Organizaciji za gospodarsko sodelovanje in razvoj (OECD) naložila, naj razvije enotni svetovni standard za avtomatično izmenjavo informacij o finančnih računih (v nadaljnjem besedilu: svetovni standard). Svet OECD je svetovni standard objavil julija 2014.</w:t>
      </w:r>
    </w:p>
    <w:p>
      <w:pPr>
        <w:pStyle w:val="Text1"/>
        <w:rPr>
          <w:noProof/>
        </w:rPr>
      </w:pPr>
      <w:r>
        <w:rPr>
          <w:noProof/>
        </w:rPr>
        <w:t>Po sprejetju predloga za posodobitev direktive o davkih na prihranke je Komisija 17. junija 2011 sprejela priporočilo za mandat o začetku pogajanj s Švico, Lihtenštajnom, Andoro, Monakom in San Marinom, da bi izboljšala sporazume Unije z navedenimi državami v skladu z mednarodnim razvojem dogodkov in zagotovili, da bodo te še naprej izvajale ukrepe, enakovredne tistim v Uniji. Svet je 14. maja 2013 dosegel dogovor o pogajalskem mandatu, in sicer je sklenil, da bi morala biti pogajanja usklajena z nedavnim razvojem dogodkov na svetovni ravni, na kateri je bilo dogovorjeno, da se avtomatična izmenjava informacij spodbuja kot mednarodni standard.</w:t>
      </w:r>
    </w:p>
    <w:p>
      <w:pPr>
        <w:pStyle w:val="Text1"/>
        <w:rPr>
          <w:noProof/>
        </w:rPr>
      </w:pPr>
      <w:r>
        <w:rPr>
          <w:noProof/>
        </w:rPr>
        <w:t>Komisija je v svojem sporočilu z dne 6. decembra 2012, ki vsebuje akcijski načrt za okrepljeni boj proti davčnim goljufijam in davčnim utajam, poudarila potrebo po odločnem spodbujanju avtomatične izmenjave informacij kot prihodnjega evropskega in mednarodnega standarda preglednosti in izmenjave informacij v davčnih zadevah.</w:t>
      </w:r>
    </w:p>
    <w:p>
      <w:pPr>
        <w:pStyle w:val="Text1"/>
        <w:rPr>
          <w:noProof/>
        </w:rPr>
      </w:pPr>
      <w:r>
        <w:rPr>
          <w:noProof/>
        </w:rPr>
        <w:t>Na podlagi predloga, ki ga je Komisija predstavila junija 2013, je Svet 9. decembra 2014 sprejel Direktivo 2014/107/EU o spremembi Direktive 2011/16/EU in o razširitvi obvezne avtomatične izmenjave informacij med davčnimi organi Unije na celoten nabor finančnih postavk v skladu s svetovnim standardom. Ta spremenjena direktiva zagotavlja skladen, dosleden in celovit pristop na ravni Unije k avtomatični izmenjavi informacij o finančnih računih na notranjem trgu.</w:t>
      </w:r>
    </w:p>
    <w:p>
      <w:pPr>
        <w:ind w:left="840"/>
        <w:rPr>
          <w:noProof/>
        </w:rPr>
      </w:pPr>
      <w:r>
        <w:rPr>
          <w:noProof/>
        </w:rPr>
        <w:t>Glede na to, da ima Direktiva 2014/107/EU na splošno širše področje uporabe od Direktive 2003/48/ES ter določa, da v primeru prekrivanja področij uporabe prevlada Direktiva 2014/107/EU, je Svet 10. novembra 2015 na podlagi predloga Komisije z dne 18. marca 2015 sprejel Direktivo (EU) 2015/2060 o razveljavitvi Direktive 2003/48/ES.</w:t>
      </w:r>
    </w:p>
    <w:p>
      <w:pPr>
        <w:ind w:left="840"/>
        <w:rPr>
          <w:noProof/>
        </w:rPr>
      </w:pPr>
      <w:r>
        <w:rPr>
          <w:noProof/>
        </w:rPr>
        <w:t xml:space="preserve">Prav tako je bistvenega pomena zagotoviti, da je sprememba obstoječega sporazuma o davkih na prihranke z Monakom skladna z razvojem v Uniji in na mednarodni ravni, da bi se čim bolj zmanjšali stroški in upravna bremena davčnih uprav in gospodarskih subjektov. To bo povečalo davčno preglednost v Evropi in bo pravna podlaga za izvajanje svetovnega standarda OECD za avtomatično izmenjavo informacij med Monakom in Evropsko unijo. </w:t>
      </w:r>
    </w:p>
    <w:p>
      <w:pPr>
        <w:ind w:left="840"/>
        <w:rPr>
          <w:noProof/>
        </w:rPr>
      </w:pPr>
    </w:p>
    <w:p>
      <w:pPr>
        <w:pStyle w:val="ManualHeading1"/>
        <w:rPr>
          <w:noProof/>
        </w:rPr>
      </w:pPr>
      <w:r>
        <w:rPr>
          <w:noProof/>
        </w:rPr>
        <w:t>2.</w:t>
      </w:r>
      <w:r>
        <w:rPr>
          <w:noProof/>
        </w:rPr>
        <w:tab/>
        <w:t>PRAVNA PODLAGA, SUBSIDIARNOST IN SORAZMERNOST</w:t>
      </w:r>
    </w:p>
    <w:p>
      <w:pPr>
        <w:ind w:left="840"/>
        <w:rPr>
          <w:noProof/>
        </w:rPr>
      </w:pPr>
      <w:r>
        <w:rPr>
          <w:noProof/>
        </w:rPr>
        <w:t xml:space="preserve">Pravna podlaga tega predloga je člen 115 Pogodbe o delovanju Evropske unije (PDEU) v povezavi s členom 218(5) in drugim pododstavkom člena 218(8) PDEU. Materialna pravna podlaga je člen 115 PDEU. </w:t>
      </w:r>
    </w:p>
    <w:p>
      <w:pPr>
        <w:ind w:left="840"/>
        <w:rPr>
          <w:noProof/>
        </w:rPr>
      </w:pPr>
      <w:r>
        <w:rPr>
          <w:noProof/>
        </w:rPr>
        <w:t xml:space="preserve">Člen 1(1) Protokola o spremembi, ki je priložen temu predlogu sklepa Sveta, spreminja naslov obstoječega sporazuma, da bi bolje odražal vsebino sporazuma, kakor jo spreminja ta protokol o spremembi. </w:t>
      </w:r>
    </w:p>
    <w:p>
      <w:pPr>
        <w:ind w:left="840"/>
        <w:rPr>
          <w:noProof/>
        </w:rPr>
      </w:pPr>
      <w:r>
        <w:rPr>
          <w:noProof/>
        </w:rPr>
        <w:t>Člen 1(2) Protokola o spremembi nadomešča člene in priloge obstoječega sporazuma z novim sklopom določb, ki ga sestavljajo 10 členov, Priloga I, ki odraža enotni standard poročanja OECD, pri čemer je ta del svetovnega standarda, Priloga II, ki zajema pomembne dele komentarjev OECD k svetovnemu standardu, Priloga III, ki navaja dodatne določbe o varstvu podatkov, ki bodo vzpostavljeni za zbiranje in izmenjavo podatkov v skladu s Sporazumom, ter Priloga IV, v kateri so navedeni pristojni organi Monaka in vsake od držav članic. Novi členi odražajo člene vzorčnega sporazuma OECD med pristojnimi organi za izvajanje svetovnega standarda, z manjšimi prilagoditvami, ki upoštevajo poseben pravni okvir sporazuma Unije. Člen 5 zajema celoten sklop določb o izmenjavi informacij na zahtevo, ki temelji na najnovejši različici besedila vzorčne konvencije OECD o davku. Člen 6 vsebuje podrobnejše določbe o varstvu podatkov, pri čemer upošteva tudi odsotnost sklepa o ustreznosti varstva v zvezi z ravnjo varstva podatkov v Monaku v primerjavi z zahtevami Unije. Člen 7 določa dodatno fazo posvetovanja, preden se katera koli država članica ali Monako odloči, da bo začasno prenehal izvajati sporazum. V členu 8 so navedene določbe o spremembah sporazuma, vključno s hitrim mehanizmom za začasno uporabo, ki ga v zvezi s spremembami svetovnega standarda izvaja ena od pogodbenic s soglasjem druge pogodbenice. Člen 10 določa ozemeljsko uporabo.</w:t>
      </w:r>
    </w:p>
    <w:p>
      <w:pPr>
        <w:ind w:left="840"/>
        <w:rPr>
          <w:noProof/>
        </w:rPr>
      </w:pPr>
      <w:r>
        <w:rPr>
          <w:noProof/>
        </w:rPr>
        <w:t>Priloga I izhaja iz enotnega standarda poročanja OECD in Priloge I k direktivi o upravnem sodelovanju. Priloga II uvaja ključne dele komentarjev k enotnemu standardu poročanja in ustreza Prilogi II k direktivi o upravnem sodelovanju. Razloga za manjša odstopanja od Priloge I ali II k direktivi o upravnem sodelovanju sta ponovna uskladitev besedila z enotnim standardom poročanja, ki so jo zahtevali pogajalci Monaka, in dejstvo, da se je Monako, kot tudi Švica in Andora, na mednarodni ravni zavezal, da bo vzpostavil enotni standard poročanja z enoletnim zamikom glede na skoraj vse države članice (samo Avstrija lahko koristi podoben časovni zamik, ki ji je priznan v okviru oddelka X Priloge I k direktivi). Poleg vprašanj v zvezi z datumi uporabe so odstopanja naslednja:</w:t>
      </w:r>
    </w:p>
    <w:p>
      <w:pPr>
        <w:ind w:left="840"/>
        <w:rPr>
          <w:noProof/>
        </w:rPr>
      </w:pPr>
      <w:r>
        <w:rPr>
          <w:noProof/>
        </w:rPr>
        <w:t>1. V oddelku I(E) je sklicevanje na prijavo kraja rojstva ponovno usklajeno s skupnim standardom poročanja.</w:t>
      </w:r>
    </w:p>
    <w:p>
      <w:pPr>
        <w:ind w:left="840"/>
        <w:rPr>
          <w:noProof/>
        </w:rPr>
      </w:pPr>
      <w:r>
        <w:rPr>
          <w:noProof/>
        </w:rPr>
        <w:t xml:space="preserve">2. Nekatere zadevne možnosti, predvidene v komentarjih k enotnemu standardu poročanja in direktivi o upravnem sodelovanju, so prepuščene presoji vsake države članice in Monaka ter niso neposredno vključene v sporazum. Namesto tega imajo države članice in Monako obveznost, da obvestijo druga drugo in Komisijo o tem, ali so uveljavljale katero od možnosti. </w:t>
      </w:r>
    </w:p>
    <w:p>
      <w:pPr>
        <w:ind w:left="840"/>
        <w:rPr>
          <w:noProof/>
        </w:rPr>
      </w:pPr>
      <w:r>
        <w:rPr>
          <w:noProof/>
        </w:rPr>
        <w:t>3. Opredelitvi pojmov „Mednarodna organizacija“ in „Centralna banka“ iz točk B(3) in (4) oddelka VIII sta bili usklajeni z enotnim standardom poročanja, da bi se lahko uporabljali tudi v okviru izjeme iz metode vpogleda, ki se uporablja za Pasivne nefinančne subjekte v točki D(9)(c) oddelka VIII.</w:t>
      </w:r>
    </w:p>
    <w:p>
      <w:pPr>
        <w:ind w:left="840"/>
        <w:rPr>
          <w:noProof/>
        </w:rPr>
      </w:pPr>
      <w:r>
        <w:rPr>
          <w:noProof/>
        </w:rPr>
        <w:t>4. V Prilogi II se opredelitev „Rezidentstvo finančne institucije“ uskladi s komentarji k enotnemu standardu poročanja, da bi bili zajeti primeri, ko je treba določiti rezidentstvo druge finančne institucije, npr. za metodo vpogleda, ki se uporablja za Pasivne nefinančne subjekte.</w:t>
      </w:r>
    </w:p>
    <w:p>
      <w:pPr>
        <w:ind w:left="840"/>
        <w:rPr>
          <w:noProof/>
        </w:rPr>
      </w:pPr>
      <w:r>
        <w:rPr>
          <w:noProof/>
        </w:rPr>
        <w:t xml:space="preserve">Priloga III je bila vključena, da se določbe člena 6 dopolnijo z dodatnimi določbami za varstvo podatkov, ker ni sprejet sklep o ustreznosti v zvezi z ravnjo varstva podatkov v Monaku v primerjavi z zahtevami Unije. </w:t>
      </w:r>
    </w:p>
    <w:p>
      <w:pPr>
        <w:ind w:left="840"/>
        <w:rPr>
          <w:noProof/>
        </w:rPr>
      </w:pPr>
      <w:r>
        <w:rPr>
          <w:noProof/>
        </w:rPr>
        <w:t>Člen 2 Protokola o spremembi vključuje določbe o začetku veljavnosti in uporabi spremenjenega sporazuma. Pogodbenici sta se strinjali, da bo Monako spoštoval svoje mednarodne zaveze glede časovnega razporeda avtomatične izmenjave informacij v okviru svetovnega standarda, kot so bile sporočene svetovnemu forumu, tj. da bodo prve izmenjave informacij opravljene leta 2018 za informacije, zbrane v letu 2017. Glede na to, da je težko zagotoviti, da bo postopek za uradni začetek veljavnosti, določen v členu 2(1) in (2) Protokola o spremembi, vzpostavljen pravočasno za zagotovitev spoštovanja teh zavez, sta se pogodbenici v členu 2(3) dogovorili o začasni uporabi Protokola o spremembi od 1. januarja 2017 s pridržkom, da vsaka pogodbenica priglasi dokončanje svojih notranjih postopkov, ki so potrebni za takšno začasno uporabo in so za Unijo določeni v členu 218(5) PDEU. Naslednji odstavek člena 2 Protokola o spremembi obravnava vprašanja v zvezi s prehodom z obstoječega sporazuma na spremenjeni sporazum glede zahtev po informacijah, davčnih odbitkov, ki so na voljo upravičenim lastnikom za davčne odtegljaje, končnih plačil Monaka državam članicam za davčne odtegljaje in končne izmenjave informacij na podlagi mehanizma prostovoljnega razkritja.</w:t>
      </w:r>
    </w:p>
    <w:p>
      <w:pPr>
        <w:ind w:left="840"/>
        <w:rPr>
          <w:noProof/>
        </w:rPr>
      </w:pPr>
      <w:r>
        <w:rPr>
          <w:noProof/>
        </w:rPr>
        <w:t>Člen 3 vključuje protokol o dodatnih določbah v zvezi z izmenjavo informacij na zahtevo. Besedilo določa, da izmenjave na podlagi zahteve v zvezi s skupino niso izključene. Ta Protokol o dodatnih določbah je v skladu z načeli svetovnega foruma kar zadeva preverjanje usklajenosti pravil o izmenjavi informacij na zahtevo.</w:t>
      </w:r>
    </w:p>
    <w:p>
      <w:pPr>
        <w:ind w:left="840"/>
        <w:rPr>
          <w:noProof/>
        </w:rPr>
      </w:pPr>
      <w:r>
        <w:rPr>
          <w:noProof/>
        </w:rPr>
        <w:t>Člen 4 navaja jezike, v katerih je podpisan ta protokol o spremembi.</w:t>
      </w:r>
    </w:p>
    <w:p>
      <w:pPr>
        <w:ind w:left="840"/>
        <w:rPr>
          <w:noProof/>
        </w:rPr>
      </w:pPr>
      <w:r>
        <w:rPr>
          <w:noProof/>
        </w:rPr>
        <w:t>Revidirani sporazum se dopolni s štirimi skupnimi izjavami pogodbenic.</w:t>
      </w:r>
    </w:p>
    <w:p>
      <w:pPr>
        <w:ind w:left="840"/>
        <w:rPr>
          <w:noProof/>
        </w:rPr>
      </w:pPr>
      <w:r>
        <w:rPr>
          <w:noProof/>
        </w:rPr>
        <w:t>Prva skupna izjava ponovno navaja skladnost med svetovnim standardom in Direktivo 2014/107/EU o spremembi Direktive 2011/16/EU, revidiranim sporazumom med Unijo in Monakom ter štirimi drugimi revidiranimi sporazumi, že podpisanimi med Unijo ter Švico, Lihtenštajnom, San Marinom oziroma Andoro.</w:t>
      </w:r>
    </w:p>
    <w:p>
      <w:pPr>
        <w:ind w:left="840"/>
        <w:rPr>
          <w:noProof/>
        </w:rPr>
      </w:pPr>
      <w:r>
        <w:rPr>
          <w:noProof/>
        </w:rPr>
        <w:t xml:space="preserve">Druga skupna izjava se navezuje na komentarje OECD k svetovnemu standardu, tretja skupna izjava pa na člen 26 vzorčne konvencije OECD o davku na dohodek in kapital. </w:t>
      </w:r>
    </w:p>
    <w:p>
      <w:pPr>
        <w:ind w:left="840"/>
        <w:rPr>
          <w:noProof/>
        </w:rPr>
      </w:pPr>
      <w:r>
        <w:rPr>
          <w:noProof/>
        </w:rPr>
        <w:t>Četrta izjava obravnava praktične vidike začasne uporabe določb člena 2(3) Protokola o spremembi.</w:t>
      </w:r>
    </w:p>
    <w:p>
      <w:pPr>
        <w:ind w:left="840"/>
        <w:rPr>
          <w:noProof/>
        </w:rPr>
      </w:pPr>
      <w:r>
        <w:rPr>
          <w:noProof/>
        </w:rPr>
        <w:t>Predlog ne presega tistega, kar je nujno ali ustrezno za dosego pričakovanih ciljev.</w:t>
      </w:r>
    </w:p>
    <w:p>
      <w:pPr>
        <w:pStyle w:val="ManualHeading1"/>
        <w:rPr>
          <w:noProof/>
        </w:rPr>
      </w:pPr>
      <w:r>
        <w:rPr>
          <w:noProof/>
        </w:rPr>
        <w:t>3.</w:t>
      </w:r>
      <w:r>
        <w:rPr>
          <w:noProof/>
        </w:rPr>
        <w:tab/>
        <w:t>REZULTATI NAKNADNIH OCEN, POSVETOVANJ Z ZAINTERESIRANIMI STRANMI IN OCEN UČINKA</w:t>
      </w:r>
    </w:p>
    <w:p>
      <w:pPr>
        <w:ind w:left="840"/>
        <w:rPr>
          <w:noProof/>
        </w:rPr>
      </w:pPr>
      <w:r>
        <w:rPr>
          <w:noProof/>
        </w:rPr>
        <w:t>Protokol o spremembi uvaja svetovni standard med državami članicami EU in Monakom. Posvetovanja z različnimi zainteresiranimi stranmi so že potekala ob več priložnostih med pripravo svetovnega standarda OECD.</w:t>
      </w:r>
    </w:p>
    <w:p>
      <w:pPr>
        <w:ind w:left="840"/>
        <w:rPr>
          <w:noProof/>
        </w:rPr>
      </w:pPr>
      <w:r>
        <w:rPr>
          <w:noProof/>
        </w:rPr>
        <w:t xml:space="preserve">Posvetovanja z državami članicami EU so prav tako potekala v času pogajanj med Komisijo in Monakom, države članice EU pa so bile o poteku tudi obveščene. Komisija je o stanju pogajanj z Monakom poročala Evropskemu svetu na zasedanjih marca in decembra 2014. </w:t>
      </w:r>
    </w:p>
    <w:p>
      <w:pPr>
        <w:ind w:left="840"/>
        <w:rPr>
          <w:noProof/>
        </w:rPr>
      </w:pPr>
      <w:r>
        <w:rPr>
          <w:noProof/>
        </w:rPr>
        <w:t>Evropski nadzornik za varstvo podatkov, ki je bil zaprošen za mnenje med pogajanji s San Marinom, je zagotovil koristne nasvete, predvsem o podrobni vsebini člena 6 in Priloge III k Sporazumu, kakor je spremenjen s Protokolom o spremembi. Njegovi nasveti so se upoštevali tudi pri pripravi zadevnih delov revidiranega sporazuma z Monakom.</w:t>
      </w:r>
    </w:p>
    <w:p>
      <w:pPr>
        <w:ind w:left="840"/>
        <w:rPr>
          <w:noProof/>
        </w:rPr>
      </w:pPr>
      <w:r>
        <w:rPr>
          <w:noProof/>
        </w:rPr>
        <w:t>Komisija se je posvetovala tudi z novo strokovno skupino za avtomatično izmenjavo informacij o finančnih računih, ki svetuje pri dejanskem usklajevanju zakonodaje Unije o avtomatični izmenjavi informacij na področju neposrednega obdavčevanja in doseganju njene popolne skladnosti s svetovnim standardom OECD. Strokovno skupino sestavljajo predstavniki organizacij, ki zastopajo finančni sektor, in organizacij, ki se zavzemajo za boj proti davčnim goljufijami in davčnim utajam.</w:t>
      </w:r>
    </w:p>
    <w:p>
      <w:pPr>
        <w:pStyle w:val="ManualHeading1"/>
        <w:rPr>
          <w:noProof/>
        </w:rPr>
      </w:pPr>
      <w:r>
        <w:rPr>
          <w:noProof/>
        </w:rPr>
        <w:t>4.</w:t>
      </w:r>
      <w:r>
        <w:rPr>
          <w:noProof/>
        </w:rPr>
        <w:tab/>
        <w:t>PRORAČUNSKE POSLEDICE</w:t>
      </w:r>
    </w:p>
    <w:p>
      <w:pPr>
        <w:ind w:left="840"/>
        <w:rPr>
          <w:noProof/>
        </w:rPr>
      </w:pPr>
      <w:r>
        <w:rPr>
          <w:noProof/>
        </w:rPr>
        <w:t>Predlog nima proračunskih posledic.</w:t>
      </w:r>
    </w:p>
    <w:p>
      <w:pPr>
        <w:pStyle w:val="ManualHeading1"/>
        <w:rPr>
          <w:noProof/>
        </w:rPr>
      </w:pPr>
      <w:r>
        <w:rPr>
          <w:noProof/>
        </w:rPr>
        <w:t>5.</w:t>
      </w:r>
      <w:r>
        <w:rPr>
          <w:noProof/>
        </w:rPr>
        <w:tab/>
        <w:t>DRUGI ELEMENTI</w:t>
      </w:r>
    </w:p>
    <w:p>
      <w:pPr>
        <w:ind w:left="840"/>
        <w:rPr>
          <w:noProof/>
        </w:rPr>
      </w:pPr>
      <w:r>
        <w:rPr>
          <w:noProof/>
        </w:rPr>
        <w:t>Jih ni.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2016/0108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 xml:space="preserve">o podpisu, v imenu Evropske unije, in začasni uporabi Protokola o spremembi k Sporazumu med Evropsko skupnostjo in Kneževino Monako o ukrepih, enakovrednih tistim iz Direktive Sveta 2003/48/ES </w:t>
      </w:r>
    </w:p>
    <w:p>
      <w:pPr>
        <w:pStyle w:val="Institutionquiagit"/>
        <w:rPr>
          <w:noProof/>
        </w:rPr>
      </w:pPr>
      <w:r>
        <w:rPr>
          <w:noProof/>
        </w:rPr>
        <w:t>SVET EVROPSKE UNIJE JE –</w:t>
      </w:r>
    </w:p>
    <w:p>
      <w:pPr>
        <w:rPr>
          <w:noProof/>
        </w:rPr>
      </w:pPr>
      <w:r>
        <w:rPr>
          <w:noProof/>
        </w:rPr>
        <w:t>ob upoštevanju Pogodbe o delovanju Evropske unije, in zlasti člena 115 v povezavi s členom 218(5) in drugim pododstavkom člena 218(8) PDEU,</w:t>
      </w:r>
    </w:p>
    <w:p>
      <w:pPr>
        <w:rPr>
          <w:noProof/>
        </w:rPr>
      </w:pPr>
      <w:r>
        <w:rPr>
          <w:noProof/>
        </w:rPr>
        <w:t>ob upoštevanju predloga Evropske komisije,</w:t>
      </w:r>
    </w:p>
    <w:p>
      <w:pPr>
        <w:rPr>
          <w:noProof/>
        </w:rPr>
      </w:pPr>
      <w:r>
        <w:rPr>
          <w:noProof/>
        </w:rPr>
        <w:t>ob upoštevanju naslednjega:</w:t>
      </w:r>
    </w:p>
    <w:p>
      <w:pPr>
        <w:pStyle w:val="ManualConsidrant"/>
        <w:rPr>
          <w:noProof/>
        </w:rPr>
      </w:pPr>
      <w:r>
        <w:rPr>
          <w:noProof/>
        </w:rPr>
        <w:t>(1)</w:t>
      </w:r>
      <w:r>
        <w:rPr>
          <w:noProof/>
        </w:rPr>
        <w:tab/>
        <w:t>Svet je 14. maja 2013 pooblastil Komisijo, da začne pogajanja s Kneževino Monako o spremembi Sporazuma med Evropsko skupnostjo in Kneževino Monako o ukrepih, enakovrednih tistim iz Direktive Sveta 2003/48/ES</w:t>
      </w:r>
      <w:r>
        <w:rPr>
          <w:rStyle w:val="FootnoteReference"/>
          <w:noProof/>
        </w:rPr>
        <w:footnoteReference w:id="1"/>
      </w:r>
      <w:r>
        <w:rPr>
          <w:noProof/>
        </w:rPr>
        <w:t xml:space="preserve"> (v nadaljnjem besedilu: Sporazum), da se ta sporazum uskladi z nedavnim razvojem dogodkov na svetovni ravni, na kateri je bilo dogovorjeno, da se avtomatična izmenjava informacij spodbuja kot mednarodni standard.</w:t>
      </w:r>
    </w:p>
    <w:p>
      <w:pPr>
        <w:pStyle w:val="ManualConsidrant"/>
        <w:rPr>
          <w:noProof/>
        </w:rPr>
      </w:pPr>
      <w:r>
        <w:rPr>
          <w:noProof/>
        </w:rPr>
        <w:t>(2)</w:t>
      </w:r>
      <w:r>
        <w:rPr>
          <w:noProof/>
        </w:rPr>
        <w:tab/>
        <w:t>Besedilo Protokola o spremembi k Sporazumu (v nadaljnjem besedilu: Protokol o spremembi), ki je rezultat teh pogajanj, ustrezno odraža pogajalske smernice, ki jih je izdal Svet, saj usklajuje Sporazum z najnovejšim razvojem dogodkov na mednarodni ravni v zvezi z avtomatično izmenjavo informacij, in sicer s svetovnim standardom za avtomatično izmenjavo informacij o finančnih računih za namene obdavčenja, ki ga je oblikovala Organizacija za gospodarsko sodelovanje in razvoj (OECD). Unija, njene države članice in Kneževina Monako so dejavno sodelovale pri delu svetovnega foruma OECD za podporo razvoju in izvajanju navedenega standarda. Besedilo sporazuma, kakor ga spreminja Protokol o spremembi, je pravna podlaga za izvajanje svetovnega standarda v odnosih med Unijo in Kneževino Monako.</w:t>
      </w:r>
    </w:p>
    <w:p>
      <w:pPr>
        <w:pStyle w:val="ManualConsidrant"/>
        <w:rPr>
          <w:noProof/>
        </w:rPr>
      </w:pPr>
      <w:r>
        <w:rPr>
          <w:noProof/>
        </w:rPr>
        <w:t>(3)</w:t>
      </w:r>
      <w:r>
        <w:rPr>
          <w:noProof/>
        </w:rPr>
        <w:tab/>
        <w:t>Protokol o spremembi bi bilo treba podpisati v imenu Evropske unije.</w:t>
      </w:r>
    </w:p>
    <w:p>
      <w:pPr>
        <w:pStyle w:val="ManualConsidrant"/>
        <w:rPr>
          <w:noProof/>
        </w:rPr>
      </w:pPr>
      <w:r>
        <w:rPr>
          <w:noProof/>
        </w:rPr>
        <w:t>(4)</w:t>
      </w:r>
      <w:r>
        <w:rPr>
          <w:noProof/>
        </w:rPr>
        <w:tab/>
        <w:t xml:space="preserve">Glede na usmeritve, ki jih je izrazila Kneževina Monako v okviru svetovnega foruma OECD, bi bilo treba Protokol o spremembi začasno uporabljati od 1. januarja 2017, dokler se ne zaključijo postopki, potrebni za njegovo sklenitev in začetek veljavnosti – </w:t>
      </w:r>
    </w:p>
    <w:p>
      <w:pPr>
        <w:pStyle w:val="Formuledadoption"/>
        <w:rPr>
          <w:noProof/>
        </w:rPr>
      </w:pPr>
      <w:r>
        <w:rPr>
          <w:noProof/>
        </w:rPr>
        <w:t xml:space="preserve">SPREJEL NASLEDNJI SKLEP: </w:t>
      </w:r>
    </w:p>
    <w:p>
      <w:pPr>
        <w:pStyle w:val="Titrearticle"/>
        <w:rPr>
          <w:noProof/>
        </w:rPr>
      </w:pPr>
      <w:r>
        <w:rPr>
          <w:noProof/>
        </w:rPr>
        <w:t>Člen 1</w:t>
      </w:r>
    </w:p>
    <w:p>
      <w:pPr>
        <w:rPr>
          <w:noProof/>
        </w:rPr>
      </w:pPr>
      <w:r>
        <w:rPr>
          <w:noProof/>
        </w:rPr>
        <w:t>Podpis, v imenu Unije, Protokola o spremembi k Sporazumu med Evropsko skupnostjo in Kneževino Monako o ukrepih, enakovrednih tistim iz Direktive Sveta 2003/48/ES, se odobri s pridržkom sklenitve navedenega protokola o spremembi</w:t>
      </w:r>
      <w:r>
        <w:rPr>
          <w:rStyle w:val="FootnoteReference"/>
          <w:noProof/>
        </w:rPr>
        <w:footnoteReference w:id="2"/>
      </w:r>
      <w:r>
        <w:rPr>
          <w:noProof/>
        </w:rPr>
        <w:t>.</w:t>
      </w:r>
    </w:p>
    <w:p>
      <w:pPr>
        <w:rPr>
          <w:noProof/>
        </w:rPr>
      </w:pPr>
      <w:r>
        <w:rPr>
          <w:noProof/>
        </w:rPr>
        <w:t>Besedilo Protokola o spremembi je priloženo temu sklepu.</w:t>
      </w:r>
    </w:p>
    <w:p>
      <w:pPr>
        <w:pStyle w:val="Titrearticle"/>
        <w:keepNext w:val="0"/>
        <w:rPr>
          <w:noProof/>
        </w:rPr>
      </w:pPr>
      <w:r>
        <w:rPr>
          <w:noProof/>
        </w:rPr>
        <w:t>Člen 2</w:t>
      </w:r>
    </w:p>
    <w:p>
      <w:pPr>
        <w:rPr>
          <w:noProof/>
        </w:rPr>
      </w:pPr>
      <w:r>
        <w:rPr>
          <w:noProof/>
        </w:rPr>
        <w:t>Generalni sekretariat Sveta za podpis navedenega protokola o spremembi, s pridržkom njegove sklenitve, podeli polna pooblastila osebam, ki jih imenuje pogajalec Protokola o spremembi.</w:t>
      </w:r>
    </w:p>
    <w:p>
      <w:pPr>
        <w:pStyle w:val="Titrearticle"/>
        <w:keepNext w:val="0"/>
        <w:rPr>
          <w:noProof/>
        </w:rPr>
      </w:pPr>
      <w:r>
        <w:rPr>
          <w:noProof/>
        </w:rPr>
        <w:t>Člen 3</w:t>
      </w:r>
    </w:p>
    <w:p>
      <w:pPr>
        <w:keepLines/>
        <w:ind w:left="720" w:hanging="720"/>
        <w:rPr>
          <w:noProof/>
        </w:rPr>
      </w:pPr>
      <w:r>
        <w:rPr>
          <w:noProof/>
        </w:rPr>
        <w:t>1.</w:t>
      </w:r>
      <w:r>
        <w:rPr>
          <w:noProof/>
        </w:rPr>
        <w:tab/>
        <w:t xml:space="preserve">Ob upoštevanju vzajemnosti se Protokol o spremembi začasno uporablja od 1. januarja 2017 dokler se ne zaključijo postopki, potrebni za njegovo sklenitev in začetek veljavnosti. </w:t>
      </w:r>
    </w:p>
    <w:p>
      <w:pPr>
        <w:keepLines/>
        <w:ind w:left="720" w:hanging="720"/>
        <w:rPr>
          <w:noProof/>
        </w:rPr>
      </w:pPr>
      <w:r>
        <w:rPr>
          <w:noProof/>
        </w:rPr>
        <w:t xml:space="preserve">2. </w:t>
      </w:r>
      <w:r>
        <w:rPr>
          <w:noProof/>
        </w:rPr>
        <w:tab/>
        <w:t>Predsednik Sveta v imenu Unije uradno obvesti Kneževino Monako o svoji nameri, da se ob upoštevanju vzajemnosti Protokol o spremembi začasno uporablja od 1. januarja 2017.</w:t>
      </w:r>
    </w:p>
    <w:p>
      <w:pPr>
        <w:pStyle w:val="Titrearticle"/>
        <w:rPr>
          <w:noProof/>
        </w:rPr>
      </w:pPr>
      <w:r>
        <w:rPr>
          <w:noProof/>
        </w:rPr>
        <w:t>Člen 4</w:t>
      </w:r>
    </w:p>
    <w:p>
      <w:pPr>
        <w:keepLines/>
        <w:rPr>
          <w:noProof/>
        </w:rPr>
      </w:pPr>
      <w:r>
        <w:rPr>
          <w:noProof/>
        </w:rPr>
        <w:t>Ta sklep začne veljati na dan sprejetja.</w:t>
      </w:r>
    </w:p>
    <w:p>
      <w:pPr>
        <w:pStyle w:val="Fait"/>
        <w:rPr>
          <w:noProof/>
        </w:rPr>
      </w:pPr>
      <w:r>
        <w:rPr>
          <w:noProof/>
        </w:rP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UL L 19, 21.1.2005, str. 55.</w:t>
      </w:r>
    </w:p>
  </w:footnote>
  <w:footnote w:id="2">
    <w:p>
      <w:pPr>
        <w:pStyle w:val="FootnoteText"/>
        <w:rPr>
          <w:lang w:val="fr-BE"/>
        </w:rPr>
      </w:pPr>
      <w:r>
        <w:rPr>
          <w:rStyle w:val="FootnoteReference"/>
        </w:rPr>
        <w:footnoteRef/>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71661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06C10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589FC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28EC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34650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806A6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280256C"/>
    <w:lvl w:ilvl="0">
      <w:start w:val="1"/>
      <w:numFmt w:val="decimal"/>
      <w:pStyle w:val="ListNumber"/>
      <w:lvlText w:val="%1."/>
      <w:lvlJc w:val="left"/>
      <w:pPr>
        <w:tabs>
          <w:tab w:val="num" w:pos="360"/>
        </w:tabs>
        <w:ind w:left="360" w:hanging="360"/>
      </w:pPr>
    </w:lvl>
  </w:abstractNum>
  <w:abstractNum w:abstractNumId="7">
    <w:nsid w:val="FFFFFF89"/>
    <w:multiLevelType w:val="singleLevel"/>
    <w:tmpl w:val="C7C444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2 17:57: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CA5DAD21D61C457ABCF58F1BAA6009B5"/>
    <w:docVar w:name="LW_CROSSREFERENCE" w:val="&lt;UNUSED&gt;"/>
    <w:docVar w:name="LW_DocType" w:val="COM"/>
    <w:docVar w:name="LW_EMISSION" w:val="13.4.2016"/>
    <w:docVar w:name="LW_EMISSION_ISODATE" w:val="2016-04-13"/>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NLE"/>
    <w:docVar w:name="LW_REF.II.NEW.CP_NUMBER" w:val="0108"/>
    <w:docVar w:name="LW_REF.II.NEW.CP_YEAR" w:val="2016"/>
    <w:docVar w:name="LW_REF.INST.NEW" w:val="COM"/>
    <w:docVar w:name="LW_REF.INST.NEW_ADOPTED" w:val="final"/>
    <w:docVar w:name="LW_REF.INST.NEW_TEXT" w:val="(2016) 200"/>
    <w:docVar w:name="LW_REF.INTERNE" w:val="&lt;UNUSED&gt;"/>
    <w:docVar w:name="LW_SOUS.TITRE.OBJ.CP" w:val="&lt;UNUSED&gt;"/>
    <w:docVar w:name="LW_STATUT.CP" w:val="Predlog"/>
    <w:docVar w:name="LW_SUPERTITRE" w:val="&lt;UNUSED&gt;"/>
    <w:docVar w:name="LW_TITRE.OBJ.CP" w:val="o podpisu, v imenu Evropske unije, in za\u269?asni uporabi Protokola o spremembi k Sporazumu med Evropsko skupnostjo in Kne\u382?evino Monako o ukrepih, enakovrednih tistim iz Direktive Sveta 2003/48/ES "/>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01E6-CD6C-4713-8B6C-924DABAE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2042</Words>
  <Characters>11927</Characters>
  <Application>Microsoft Office Word</Application>
  <DocSecurity>0</DocSecurity>
  <Lines>216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2016-02-16T09:34:00Z</cp:lastPrinted>
  <dcterms:created xsi:type="dcterms:W3CDTF">2016-04-12T11:39:00Z</dcterms:created>
  <dcterms:modified xsi:type="dcterms:W3CDTF">2016-04-12T15:57:00Z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