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DBD689E54A24584AAF801A8F3B9EDB5" style="width:450.35pt;height:366.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Text1"/>
        <w:rPr>
          <w:noProof/>
        </w:rPr>
      </w:pPr>
      <w:r>
        <w:rPr>
          <w:noProof/>
        </w:rPr>
        <w:t xml:space="preserve">Till följd av antagandet av rådets direktiv 2003/48/EG (nedan kallat </w:t>
      </w:r>
      <w:r>
        <w:rPr>
          <w:i/>
          <w:noProof/>
        </w:rPr>
        <w:t>direktivet om skatt på sparande</w:t>
      </w:r>
      <w:r>
        <w:rPr>
          <w:noProof/>
        </w:rPr>
        <w:t>) och för att bevara lika konkurrensvillkor för ekonomiska aktörer undertecknade EU avtal med Schweiz, Andorra, Liechtenstein, Monaco och San Marino som föreskriver åtgärder som är likvärdiga med dem som anges i direktivet. Medlemsstaterna har också undertecknat avtal med de beroende territorierna till Förenade kungariket och Nederländerna.</w:t>
      </w:r>
    </w:p>
    <w:p>
      <w:pPr>
        <w:pStyle w:val="Text1"/>
        <w:rPr>
          <w:noProof/>
        </w:rPr>
      </w:pPr>
      <w:r>
        <w:rPr>
          <w:noProof/>
        </w:rPr>
        <w:t xml:space="preserve">På senare tid har vikten av ett automatiskt utbyte av upplysningar som en metod för att bekämpa gränsöverskridande skattebedrägeri och skatteundandragande genom att säkerställa full skattetransparens och ett systematiskt samarbete mellan skatteförvaltningar i hela världen erkänts även på internationell nivå. Organisationen för ekonomiskt samarbete och utveckling (OECD) fick av G20 i uppdrag att utveckla en global standard för automatiskt utbyte av upplysningar om finansiella konton (nedan kallad </w:t>
      </w:r>
      <w:r>
        <w:rPr>
          <w:i/>
          <w:noProof/>
        </w:rPr>
        <w:t>den globala standarden</w:t>
      </w:r>
      <w:r>
        <w:rPr>
          <w:noProof/>
        </w:rPr>
        <w:t>). Denna standard offentliggjordes av OECD-rådet i juli 2014.</w:t>
      </w:r>
    </w:p>
    <w:p>
      <w:pPr>
        <w:pStyle w:val="Text1"/>
        <w:rPr>
          <w:noProof/>
        </w:rPr>
      </w:pPr>
      <w:r>
        <w:rPr>
          <w:noProof/>
        </w:rPr>
        <w:t>Efter antagandet av ett förslag om att uppdatera direktivet om skatt på sparande antog kommissionen den 17 juni 2011 en rekommendation om ett mandat att inleda förhandlingar med Schweiz, Liechtenstein, Andorra, Monaco och San Marino, för att uppgradera EU:s avtal med dessa länder i enlighet med den internationella utvecklingen och för att se till att dessa länder fortsätter att tillämpa åtgärder som är likvärdiga med dem inom EU. Den 14 maj 2013 nådde rådet en överenskommelse om förhandlingsmandatet och kom fram till att förhandlingarna skulle beakta den senaste utvecklingen på global nivå, där det hade nåtts enighet om att främja automatiskt utbyte av upplysningar som internationell norm.</w:t>
      </w:r>
    </w:p>
    <w:p>
      <w:pPr>
        <w:pStyle w:val="Text1"/>
        <w:rPr>
          <w:noProof/>
        </w:rPr>
      </w:pPr>
      <w:r>
        <w:rPr>
          <w:noProof/>
        </w:rPr>
        <w:t>I sitt meddelande av den 6 december 2012 med en handlingsplan för att stärka kampen mot skattebedrägeri och skatteundandragande underströk kommissionen behovet av att arbeta intensivt på att främja automatiskt utbyte av upplysningar som framtida europeisk och internationell norm för insyn och informationsutbyte i skattefrågor.</w:t>
      </w:r>
    </w:p>
    <w:p>
      <w:pPr>
        <w:pStyle w:val="Text1"/>
        <w:rPr>
          <w:noProof/>
        </w:rPr>
      </w:pPr>
      <w:r>
        <w:rPr>
          <w:noProof/>
        </w:rPr>
        <w:t>På grundval av ett förslag som kommissionen lade fram i juni 2013 antog rådet den 9 december 2014 direktiv 2014/107/EU om ändring av direktiv 2011/16/EU, vilket utvidgade det obligatoriska automatiska utbytet av upplysningar mellan skatteförvaltningar i EU till en fullständig uppsättning finansiella poster i enlighet med den globala standarden. Genom detta ändrade direktiv säkerställs en enhetlig, konsekvent och heltäckande unionsstrategi för automatiskt utbyte av upplysningar om finansiella konton på den inre marknaden.</w:t>
      </w:r>
    </w:p>
    <w:p>
      <w:pPr>
        <w:ind w:left="840"/>
        <w:rPr>
          <w:noProof/>
        </w:rPr>
      </w:pPr>
      <w:r>
        <w:rPr>
          <w:noProof/>
        </w:rPr>
        <w:t>Eftersom direktiv 2014/107/EU generellt har ett vidare tillämpningsområde än direktiv 2003/48/EG och, i de fall tillämpningsområdena överlappar varandra, föreskriver att direktiv 2014/107/EU ska ha företräde, antog rådet den 10 november 2015 direktiv (EU) 2015/2060 om upphävande av direktiv 2003/48/EG, på grundval av kommissionens förslag av den 18 mars 2015.</w:t>
      </w:r>
    </w:p>
    <w:p>
      <w:pPr>
        <w:ind w:left="840"/>
        <w:rPr>
          <w:noProof/>
        </w:rPr>
      </w:pPr>
      <w:r>
        <w:rPr>
          <w:noProof/>
        </w:rPr>
        <w:t xml:space="preserve">För att minimera kostnaderna och de administrativa bördorna för både skatteförvaltningar och ekonomiska aktörer, är det av avgörande vikt att säkerställa </w:t>
      </w:r>
      <w:r>
        <w:rPr>
          <w:noProof/>
        </w:rPr>
        <w:lastRenderedPageBreak/>
        <w:t xml:space="preserve">att ändringen av det befintliga avtalet med Monaco om beskattning av inkomster från sparande ligger i linje med utvecklingen inom EU och internationellt. Detta kommer att öka skattetransparensen i Europa och vara den rättsliga grunden för genomförandet av OECD:s globala standard för automatiskt utbyte av upplysningar mellan Monaco och EU. </w:t>
      </w:r>
    </w:p>
    <w:p>
      <w:pPr>
        <w:ind w:left="840"/>
        <w:rPr>
          <w:noProof/>
        </w:rPr>
      </w:pPr>
    </w:p>
    <w:p>
      <w:pPr>
        <w:pStyle w:val="ManualHeading1"/>
        <w:rPr>
          <w:noProof/>
        </w:rPr>
      </w:pPr>
      <w:r>
        <w:rPr>
          <w:noProof/>
        </w:rPr>
        <w:t>2.</w:t>
      </w:r>
      <w:r>
        <w:rPr>
          <w:noProof/>
        </w:rPr>
        <w:tab/>
        <w:t>RÄTTSLIG GRUND, SUBSIDIARITETSPRINCIPEN OCH PROPORTIONALITETSPRINCIPEN</w:t>
      </w:r>
    </w:p>
    <w:p>
      <w:pPr>
        <w:ind w:left="840"/>
        <w:rPr>
          <w:noProof/>
        </w:rPr>
      </w:pPr>
      <w:r>
        <w:rPr>
          <w:noProof/>
        </w:rPr>
        <w:t xml:space="preserve">Den rättsliga grunden för detta förslag är artikel 115 i fördraget om Europeiska unionens funktionssätt, jämförd med artikel 218.5 och 218.8 andra stycket. Den rättsliga grunden i materiellt hänseende utgörs av artikel 115 i EUF-fördraget. </w:t>
      </w:r>
    </w:p>
    <w:p>
      <w:pPr>
        <w:ind w:left="840"/>
        <w:rPr>
          <w:noProof/>
        </w:rPr>
      </w:pPr>
      <w:r>
        <w:rPr>
          <w:noProof/>
        </w:rPr>
        <w:t xml:space="preserve">Genom artikel 1.1 i det ändringsprotokoll som är fogat till detta förslag till rådets beslut ändras titeln på det befintliga avtalet, för att bättre återspegla avtalets innehåll i dess genom ändringsprotokollet ändrade lydelse. </w:t>
      </w:r>
    </w:p>
    <w:p>
      <w:pPr>
        <w:ind w:left="840"/>
        <w:rPr>
          <w:noProof/>
        </w:rPr>
      </w:pPr>
      <w:r>
        <w:rPr>
          <w:noProof/>
        </w:rPr>
        <w:t>Artikel 1.2 i ändringsprotokollet ersätter de befintliga artiklarna och bilagorna med en ny uppsättning bestämmelser som omfattar 10 artiklar, en bilaga I som återspeglar OECD:s gemensamma rapporteringsstandard, som är en del av den globala standarden, en bilaga II som återspeglar viktiga delar av OECD:s kommentarer till den globala standarden, en bilaga III som tar upp de ytterligare dataskyddsbestämmelser som införs i fråga om insamling och utbyte av uppgifter inom ramen för avtalet, samt en bilaga IV som förtecknar Monacos respektive varje medlemsstats behöriga myndigheter. De nya artiklarna återspeglar artiklarna i OECD:s modell för avtal mellan behöriga myndigheter för genomförandet av den globala standarden, med mindre anpassningar för att de ska passa in i den särskilda rättsliga kontexten för ett EU-avtal. Artikel 5 innehåller en fullständig uppsättning bestämmelser om utbyte av upplysningar på begäran, vilken följer den senaste texten till OECD:s modellavtal för skatter. Artikel 6 innehåller detaljerade regler om dataskydd, som också tar hänsyn till att det inte finns något beslut om att Monaco har en adekvat dataskyddsnivå jämfört med EU:s krav. Artikel 7 föreskriver en ytterligare samrådsfas innan en medlemsstat eller Monaco vidtar åtgärder för att avbryta tillämpningen av avtalet. Artikel 8 innehåller bestämmelser om ändringar av avtalet, inbegripet en snabbmekanism för en avtalsslutande parts provisoriska tillämpning av ändringar av den globala standarden, på villkor att den andra parten lämnar sitt medgivande. Artikel 10 definierar det geografiska tillämpningsområdet.</w:t>
      </w:r>
    </w:p>
    <w:p>
      <w:pPr>
        <w:ind w:left="840"/>
        <w:rPr>
          <w:noProof/>
        </w:rPr>
      </w:pPr>
      <w:r>
        <w:rPr>
          <w:noProof/>
        </w:rPr>
        <w:t xml:space="preserve">Bilaga I följer såväl OECD:s gemensamma rapporteringsstandard som bilaga I till direktivet om administrativt samarbete. Bilaga II genomför vissa centrala delar av OECD:s kommentarer till den gemensamma rapporteringsstandarden och motsvarar bilaga II till direktivet om administrativt samarbete. De smärre avvikelserna från bilaga I eller II till direktivet om administrativt samarbete motiveras av de anpassningar av texten till OECD:s gemensamma rapporteringsstandard som begärts av Monacos förhandlare och av det faktum att Monaco, liksom Schweiz och Andorra, på internationell nivå har åtagit sig att genomföra den gemensamma rapporteringsstandarden ett år senare än nästan samtliga medlemsstater (enbart Österrike har medgetts en liknande tidsram, enligt vad som föreskrivs i avsnitt X i </w:t>
      </w:r>
      <w:r>
        <w:rPr>
          <w:noProof/>
        </w:rPr>
        <w:lastRenderedPageBreak/>
        <w:t>bilaga I till direktivet). Utöver frågorna om tillämpningsdagar är skillnaderna följande:</w:t>
      </w:r>
    </w:p>
    <w:p>
      <w:pPr>
        <w:ind w:left="840"/>
        <w:rPr>
          <w:noProof/>
        </w:rPr>
      </w:pPr>
      <w:r>
        <w:rPr>
          <w:noProof/>
        </w:rPr>
        <w:t>1. I avsnitt I.E anpassas rapporteringen av födelseort till den gemensamma rapporteringsstandarden.</w:t>
      </w:r>
    </w:p>
    <w:p>
      <w:pPr>
        <w:ind w:left="840"/>
        <w:rPr>
          <w:noProof/>
        </w:rPr>
      </w:pPr>
      <w:r>
        <w:rPr>
          <w:noProof/>
        </w:rPr>
        <w:t xml:space="preserve">2. Vissa relevanta valmöjligheter som anges i OECD:s kommentarer till den gemensamma rapporteringsstandarden och i direktivet om administrativt samarbete har lämnats till varje medlemsstats och Monacos eget gottfinnande och ingår inte direkt i avtalet. I stället anges en skyldighet för medlemsstaterna och Monaco att underrätta varandra och kommissionen om huruvida de utövar en viss valmöjlighet. </w:t>
      </w:r>
    </w:p>
    <w:p>
      <w:pPr>
        <w:ind w:left="840"/>
        <w:rPr>
          <w:noProof/>
        </w:rPr>
      </w:pPr>
      <w:r>
        <w:rPr>
          <w:noProof/>
        </w:rPr>
        <w:t>3. Definitionerna av ”internationell organisation” och ”centralbank” i avsnitt VIII.B.3 och VIII.B.4 har anpassats till den gemensamma rapporteringsstandarden, så att de kan tillämpas även i samband med undantaget från genomlysning för passiva icke-finansiella enheter i avsnitt VIII.D.9 c.</w:t>
      </w:r>
    </w:p>
    <w:p>
      <w:pPr>
        <w:ind w:left="840"/>
        <w:rPr>
          <w:noProof/>
        </w:rPr>
      </w:pPr>
      <w:r>
        <w:rPr>
          <w:noProof/>
        </w:rPr>
        <w:t>4. I bilaga II har definitionen av ”ett finansiellt instituts hemvist” anpassats till OECD:s kommentarer till den gemensamma rapporteringsstandarden, så att den omfattar fall där ett annat finansiellt instituts hemvist behöver fastställas, t.ex. för genomlysning för passiva icke-finansiella enheter.</w:t>
      </w:r>
    </w:p>
    <w:p>
      <w:pPr>
        <w:ind w:left="840"/>
        <w:rPr>
          <w:noProof/>
        </w:rPr>
      </w:pPr>
      <w:r>
        <w:rPr>
          <w:noProof/>
        </w:rPr>
        <w:t xml:space="preserve">Bilaga III infördes för att komplettera bestämmelserna i artikel 6 med ytterligare bestämmelser om dataskydd, i avsaknad av ett beslut om att Monaco har en adekvat dataskyddsnivå jämfört med EU:s krav. </w:t>
      </w:r>
    </w:p>
    <w:p>
      <w:pPr>
        <w:ind w:left="840"/>
        <w:rPr>
          <w:noProof/>
        </w:rPr>
      </w:pPr>
      <w:r>
        <w:rPr>
          <w:noProof/>
        </w:rPr>
        <w:t>Artikel 2 i ändringsprotokollet innehåller bestämmelser om ikraftträdande och tillämpning av det ändrade avtalet. Parterna är överens om att Monaco anses iaktta sina internationella åtaganden avseende tidsplanen för det automatiska utbytet av upplysningar inom ramen för den globala standarden, eftersom dessa åtaganden har framförts till det globala forumet och de första utbytena kommer att ske 2018 i fråga om upplysningar som samlats in 2017. Med tanke på svårigheten att säkerställa att förfarandet för det formella ikraftträdandet enligt artikel 2.1 och 2.2 i ändringsprotokollet inrättas i tid för att dessa åtaganden ska kunna iakttas har parterna i artikel 2.3 kommit överens om att ändringsprotokollet ska tillämpas provisoriskt från och med den 1 januari 2017, under förutsättning att varje part anmäler att deras respektive interna förfaranden som krävs för denna provisoriska tillämpning har avslutats; för EU:s del föreskrivs dessa förfaranden i artikel 218.5 i EUF-fördraget. Den följande punkten i artikel 2 i ändringsprotokollet behandlar frågor som rör övergången från det befintliga avtalet till det ändrade avtalet, med avseende på begäran om upplysningar, tillgängliga avräkningar på källskatt för faktiska betalningsmottagare, slutbetalning av källskatt av Monaco till medlemsstaterna och slutligt utbyte av upplysningar enligt mekanismen för frivilligt utlämnande av uppgifter.</w:t>
      </w:r>
    </w:p>
    <w:p>
      <w:pPr>
        <w:ind w:left="840"/>
        <w:rPr>
          <w:noProof/>
        </w:rPr>
      </w:pPr>
      <w:r>
        <w:rPr>
          <w:noProof/>
        </w:rPr>
        <w:t>Artikel 3 innehåller ett protokoll om ytterligare skyddsåtgärder rörande utbyte av upplysningar på begäran. I texten anges att inget hindrar utbyten på grundval av en gruppbegäran. Detta protokoll om ytterligare skyddsåtgärder är i linje med det globala forumets principer för kontroll av att reglerna om utbyte av upplysningar på begäran är ändamålsenliga.</w:t>
      </w:r>
    </w:p>
    <w:p>
      <w:pPr>
        <w:ind w:left="840"/>
        <w:rPr>
          <w:noProof/>
        </w:rPr>
      </w:pPr>
      <w:r>
        <w:rPr>
          <w:noProof/>
        </w:rPr>
        <w:t>Artikel 4 förtecknar de språk på vilka ändringsprotokollet undertecknas.</w:t>
      </w:r>
    </w:p>
    <w:p>
      <w:pPr>
        <w:ind w:left="840"/>
        <w:rPr>
          <w:noProof/>
        </w:rPr>
      </w:pPr>
      <w:r>
        <w:rPr>
          <w:noProof/>
        </w:rPr>
        <w:lastRenderedPageBreak/>
        <w:t>Det reviderade avtalet kompletteras med fyra gemensamma förklaringar från de avtalsslutande parterna.</w:t>
      </w:r>
    </w:p>
    <w:p>
      <w:pPr>
        <w:ind w:left="840"/>
        <w:rPr>
          <w:noProof/>
        </w:rPr>
      </w:pPr>
      <w:r>
        <w:rPr>
          <w:noProof/>
        </w:rPr>
        <w:t>I den första förklaringen bekräftas att bestämmelserna i direktiv 2014/107/EU om ändring av direktiv 2011/16/EU, det reviderade avtalet mellan unionen och Monaco och de fyra andra reviderade avtal som unionen redan undertecknat med Schweiz, Liechtenstein, San Marino och Andorra är förenliga med den globala standarden.</w:t>
      </w:r>
    </w:p>
    <w:p>
      <w:pPr>
        <w:ind w:left="840"/>
        <w:rPr>
          <w:noProof/>
        </w:rPr>
      </w:pPr>
      <w:r>
        <w:rPr>
          <w:noProof/>
        </w:rPr>
        <w:t xml:space="preserve">Den andra och den tredje gemensamma förklaringen upprättar en koppling till kommentarerna till den globala standarden respektive till artikel 26 i OECD:s modellavtal för skatter på inkomst och förmögenhet. </w:t>
      </w:r>
    </w:p>
    <w:p>
      <w:pPr>
        <w:ind w:left="840"/>
        <w:rPr>
          <w:noProof/>
        </w:rPr>
      </w:pPr>
      <w:r>
        <w:rPr>
          <w:noProof/>
        </w:rPr>
        <w:t>Den fjärde förklaringen rör de praktiska aspekterna av den tillämpning som föreskrivs i artikel 2.3 i ändringsprotokollet.</w:t>
      </w:r>
    </w:p>
    <w:p>
      <w:pPr>
        <w:ind w:left="840"/>
        <w:rPr>
          <w:noProof/>
        </w:rPr>
      </w:pPr>
      <w:r>
        <w:rPr>
          <w:noProof/>
        </w:rPr>
        <w:t>Förslaget går inte utöver vad som är nödvändigt eller lämpligt för att nå det eftersträvade målet.</w:t>
      </w:r>
    </w:p>
    <w:p>
      <w:pPr>
        <w:pStyle w:val="ManualHeading1"/>
        <w:rPr>
          <w:noProof/>
        </w:rPr>
      </w:pPr>
      <w:r>
        <w:rPr>
          <w:noProof/>
        </w:rPr>
        <w:t>3.</w:t>
      </w:r>
      <w:r>
        <w:rPr>
          <w:noProof/>
        </w:rPr>
        <w:tab/>
        <w:t>RESULTAT AV EFTERHANDSUTVÄRDERINGAR, SAMRÅD MED BERÖRDA PARTER OCH KONSEKVENSBEDÖMNINGAR</w:t>
      </w:r>
    </w:p>
    <w:p>
      <w:pPr>
        <w:ind w:left="840"/>
        <w:rPr>
          <w:noProof/>
        </w:rPr>
      </w:pPr>
      <w:r>
        <w:rPr>
          <w:noProof/>
        </w:rPr>
        <w:t>Genom ändringsprotokollet genomförs den globala standarden mellan EU:s medlemsstater och Monaco. Samråd med de olika berörda parterna har redan hållits vid olika tillfällen under utarbetandet av OECD:s globala standard.</w:t>
      </w:r>
    </w:p>
    <w:p>
      <w:pPr>
        <w:ind w:left="840"/>
        <w:rPr>
          <w:noProof/>
        </w:rPr>
      </w:pPr>
      <w:r>
        <w:rPr>
          <w:noProof/>
        </w:rPr>
        <w:t xml:space="preserve">EU:s medlemsstater har också konsulterats och informerats under förhandlingarna mellan kommissionen och Monaco. Kommissionen rapporterade till Europeiska rådet vid dess möten i mars och december 2014 om läget i förhandlingarna med Monaco. </w:t>
      </w:r>
    </w:p>
    <w:p>
      <w:pPr>
        <w:ind w:left="840"/>
        <w:rPr>
          <w:noProof/>
        </w:rPr>
      </w:pPr>
      <w:r>
        <w:rPr>
          <w:noProof/>
        </w:rPr>
        <w:t>Europeiska datatillsynsmannen konsulterades under förhandlingarna med San Marino och gav värdefulla råd, särskilt om det närmare innehållet i artikel 6 i och bilaga III till avtalet, i dess ändrade lydelse enligt ändringsprotokollet. Dessa råd beaktades även vid utarbetandet av motsvarande delar i det reviderade avtalet med Monaco.</w:t>
      </w:r>
    </w:p>
    <w:p>
      <w:pPr>
        <w:ind w:left="840"/>
        <w:rPr>
          <w:noProof/>
        </w:rPr>
      </w:pPr>
      <w:r>
        <w:rPr>
          <w:noProof/>
        </w:rPr>
        <w:t>Kommissionen rådgjorde också med den nya expertgrupp för automatiskt utbyte av upplysningar om finansiella konton som ger råd i syfte att säkerställa att EU-lagstiftningen om automatiskt utbyte av upplysningar på området för direkt beskattning anpassas ändamålsenligt till och är fullständigt förenlig med OECD:s globala standard. Expertgruppen består av företrädare från organisationer som företräder den finansiella sektorn och organisationer som bekämpar skattebedrägeri och skatteundandragande.</w:t>
      </w:r>
    </w:p>
    <w:p>
      <w:pPr>
        <w:pStyle w:val="ManualHeading1"/>
        <w:rPr>
          <w:noProof/>
        </w:rPr>
      </w:pPr>
      <w:r>
        <w:rPr>
          <w:noProof/>
        </w:rPr>
        <w:t>4.</w:t>
      </w:r>
      <w:r>
        <w:rPr>
          <w:noProof/>
        </w:rPr>
        <w:tab/>
        <w:t>BUDGETKONSEKVENSER</w:t>
      </w:r>
    </w:p>
    <w:p>
      <w:pPr>
        <w:ind w:left="840"/>
        <w:rPr>
          <w:noProof/>
        </w:rPr>
      </w:pPr>
      <w:r>
        <w:rPr>
          <w:noProof/>
        </w:rPr>
        <w:t>Förslaget påverkar inte budgeten.</w:t>
      </w:r>
    </w:p>
    <w:p>
      <w:pPr>
        <w:pStyle w:val="ManualHeading1"/>
        <w:rPr>
          <w:noProof/>
        </w:rPr>
      </w:pPr>
      <w:r>
        <w:rPr>
          <w:noProof/>
        </w:rPr>
        <w:t>5.</w:t>
      </w:r>
      <w:r>
        <w:rPr>
          <w:noProof/>
        </w:rPr>
        <w:tab/>
        <w:t>ÖVRIGA INSLAG</w:t>
      </w:r>
    </w:p>
    <w:p>
      <w:pPr>
        <w:ind w:left="840"/>
        <w:rPr>
          <w:noProof/>
        </w:rPr>
      </w:pPr>
      <w:r>
        <w:rPr>
          <w:noProof/>
        </w:rPr>
        <w:t>Inga.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2016/0108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 xml:space="preserve">om undertecknande på Europeiska unionens vägnar och provisorisk tillämpning av ändringsprotokollet till avtalet mellan Europeiska gemenskapen och Furstendömet Monaco om åtgärder likvärdiga med dem som föreskrivs i rådets direktiv 2003/48/EG </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115 jämförd med artikel 218.5 och 218.8 andra stycket,</w:t>
      </w:r>
    </w:p>
    <w:p>
      <w:pPr>
        <w:rPr>
          <w:noProof/>
        </w:rPr>
      </w:pPr>
      <w:r>
        <w:rPr>
          <w:noProof/>
        </w:rPr>
        <w:t>med beaktande av Europeiska kommissionens förslag, och</w:t>
      </w:r>
    </w:p>
    <w:p>
      <w:pPr>
        <w:rPr>
          <w:noProof/>
        </w:rPr>
      </w:pPr>
      <w:r>
        <w:rPr>
          <w:noProof/>
        </w:rPr>
        <w:t>av följande skäl:</w:t>
      </w:r>
    </w:p>
    <w:p>
      <w:pPr>
        <w:pStyle w:val="ManualConsidrant"/>
        <w:rPr>
          <w:noProof/>
        </w:rPr>
      </w:pPr>
      <w:r>
        <w:rPr>
          <w:noProof/>
        </w:rPr>
        <w:t>(1)</w:t>
      </w:r>
      <w:r>
        <w:rPr>
          <w:noProof/>
        </w:rPr>
        <w:tab/>
        <w:t>Den 14 maj 2013 bemyndigade rådet kommissionen att inleda förhandlingar med Furstendömet Monaco om att ändra avtalet mellan Europeiska gemenskapen och Furstendömet Monaco om åtgärder likvärdiga med dem som föreskrivs i rådets direktiv 2003/48/EG</w:t>
      </w:r>
      <w:r>
        <w:rPr>
          <w:rStyle w:val="FootnoteReference"/>
          <w:noProof/>
        </w:rPr>
        <w:footnoteReference w:id="1"/>
      </w:r>
      <w:r>
        <w:rPr>
          <w:noProof/>
        </w:rPr>
        <w:t xml:space="preserve"> (nedan kallat </w:t>
      </w:r>
      <w:r>
        <w:rPr>
          <w:i/>
          <w:noProof/>
        </w:rPr>
        <w:t>avtalet</w:t>
      </w:r>
      <w:r>
        <w:rPr>
          <w:noProof/>
        </w:rPr>
        <w:t>), för att anpassa avtalet till den senaste utvecklingen på global nivå där det nåtts enighet om att främja automatiskt utbyte av upplysningar som internationell norm.</w:t>
      </w:r>
    </w:p>
    <w:p>
      <w:pPr>
        <w:pStyle w:val="ManualConsidrant"/>
        <w:rPr>
          <w:noProof/>
        </w:rPr>
      </w:pPr>
      <w:r>
        <w:rPr>
          <w:noProof/>
        </w:rPr>
        <w:t>(2)</w:t>
      </w:r>
      <w:r>
        <w:rPr>
          <w:noProof/>
        </w:rPr>
        <w:tab/>
        <w:t xml:space="preserve">Den text till ändringsprotokoll till avtalet (nedan kallat </w:t>
      </w:r>
      <w:r>
        <w:rPr>
          <w:i/>
          <w:noProof/>
        </w:rPr>
        <w:t>ändringsprotokollet</w:t>
      </w:r>
      <w:r>
        <w:rPr>
          <w:noProof/>
        </w:rPr>
        <w:t>) som förhandlingarna ledde till återspeglar de förhandlingsdirektiv som utfärdats av rådet, i det att den anpassar avtalet till den senaste utvecklingen på internationell nivå i fråga om automatiskt utbyte av upplysningar, nämligen den globala standard för automatiskt utbyte av upplysningar om finansiella konton på området för beskattning som utarbetats av Organisationen för ekonomiskt samarbete och utveckling (OECD). Unionen, dess medlemsstater och Furstendömet Monaco har deltagit aktivt i arbetet i OECD:s globala forum för att stödja utarbetandet och genomförandet av denna standard. Texten till avtalet, i dess lydelse enligt ändringsprotokollet, är den rättsliga grunden för att genomföra den globala standarden i förbindelserna mellan unionen och Furstendömet Monaco.</w:t>
      </w:r>
    </w:p>
    <w:p>
      <w:pPr>
        <w:pStyle w:val="ManualConsidrant"/>
        <w:rPr>
          <w:noProof/>
        </w:rPr>
      </w:pPr>
      <w:r>
        <w:rPr>
          <w:noProof/>
        </w:rPr>
        <w:t>(3)</w:t>
      </w:r>
      <w:r>
        <w:rPr>
          <w:noProof/>
        </w:rPr>
        <w:tab/>
        <w:t>Ändringsprotokollet bör undertecknas på Europeiska unionens vägnar.</w:t>
      </w:r>
    </w:p>
    <w:p>
      <w:pPr>
        <w:pStyle w:val="ManualConsidrant"/>
        <w:rPr>
          <w:noProof/>
        </w:rPr>
      </w:pPr>
      <w:r>
        <w:rPr>
          <w:noProof/>
        </w:rPr>
        <w:t>(4)</w:t>
      </w:r>
      <w:r>
        <w:rPr>
          <w:noProof/>
        </w:rPr>
        <w:tab/>
        <w:t>Mot bakgrund av de ståndpunkter som uttryckts av Furstendömet Monaco inom ramen för OECD:s globala forum bör ändringsprotokollet tillämpas provisoriskt från och med den 1 januari 2017, i avvaktan på att de förfaranden som krävs för dess ingående och ikraftträdande avslutas.</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Undertecknandet på unionens vägnar av ändringsprotokollet till avtalet mellan Europeiska gemenskapen och Furstendömet Monaco om åtgärder likvärdiga med dem som föreskrivs i rådets direktiv 2003/48/EG bemyndigas härmed, med förbehåll för att ändringsprotokollet</w:t>
      </w:r>
      <w:r>
        <w:rPr>
          <w:rStyle w:val="FootnoteReference"/>
          <w:noProof/>
        </w:rPr>
        <w:footnoteReference w:id="2"/>
      </w:r>
      <w:r>
        <w:rPr>
          <w:noProof/>
        </w:rPr>
        <w:t xml:space="preserve"> ingås.</w:t>
      </w:r>
    </w:p>
    <w:p>
      <w:pPr>
        <w:rPr>
          <w:noProof/>
        </w:rPr>
      </w:pPr>
      <w:r>
        <w:rPr>
          <w:noProof/>
        </w:rPr>
        <w:t>Texten till ändringsprotokollet åtföljer detta beslut.</w:t>
      </w:r>
    </w:p>
    <w:p>
      <w:pPr>
        <w:pStyle w:val="Titrearticle"/>
        <w:keepNext w:val="0"/>
        <w:rPr>
          <w:noProof/>
        </w:rPr>
      </w:pPr>
      <w:r>
        <w:rPr>
          <w:noProof/>
        </w:rPr>
        <w:t>Artikel 2</w:t>
      </w:r>
    </w:p>
    <w:p>
      <w:pPr>
        <w:rPr>
          <w:noProof/>
        </w:rPr>
      </w:pPr>
      <w:r>
        <w:rPr>
          <w:noProof/>
        </w:rPr>
        <w:t>Rådets generalsekretariat ska utfärda det instrument som ger den eller de personer som anges av ändringsprotokollets förhandlare full befogenhet att underteckna ändringsprotokollet, med förbehåll för att det ingås.</w:t>
      </w:r>
    </w:p>
    <w:p>
      <w:pPr>
        <w:pStyle w:val="Titrearticle"/>
        <w:keepNext w:val="0"/>
        <w:rPr>
          <w:noProof/>
        </w:rPr>
      </w:pPr>
      <w:r>
        <w:rPr>
          <w:noProof/>
        </w:rPr>
        <w:t>Artikel 3</w:t>
      </w:r>
    </w:p>
    <w:p>
      <w:pPr>
        <w:keepLines/>
        <w:ind w:left="720" w:hanging="720"/>
        <w:rPr>
          <w:noProof/>
        </w:rPr>
      </w:pPr>
      <w:r>
        <w:rPr>
          <w:noProof/>
        </w:rPr>
        <w:t>1.</w:t>
      </w:r>
      <w:r>
        <w:rPr>
          <w:noProof/>
        </w:rPr>
        <w:tab/>
        <w:t xml:space="preserve">Ändringsprotokollet ska tillämpas provisoriskt från och med den 1 januari 2017 i avvaktan på att de förfaranden som är nödvändiga för dess ingående och ikraftträdande avslutas, med förbehåll för att det tillämpas ömsesidigt. </w:t>
      </w:r>
    </w:p>
    <w:p>
      <w:pPr>
        <w:keepLines/>
        <w:ind w:left="720" w:hanging="720"/>
        <w:rPr>
          <w:noProof/>
        </w:rPr>
      </w:pPr>
      <w:r>
        <w:rPr>
          <w:noProof/>
        </w:rPr>
        <w:t xml:space="preserve">2. </w:t>
      </w:r>
      <w:r>
        <w:rPr>
          <w:noProof/>
        </w:rPr>
        <w:tab/>
        <w:t>Rådets ordförande ska på unionens vägnar till Furstendömet Monaco anmäla sin avsikt att tillämpa ändringsprotokollet provisoriskt, med förbehåll för att det tillämpas ömsesidigt, från och med den 1 januari 2017.</w:t>
      </w:r>
    </w:p>
    <w:p>
      <w:pPr>
        <w:pStyle w:val="Titrearticle"/>
        <w:rPr>
          <w:noProof/>
        </w:rPr>
      </w:pPr>
      <w:r>
        <w:rPr>
          <w:noProof/>
        </w:rPr>
        <w:t>Artikel 4</w:t>
      </w:r>
    </w:p>
    <w:p>
      <w:pPr>
        <w:keepLines/>
        <w:rPr>
          <w:noProof/>
        </w:rPr>
      </w:pPr>
      <w:r>
        <w:rPr>
          <w:noProof/>
        </w:rPr>
        <w:t>Detta beslut träder i kraft samma dag som det antas.</w:t>
      </w:r>
    </w:p>
    <w:p>
      <w:pPr>
        <w:pStyle w:val="Fait"/>
        <w:rPr>
          <w:noProof/>
        </w:rPr>
      </w:pPr>
      <w:r>
        <w:rPr>
          <w:noProof/>
        </w:rP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EUT L 19, 21.1.2005, s. 55.</w:t>
      </w:r>
    </w:p>
  </w:footnote>
  <w:footnote w:id="2">
    <w:p>
      <w:pPr>
        <w:pStyle w:val="FootnoteText"/>
        <w:rPr>
          <w:lang w:val="fr-BE"/>
        </w:rPr>
      </w:pPr>
      <w:r>
        <w:rPr>
          <w:rStyle w:val="FootnoteReference"/>
        </w:rP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1661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06C10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589F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28EC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4650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06A6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80256C"/>
    <w:lvl w:ilvl="0">
      <w:start w:val="1"/>
      <w:numFmt w:val="decimal"/>
      <w:pStyle w:val="ListNumber"/>
      <w:lvlText w:val="%1."/>
      <w:lvlJc w:val="left"/>
      <w:pPr>
        <w:tabs>
          <w:tab w:val="num" w:pos="360"/>
        </w:tabs>
        <w:ind w:left="360" w:hanging="360"/>
      </w:pPr>
    </w:lvl>
  </w:abstractNum>
  <w:abstractNum w:abstractNumId="7">
    <w:nsid w:val="FFFFFF89"/>
    <w:multiLevelType w:val="singleLevel"/>
    <w:tmpl w:val="C7C444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52"/>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2 13:03: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BDBD689E54A24584AAF801A8F3B9EDB5"/>
    <w:docVar w:name="LW_CROSSREFERENCE" w:val="&lt;UNUSED&gt;"/>
    <w:docVar w:name="LW_DocType" w:val="COM"/>
    <w:docVar w:name="LW_EMISSION" w:val="13.4.2016"/>
    <w:docVar w:name="LW_EMISSION_ISODATE" w:val="2016-04-13"/>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NLE"/>
    <w:docVar w:name="LW_REF.II.NEW.CP_NUMBER" w:val="0108"/>
    <w:docVar w:name="LW_REF.II.NEW.CP_YEAR" w:val="2016"/>
    <w:docVar w:name="LW_REF.INST.NEW" w:val="COM"/>
    <w:docVar w:name="LW_REF.INST.NEW_ADOPTED" w:val="final"/>
    <w:docVar w:name="LW_REF.INST.NEW_TEXT" w:val="(2016) 200"/>
    <w:docVar w:name="LW_REF.INTERNE" w:val="&lt;UNUSED&gt;"/>
    <w:docVar w:name="LW_SOUS.TITRE.OBJ.CP" w:val="&lt;UNUSED&gt;"/>
    <w:docVar w:name="LW_STATUT.CP" w:val="Förslag till"/>
    <w:docVar w:name="LW_SUPERTITRE" w:val="&lt;UNUSED&gt;"/>
    <w:docVar w:name="LW_TITRE.OBJ.CP" w:val="om undertecknande på Europeiska unionens vägnar och provisorisk tillämpning av ändringsprotokollet till avtalet mellan Europeiska gemenskapen och Furstendömet Monaco om åtgärder likvärdiga med dem som föreskrivs i rådets direktiv 2003/48/EG "/>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3091-9555-413A-A9AD-D79D89F6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2118</Words>
  <Characters>13202</Characters>
  <Application>Microsoft Office Word</Application>
  <DocSecurity>0</DocSecurity>
  <Lines>227</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2016-04-07T11:53:00Z</cp:lastPrinted>
  <dcterms:created xsi:type="dcterms:W3CDTF">2016-04-07T14:06:00Z</dcterms:created>
  <dcterms:modified xsi:type="dcterms:W3CDTF">2016-04-12T11:03:00Z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