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B7D0A4E712584A51A528A5195875EB12" style="width:449.55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ΣΥΝΗΜΜΕΝΟ</w:t>
      </w:r>
    </w:p>
    <w:p>
      <w:pPr>
        <w:spacing w:after="240"/>
        <w:jc w:val="center"/>
        <w:rPr>
          <w:b/>
          <w:caps/>
          <w:noProof/>
        </w:rPr>
      </w:pPr>
      <w:r>
        <w:rPr>
          <w:b/>
          <w:caps/>
          <w:noProof/>
        </w:rPr>
        <w:t>ΣΧΕΔΙΟ</w:t>
      </w:r>
    </w:p>
    <w:p>
      <w:pPr>
        <w:jc w:val="center"/>
        <w:rPr>
          <w:b/>
          <w:caps/>
          <w:noProof/>
        </w:rPr>
      </w:pPr>
      <w:r>
        <w:rPr>
          <w:b/>
          <w:caps/>
          <w:noProof/>
        </w:rPr>
        <w:t>ΑπΟφαση αριθ. 1/2016 της ΥΠΟΕΠΙΤΡΟΠΗΣ ΥΓΕΙΟΝΟΜΙΚΗΣ ΚΑΙ ΦΥΤΟΫΓΕΙΟΝΟΜΙΚΗΣ ΠΡΟΣΤΑΣΙΑΣ ΕΕ - Δημοκρατίας της Μολδαβίας</w:t>
      </w:r>
    </w:p>
    <w:p>
      <w:pPr>
        <w:jc w:val="center"/>
        <w:rPr>
          <w:b/>
          <w:noProof/>
        </w:rPr>
      </w:pPr>
      <w:r>
        <w:rPr>
          <w:b/>
          <w:noProof/>
        </w:rPr>
        <w:t>της... 2016</w:t>
      </w:r>
    </w:p>
    <w:p>
      <w:pPr>
        <w:spacing w:after="240"/>
        <w:jc w:val="center"/>
        <w:rPr>
          <w:b/>
          <w:noProof/>
          <w:szCs w:val="24"/>
        </w:rPr>
      </w:pPr>
      <w:r>
        <w:rPr>
          <w:b/>
          <w:noProof/>
          <w:szCs w:val="24"/>
        </w:rPr>
        <w:t>για την τροποποίηση του παραρτήματος XXIV-Β της συμφωνίας σύνδεσης</w:t>
      </w:r>
    </w:p>
    <w:p>
      <w:pPr>
        <w:spacing w:line="276" w:lineRule="auto"/>
        <w:rPr>
          <w:noProof/>
        </w:rPr>
      </w:pPr>
      <w:r>
        <w:rPr>
          <w:noProof/>
        </w:rPr>
        <w:t>Η ΥΠΟΕΠΙΤΡΟΠΗ ΥΓΕΙΟΝΟΜΙΚΗΣ ΚΑΙ ΦΥΤΟΫΓΕΙΟΝΟΜΙΚΗΣ ΠΡΟΣΤΑΣΙΑΣ,</w:t>
      </w:r>
    </w:p>
    <w:p>
      <w:pPr>
        <w:rPr>
          <w:noProof/>
          <w:szCs w:val="20"/>
        </w:rPr>
      </w:pPr>
      <w:r>
        <w:rPr>
          <w:noProof/>
        </w:rPr>
        <w:t>Έχοντας υπόψη τη συμφωνία σύνδεσης μεταξύ της Ευρωπαϊκής Ένωσης και της Ευρωπαϊκής Κοινότητας Ατομικής Ενέργειας και των κρατών μελών τους, αφενός, και της Δημοκρατίας της Μολδαβίας, αφετέρου, που υπογράφηκε στις Βρυξέλλες στις 27 Ιουνίου 2014, και ιδίως το άρθρο 181 και το άρθρο 191,</w:t>
      </w:r>
    </w:p>
    <w:p>
      <w:pPr>
        <w:rPr>
          <w:noProof/>
        </w:rPr>
      </w:pPr>
      <w:r>
        <w:rPr>
          <w:noProof/>
        </w:rPr>
        <w:t>Εκτιμώντας τα ακόλουθα:</w:t>
      </w:r>
    </w:p>
    <w:p>
      <w:pPr>
        <w:pStyle w:val="ManualNumPar1"/>
        <w:rPr>
          <w:noProof/>
        </w:rPr>
      </w:pPr>
      <w:r>
        <w:rPr>
          <w:noProof/>
        </w:rPr>
        <w:t>(1)</w:t>
      </w:r>
      <w:r>
        <w:rPr>
          <w:noProof/>
        </w:rPr>
        <w:tab/>
        <w:t>Σύμφωνα με το άρθρο 464 της συμφωνίας σύνδεσης μεταξύ της Ευρωπαϊκής Ένωσης και της Ευρωπαϊκής Κοινότητας Ατομικής Ενέργειας και των κρατών μελών τους, αφενός, και της Δημοκρατίας της Μολδαβίας, αφετέρου («η συμφωνία»), ορισμένα μέρη της συμφωνίας, συμπεριλαμβανομένων των διατάξεων για τα υγειονομικά και φυτοϋγειονομικά μέτρα, εφαρμόζονται προσωρινά από την 1η Σεπτεμβρίου 2014.</w:t>
      </w:r>
    </w:p>
    <w:p>
      <w:pPr>
        <w:pStyle w:val="ManualNumPar1"/>
        <w:rPr>
          <w:noProof/>
        </w:rPr>
      </w:pPr>
      <w:r>
        <w:rPr>
          <w:noProof/>
        </w:rPr>
        <w:t>(2)</w:t>
      </w:r>
      <w:r>
        <w:rPr>
          <w:noProof/>
        </w:rPr>
        <w:tab/>
        <w:t>Το άρθρο 181 παράγραφος 1 της συμφωνίας προβλέπει ότι η Δημοκρατία της Μολδαβίας εναρμονίζει σταδιακά τη νομοθεσία της για υγειονομικά και φυτοϋγειονομικά θέματα και για την καλή μεταχείριση των ζώων με εκείνη της Ένωσης όπως καθορίζεται στο παράρτημα XXIV της εν λόγω συμφωνίας.</w:t>
      </w:r>
    </w:p>
    <w:p>
      <w:pPr>
        <w:pStyle w:val="ManualNumPar1"/>
        <w:rPr>
          <w:noProof/>
        </w:rPr>
      </w:pPr>
      <w:r>
        <w:rPr>
          <w:noProof/>
        </w:rPr>
        <w:t>(3)</w:t>
      </w:r>
      <w:r>
        <w:rPr>
          <w:noProof/>
        </w:rPr>
        <w:tab/>
        <w:t>Το άρθρο 181 παράγραφος 4 της συμφωνίας υποχρεώνει τη Δημοκρατία της Μολδαβίας να υποβάλει κατάλογο του κεκτημένου της Ένωσης για υγειονομικά και φυτοϋγειονομικά θέματα και για την καλή μεταχείριση των ζώων με το οποίο πρόκειται να εναρμονίσει την εθνική της νομοθεσία, το αργότερο τρεις μήνες μετά την έναρξη ισχύος της συμφωνίας. Ο εν λόγω κατάλογος προορίζεται να χρησιμεύσει ως έγγραφο αναφοράς για την εφαρμογή του κεφαλαίου 4 του τίτλου V (Εμπόριο και συναφή με το εμπόριο θέματα) της συμφωνίας.</w:t>
      </w:r>
    </w:p>
    <w:p>
      <w:pPr>
        <w:pStyle w:val="ManualNumPar1"/>
        <w:rPr>
          <w:noProof/>
        </w:rPr>
      </w:pPr>
      <w:r>
        <w:rPr>
          <w:noProof/>
        </w:rPr>
        <w:t>(4)</w:t>
      </w:r>
      <w:r>
        <w:rPr>
          <w:noProof/>
        </w:rPr>
        <w:tab/>
        <w:t>Το άρθρο 191 της συμφωνίας θέσπισε την υποεπιτροπή υγειονομικής και φυτοϋγειονομικής προστασίας, η οποία εξετάζει κάθε θέμα σχετικά με το κεφάλαιο 4 του τίτλου V (Εμπόριο και συναφή με το εμπόριο θέματα), συμπεριλαμβανομένης της εφαρμογής του, και δύναται να επανεξετάζει και να τροποποιεί το παράρτημα XXIV της συμφωνίας.</w:t>
      </w:r>
    </w:p>
    <w:p>
      <w:pPr>
        <w:pStyle w:val="ManualNumPar1"/>
        <w:rPr>
          <w:i/>
          <w:noProof/>
        </w:rPr>
      </w:pPr>
      <w:r>
        <w:rPr>
          <w:noProof/>
        </w:rPr>
        <w:t>(5)</w:t>
      </w:r>
      <w:r>
        <w:rPr>
          <w:noProof/>
        </w:rPr>
        <w:tab/>
        <w:t>Η Δημοκρατία της Μολδαβίας υπέβαλε τον προαναφερόμενο κατάλογο του κεκτημένου της Ένωσης στην Ευρωπαϊκή Επιτροπή τον Νοέμβριο του 2014, ο οποίος, στη συνέχεια, κατόπιν διαβουλεύσεων με την Ευρωπαϊκή Επιτροπή, οριστικοποιήθηκε τον Ιούλιο του 2015.</w:t>
      </w:r>
    </w:p>
    <w:p>
      <w:pPr>
        <w:pStyle w:val="ManualNumPar1"/>
        <w:rPr>
          <w:noProof/>
        </w:rPr>
      </w:pPr>
      <w:r>
        <w:rPr>
          <w:noProof/>
        </w:rPr>
        <w:t>(6)</w:t>
      </w:r>
      <w:r>
        <w:rPr>
          <w:noProof/>
        </w:rPr>
        <w:tab/>
        <w:t>Είναι σκόπιμο η υποεπιτροπή υγειονομικής και φυτοϋγειονομικής προστασίας να αποφασίσει να τροποποιήσει το παράρτημα XXIV-Β της συμφωνίας, ώστε να συμπεριλάβει τον κατάλογο όπως παρατίθεται στο παράρτημα της παρούσας απόφασης,</w:t>
      </w:r>
    </w:p>
    <w:p>
      <w:pPr>
        <w:rPr>
          <w:noProof/>
        </w:rPr>
      </w:pPr>
      <w:r>
        <w:rPr>
          <w:noProof/>
        </w:rPr>
        <w:t>ΕΞΕΔΩΣΕ ΤΗΝ ΠΑΡΟΥΣΑ ΑΠΟΦΑΣΗ:</w:t>
      </w:r>
    </w:p>
    <w:p>
      <w:pPr>
        <w:pStyle w:val="Titrearticle"/>
        <w:rPr>
          <w:noProof/>
        </w:rPr>
      </w:pPr>
      <w:r>
        <w:rPr>
          <w:noProof/>
        </w:rPr>
        <w:t>Άρθρο 1</w:t>
      </w:r>
    </w:p>
    <w:p>
      <w:pPr>
        <w:rPr>
          <w:noProof/>
        </w:rPr>
      </w:pPr>
      <w:r>
        <w:rPr>
          <w:noProof/>
        </w:rPr>
        <w:t>Το παράρτημα XXIV-Β της συμφωνίας σύνδεσης μεταξύ της Ευρωπαϊκής Ένωσης και της Ευρωπαϊκής Κοινότητας Ατομικής Ενέργειας και των κρατών μελών τους, αφενός, και της Δημοκρατίας της Μολδαβίας, αφετέρου, τροποποιείται σύμφωνα με το παράρτημα της παρούσας απόφασης.</w:t>
      </w:r>
    </w:p>
    <w:p>
      <w:pPr>
        <w:pStyle w:val="Titrearticle"/>
        <w:rPr>
          <w:i w:val="0"/>
          <w:noProof/>
          <w:lang w:eastAsia="ko-KR"/>
        </w:rPr>
      </w:pPr>
      <w:r>
        <w:rPr>
          <w:noProof/>
        </w:rPr>
        <w:t>Άρθρο 2</w:t>
      </w:r>
    </w:p>
    <w:p>
      <w:pPr>
        <w:pStyle w:val="ManualNumPar1"/>
        <w:rPr>
          <w:noProof/>
        </w:rPr>
      </w:pPr>
      <w:r>
        <w:rPr>
          <w:noProof/>
        </w:rPr>
        <w:t>Η παρούσα απόφαση αρχίζει να ισχύει την ημέρα της έκδοσής της.</w:t>
      </w:r>
    </w:p>
    <w:p>
      <w:pPr>
        <w:spacing w:after="360"/>
        <w:rPr>
          <w:noProof/>
        </w:rPr>
      </w:pPr>
      <w:r>
        <w:rPr>
          <w:noProof/>
        </w:rPr>
        <w:t>Έγινε στ..., ...</w:t>
      </w:r>
    </w:p>
    <w:tbl>
      <w:tblPr>
        <w:tblW w:w="9287" w:type="dxa"/>
        <w:tblLook w:val="0000" w:firstRow="0" w:lastRow="0" w:firstColumn="0" w:lastColumn="0" w:noHBand="0" w:noVBand="0"/>
      </w:tblPr>
      <w:tblGrid>
        <w:gridCol w:w="4643"/>
        <w:gridCol w:w="4644"/>
      </w:tblGrid>
      <w:tr>
        <w:tc>
          <w:tcPr>
            <w:tcW w:w="4643" w:type="dxa"/>
            <w:shd w:val="clear" w:color="auto" w:fill="FFFFFF"/>
          </w:tcPr>
          <w:p>
            <w:pPr>
              <w:ind w:left="2160" w:firstLine="720"/>
              <w:jc w:val="center"/>
              <w:rPr>
                <w:rFonts w:eastAsia="Times New Roman"/>
                <w:noProof/>
                <w:szCs w:val="24"/>
              </w:rPr>
            </w:pPr>
          </w:p>
        </w:tc>
        <w:tc>
          <w:tcPr>
            <w:tcW w:w="4644" w:type="dxa"/>
            <w:shd w:val="clear" w:color="auto" w:fill="FFFFFF"/>
          </w:tcPr>
          <w:p>
            <w:pPr>
              <w:spacing w:before="0" w:after="0"/>
              <w:rPr>
                <w:i/>
                <w:noProof/>
              </w:rPr>
            </w:pPr>
            <w:r>
              <w:rPr>
                <w:i/>
                <w:noProof/>
              </w:rPr>
              <w:t>Για την υποεπιτροπή υγειονομικής και φυτοϋγειονομικής προστασίας</w:t>
            </w:r>
          </w:p>
          <w:p>
            <w:pPr>
              <w:spacing w:before="0" w:after="0"/>
              <w:rPr>
                <w:i/>
                <w:noProof/>
              </w:rPr>
            </w:pPr>
          </w:p>
        </w:tc>
      </w:tr>
      <w:tr>
        <w:tblPrEx>
          <w:tblLook w:val="04A0" w:firstRow="1" w:lastRow="0" w:firstColumn="1" w:lastColumn="0" w:noHBand="0" w:noVBand="1"/>
        </w:tblPrEx>
        <w:tc>
          <w:tcPr>
            <w:tcW w:w="4643" w:type="dxa"/>
            <w:shd w:val="clear" w:color="auto" w:fill="auto"/>
          </w:tcPr>
          <w:p>
            <w:pPr>
              <w:rPr>
                <w:rFonts w:eastAsia="Times New Roman"/>
                <w:noProof/>
                <w:szCs w:val="24"/>
              </w:rPr>
            </w:pPr>
          </w:p>
        </w:tc>
        <w:tc>
          <w:tcPr>
            <w:tcW w:w="4644" w:type="dxa"/>
            <w:shd w:val="clear" w:color="auto" w:fill="auto"/>
          </w:tcPr>
          <w:p>
            <w:pPr>
              <w:rPr>
                <w:rFonts w:eastAsia="Times New Roman"/>
                <w:i/>
                <w:noProof/>
                <w:szCs w:val="24"/>
              </w:rPr>
            </w:pPr>
            <w:r>
              <w:rPr>
                <w:i/>
                <w:noProof/>
              </w:rPr>
              <w:t>Ο Πρόεδρος</w:t>
            </w:r>
          </w:p>
        </w:tc>
      </w:tr>
    </w:tbl>
    <w:p>
      <w:pPr>
        <w:jc w:val="center"/>
        <w:rPr>
          <w:noProof/>
        </w:rPr>
        <w:sectPr>
          <w:footerReference w:type="default" r:id="rId15"/>
          <w:footerReference w:type="first" r:id="rId16"/>
          <w:pgSz w:w="11907" w:h="16839"/>
          <w:pgMar w:top="1134" w:right="1418" w:bottom="1134" w:left="1418" w:header="720" w:footer="720" w:gutter="0"/>
          <w:cols w:space="720"/>
          <w:docGrid w:linePitch="326"/>
        </w:sectPr>
      </w:pPr>
    </w:p>
    <w:p>
      <w:pPr>
        <w:jc w:val="right"/>
        <w:rPr>
          <w:b/>
          <w:noProof/>
          <w:u w:val="single"/>
        </w:rPr>
      </w:pPr>
      <w:r>
        <w:rPr>
          <w:b/>
          <w:noProof/>
          <w:u w:val="single"/>
        </w:rPr>
        <w:t>ΠΑΡΑΡΤΗΜΑ</w:t>
      </w:r>
    </w:p>
    <w:p>
      <w:pPr>
        <w:spacing w:after="360"/>
        <w:jc w:val="center"/>
        <w:rPr>
          <w:b/>
          <w:caps/>
          <w:noProof/>
        </w:rPr>
      </w:pPr>
      <w:r>
        <w:rPr>
          <w:b/>
          <w:caps/>
          <w:noProof/>
        </w:rPr>
        <w:t>ΤΡΟΠΟΠΟΙΗΣΗ ΤΟΥ ΠαράρτΗΜΑΤΟΣ XXIV-Β της συμφωνίας σύνδεσης</w:t>
      </w:r>
    </w:p>
    <w:p>
      <w:pPr>
        <w:spacing w:after="360"/>
        <w:rPr>
          <w:noProof/>
        </w:rPr>
      </w:pPr>
      <w:r>
        <w:rPr>
          <w:noProof/>
        </w:rPr>
        <w:t>Το παράρτημα XXIV-Β της συμφωνίας τροποποιείται ως εξής:</w:t>
      </w:r>
    </w:p>
    <w:p>
      <w:pPr>
        <w:spacing w:after="360"/>
        <w:jc w:val="center"/>
        <w:rPr>
          <w:caps/>
          <w:noProof/>
        </w:rPr>
      </w:pPr>
      <w:r>
        <w:rPr>
          <w:caps/>
          <w:noProof/>
        </w:rPr>
        <w:t>«Παράρτημα XXIV-Β</w:t>
      </w:r>
    </w:p>
    <w:p>
      <w:pPr>
        <w:spacing w:after="360"/>
        <w:jc w:val="center"/>
        <w:rPr>
          <w:caps/>
          <w:noProof/>
        </w:rPr>
      </w:pPr>
      <w:r>
        <w:rPr>
          <w:caps/>
          <w:noProof/>
        </w:rPr>
        <w:t>Κατάλογος της νομοθεσίας της Ενωσης ΜΕ ΤΗΝ ΟΠΟΙΑ ΠΡΕΠΕΙ ΝΑ ΕΝΑΡΜΟΝΙΣΤΕΙ Η Δημοκρατία της Μολδαβίας</w:t>
      </w:r>
    </w:p>
    <w:p>
      <w:pPr>
        <w:widowControl w:val="0"/>
        <w:spacing w:before="0" w:after="0"/>
        <w:rPr>
          <w:rFonts w:eastAsia="Times New Roman"/>
          <w:noProof/>
          <w:szCs w:val="24"/>
          <w:lang w:eastAsia="fr-BE"/>
        </w:rPr>
      </w:pPr>
      <w:r>
        <w:rPr>
          <w:rFonts w:eastAsia="Times New Roman"/>
          <w:noProof/>
          <w:szCs w:val="24"/>
          <w:lang w:eastAsia="fr-BE"/>
        </w:rPr>
        <w:t>Σύμφωνα με το άρθρο 181 παράγραφος 4 της παρούσας συμφωνίας, η Δημοκρατία της Μολδαβίας θα εναρμονίσει τη νομοθεσία της με την ακόλουθη νομοθεσία της Ένωσης εντός των προθεσμιών που προβλέπονται κατωτέρω.</w:t>
      </w:r>
    </w:p>
    <w:tbl>
      <w:tblPr>
        <w:tblW w:w="9729" w:type="dxa"/>
        <w:tblInd w:w="3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5" w:type="dxa"/>
          <w:left w:w="37" w:type="dxa"/>
          <w:bottom w:w="15" w:type="dxa"/>
          <w:right w:w="45" w:type="dxa"/>
        </w:tblCellMar>
        <w:tblLook w:val="0000" w:firstRow="0" w:lastRow="0" w:firstColumn="0" w:lastColumn="0" w:noHBand="0" w:noVBand="0"/>
      </w:tblPr>
      <w:tblGrid>
        <w:gridCol w:w="7842"/>
        <w:gridCol w:w="1887"/>
      </w:tblGrid>
      <w:tr>
        <w:trPr>
          <w:trHeight w:val="20"/>
        </w:trPr>
        <w:tc>
          <w:tcPr>
            <w:tcW w:w="7842"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b/>
                <w:bCs/>
                <w:noProof/>
                <w:szCs w:val="24"/>
                <w:lang w:eastAsia="fr-BE"/>
              </w:rPr>
            </w:pPr>
            <w:r>
              <w:rPr>
                <w:rFonts w:eastAsia="Times New Roman"/>
                <w:b/>
                <w:bCs/>
                <w:noProof/>
                <w:szCs w:val="24"/>
                <w:lang w:eastAsia="fr-BE"/>
              </w:rPr>
              <w:t>Νομοθεσία της Ένωσης</w:t>
            </w:r>
          </w:p>
        </w:tc>
        <w:tc>
          <w:tcPr>
            <w:tcW w:w="1887"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b/>
                <w:bCs/>
                <w:noProof/>
                <w:szCs w:val="24"/>
                <w:lang w:eastAsia="fr-BE"/>
              </w:rPr>
            </w:pPr>
          </w:p>
          <w:p>
            <w:pPr>
              <w:widowControl w:val="0"/>
              <w:spacing w:before="40" w:after="40"/>
              <w:jc w:val="center"/>
              <w:rPr>
                <w:rFonts w:eastAsia="Times New Roman"/>
                <w:b/>
                <w:bCs/>
                <w:noProof/>
                <w:szCs w:val="24"/>
                <w:lang w:eastAsia="fr-BE"/>
              </w:rPr>
            </w:pPr>
            <w:r>
              <w:rPr>
                <w:rFonts w:eastAsia="Times New Roman"/>
                <w:b/>
                <w:bCs/>
                <w:noProof/>
                <w:szCs w:val="24"/>
                <w:lang w:eastAsia="fr-BE"/>
              </w:rPr>
              <w:t>Προθεσμία εναρμόνισης</w:t>
            </w:r>
          </w:p>
        </w:tc>
      </w:tr>
      <w:tr>
        <w:trPr>
          <w:trHeight w:val="20"/>
        </w:trPr>
        <w:tc>
          <w:tcPr>
            <w:tcW w:w="9729" w:type="dxa"/>
            <w:gridSpan w:val="2"/>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0" w:after="200"/>
              <w:jc w:val="center"/>
              <w:rPr>
                <w:rFonts w:eastAsia="Times New Roman"/>
                <w:b/>
                <w:noProof/>
                <w:szCs w:val="24"/>
                <w:lang w:eastAsia="fr-BE"/>
              </w:rPr>
            </w:pPr>
            <w:r>
              <w:rPr>
                <w:rFonts w:eastAsia="Times New Roman"/>
                <w:b/>
                <w:noProof/>
                <w:szCs w:val="24"/>
                <w:lang w:eastAsia="fr-BE"/>
              </w:rPr>
              <w:t>Τμήμα 1 – Γενικά θέματα</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Κανονισμός (ΕΚ) αριθ. 178/2002 του Ευρωπαϊκού Κοινοβουλίου και του Συμβουλίου, της 28ης Ιανουαρίου 2002, για τον καθορισμό των γενικών αρχών και απαιτήσεων της νομοθεσίας για τα τρόφιμα, για την ίδρυση της Ευρωπαϊκής Αρχής για την Ασφάλεια των Τροφίμων και τον καθορισμό διαδικασιών σε θέματα ασφαλείας των τροφίμων, με εξαίρεση τα άρθρα 58, 59 και 62</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2016</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Κανονισμός (ΕΚ) αριθ. 1304/2003 της Επιτροπής, της 23ης Ιουλίου 2003, σχετικά με τη διαδικασία που εφαρμόζεται από την Ευρωπαϊκή Αρχή Ασφάλειας των Τροφίμων στις αιτήσεις επιστημονικής γνώμης οι οποίες της υποβάλλονται</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2020</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Απόφαση 2004/478/ΕΚ της Επιτροπής, </w:t>
            </w:r>
            <w:r>
              <w:rPr>
                <w:rFonts w:eastAsia="Times New Roman"/>
                <w:noProof/>
                <w:szCs w:val="24"/>
                <w:lang w:eastAsia="en-GB"/>
              </w:rPr>
              <w:t>της 29ης Απριλίου 2004, σχετικά με την έγκριση ενός γενικού σχεδίου διαχείρισης κρίσεων στον τομέα των τροφίμων και των ζωοτροφών</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2016</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Κανονισμός (ΕΕ) αριθ. 16/2011 της Επιτροπής, της 10ης Ιανουαρίου 2011, για τον καθορισμό μέτρων εφαρμογής του συστήματος έγκαιρης προειδοποίησης για τρόφιμα και ζωοτροφές</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2016</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Κανονισμός (ΕΚ) αριθ. 1151/2009 της Επιτροπής, της 27ης Νοεμβρίου 2009, για την επιβολή ειδικών όρων </w:t>
            </w:r>
            <w:r>
              <w:rPr>
                <w:rFonts w:eastAsia="Times New Roman"/>
                <w:noProof/>
                <w:szCs w:val="24"/>
                <w:lang w:eastAsia="en-GB"/>
              </w:rPr>
              <w:t>όσον αφορά την εισαγωγή ηλιελαίου καταγωγής ή προέλευσης Ουκρανίας λόγω του κινδύνου επιμόλυνσης με ορυκτέλαιο και την κατάργηση της απόφασης 2008/433/ΕΚ</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0" w:after="200"/>
              <w:rPr>
                <w:rFonts w:eastAsia="Times New Roman"/>
                <w:bCs/>
                <w:noProof/>
                <w:szCs w:val="24"/>
                <w:highlight w:val="white"/>
                <w:lang w:eastAsia="fr-BE"/>
              </w:rPr>
            </w:pPr>
            <w:r>
              <w:rPr>
                <w:rFonts w:eastAsia="Times New Roman"/>
                <w:noProof/>
                <w:szCs w:val="24"/>
                <w:lang w:eastAsia="en-GB"/>
              </w:rPr>
              <w:t>Εκτελεστικός κανονισμός (ΕΕ) αριθ. 884/2014 της Επιτροπής, της 13ης Αυγούστου 2014, για την επιβολή ειδικών όρων που διέπουν την εισαγωγή ορισμένων ζωοτροφών και τροφίμων από ορισμένες τρίτες χώρες λόγω του κινδύνου επιμόλυνσης από αφλατοξίνες και για την κατάργηση του κανονισμού (ΕΚ) αριθ. 1152/2009</w:t>
            </w:r>
          </w:p>
        </w:tc>
        <w:tc>
          <w:tcPr>
            <w:tcW w:w="1887"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en-GB"/>
              </w:rPr>
              <w:t>Κανονισμός (ΕΕ) αριθ. 258/2010 της Επιτροπής, της 25ης Μαρτίου 2010, για την επιβολή ειδικών όρων όσον αφορά το εισαγόμενο κόμμι γκουάρ που κατάγεται ή αποστέλλεται από την Ινδία λόγω του κινδύνου μόλυνσής του από πενταχλωροφαινόλη και διοξίνες, και για την κατάργηση της απόφασης 2008/352/ΕΚ</w:t>
            </w:r>
          </w:p>
        </w:tc>
        <w:tc>
          <w:tcPr>
            <w:tcW w:w="1887"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en-GB"/>
              </w:rPr>
              <w:t>Εκτελεστικός κανονισμός (ΕΕ) αριθ. 208/2013 της Επιτροπής, της 11ης Μαρτίου 2013, σχετικά με τις απαιτήσεις ανιχνευσιμότητας όσον αφορά τα φύτρα και τους σπόρους που προορίζονται για την παραγωγή φύτρων</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en-GB"/>
              </w:rPr>
              <w:t>Εκτελεστικός κανονισμός (EE) αριθ. 931/2011 της Επιτροπής, της 19ης Σεπτεμβρίου 2011, σχετικά με τις απαιτήσεις ανιχνευσιμότητας που ορίζει ο κανονισμός (ΕΚ) αριθ. 178/2002 του Ευρωπαϊκού Κοινοβουλίου και του Συμβουλίου για τρόφιμα ζωικής προέλευσης</w:t>
            </w:r>
          </w:p>
        </w:tc>
        <w:tc>
          <w:tcPr>
            <w:tcW w:w="1887"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6" w:space="0" w:color="000001"/>
              <w:left w:val="single" w:sz="6" w:space="0" w:color="000001"/>
              <w:bottom w:val="single" w:sz="4" w:space="0" w:color="00000A"/>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Κανονισμός (ΕΚ) αριθ. 178/2002 του Ευρωπαϊκού Κοινοβουλίου και του Συμβουλίου, της 28ης Ιανουαρίου 2002, για τον καθορισμό των γενικών αρχών και απαιτήσεων της νομοθεσίας για τα τρόφιμα, για την ίδρυση της Ευρωπαϊκής Αρχής για την Ασφάλεια των Τροφίμων και τον καθορισμό διαδικασιών σε θέματα ασφαλείας των τροφίμων</w:t>
            </w:r>
            <w:r>
              <w:rPr>
                <w:rFonts w:eastAsia="Times New Roman"/>
                <w:noProof/>
                <w:szCs w:val="24"/>
                <w:lang w:eastAsia="fr-BE"/>
              </w:rPr>
              <w:t xml:space="preserve"> – άρθρα 58, 59 και 62</w:t>
            </w:r>
          </w:p>
        </w:tc>
        <w:tc>
          <w:tcPr>
            <w:tcW w:w="1887" w:type="dxa"/>
            <w:tcBorders>
              <w:top w:val="single" w:sz="6" w:space="0" w:color="000001"/>
              <w:left w:val="single" w:sz="6" w:space="0" w:color="000001"/>
              <w:bottom w:val="single" w:sz="4" w:space="0" w:color="00000A"/>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9729" w:type="dxa"/>
            <w:gridSpan w:val="2"/>
            <w:tcBorders>
              <w:top w:val="single" w:sz="4" w:space="0" w:color="00000A"/>
              <w:left w:val="single" w:sz="6" w:space="0" w:color="000001"/>
              <w:right w:val="single" w:sz="6" w:space="0" w:color="000001"/>
            </w:tcBorders>
            <w:shd w:val="clear" w:color="auto" w:fill="FFFFFF"/>
            <w:tcMar>
              <w:left w:w="37" w:type="dxa"/>
            </w:tcMar>
          </w:tcPr>
          <w:p>
            <w:pPr>
              <w:widowControl w:val="0"/>
              <w:spacing w:before="0" w:after="0"/>
              <w:jc w:val="center"/>
              <w:rPr>
                <w:rFonts w:eastAsia="Times New Roman"/>
                <w:b/>
                <w:noProof/>
                <w:szCs w:val="24"/>
                <w:lang w:eastAsia="fr-BE"/>
              </w:rPr>
            </w:pPr>
            <w:bookmarkStart w:id="1" w:name="_Toc127327583"/>
            <w:bookmarkStart w:id="2" w:name="_Toc394585565"/>
            <w:bookmarkStart w:id="3" w:name="_Toc127327582"/>
            <w:bookmarkEnd w:id="1"/>
            <w:bookmarkEnd w:id="2"/>
            <w:bookmarkEnd w:id="3"/>
            <w:r>
              <w:rPr>
                <w:rFonts w:eastAsia="Times New Roman"/>
                <w:b/>
                <w:noProof/>
                <w:szCs w:val="24"/>
                <w:lang w:eastAsia="fr-BE"/>
              </w:rPr>
              <w:t>Τμήμα 2 – Κτηνιατρικά θέματα</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Οδηγία 2002/99/ΕΚ του Συμβουλίου, της 16ης Δεκεμβρίου 2002, για τους κανόνες υγειονομικού ελέγχου που διέπουν την παραγωγή, μεταποίηση, διανομή και εισαγωγή προϊόντων ζωικής προέλευσης που προορίζονται για ανθρώπινη κατανάλωση</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Απόφαση 2003/24/ΕΚ της Επιτροπής, της 30ής Δεκεμβρίου 2002, όσον αφορά την ανάπτυξη ενός ενοποιημένου μηχανογραφικού κτηνιατρικού συστήματος</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Απόφαση 2005/734/ΕΚ της Επιτροπής, </w:t>
            </w:r>
            <w:r>
              <w:rPr>
                <w:rFonts w:eastAsia="Times New Roman"/>
                <w:noProof/>
                <w:szCs w:val="24"/>
                <w:lang w:eastAsia="en-GB"/>
              </w:rPr>
              <w:t>της 19ης Οκτωβρίου 2005, για τη θέσπιση μέτρων βιοασφάλειας με σκοπό τη μείωση του κινδύνου μετάδοσης της υψηλής παθογονικότητας γρίπης των πτηνών, που προκαλείται από τον υπότυπο H5N1 του ιού της γρίπης τύπου A, από τα άγρια πτηνά στα πουλερικά και σε άλλα πτηνά σε αιχμαλωσία, καθώς και για την πρόβλεψη συστήματος έγκαιρης ανίχνευσης στις ιδιαίτερα ευπρόσβλητες περιοχές</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Απόφαση 2006/415/ΕΚ της Επιτροπής, </w:t>
            </w:r>
            <w:r>
              <w:rPr>
                <w:rFonts w:eastAsia="Times New Roman"/>
                <w:noProof/>
                <w:szCs w:val="24"/>
                <w:lang w:eastAsia="en-GB"/>
              </w:rPr>
              <w:t>της 14ης Ιουνίου 2006, για τη λήψη ορισμένων μέτρων προστασίας λόγω της εμφάνισης κρουσμάτων γρίπης των πτηνών υψηλής παθογονικότητας του υποτύπου H5N1 σε πουλερικά στην Κοινότητα και για την κατάργηση της απόφασης 2006/135/ΕΚ</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Απόφαση 2006/563/ΕΚ της Επιτροπής, </w:t>
            </w:r>
            <w:r>
              <w:rPr>
                <w:rFonts w:eastAsia="Times New Roman"/>
                <w:noProof/>
                <w:szCs w:val="24"/>
                <w:lang w:eastAsia="en-GB"/>
              </w:rPr>
              <w:t>της 11ης Αυγούστου 2006, σχετικά με ορισμένα μέτρα προστασίας όσον αφορά την υψηλής παθογονικότητας γρίπη των πτηνών του υποτύπου H5N1 σε άγρια πτηνά στην Κοινότητα και για την κατάργηση της απόφασης 2006/115/EK</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Απόφαση 2010/57/ΕΕ της Επιτροπής, </w:t>
            </w:r>
            <w:r>
              <w:rPr>
                <w:rFonts w:eastAsia="Times New Roman"/>
                <w:noProof/>
                <w:szCs w:val="24"/>
                <w:lang w:eastAsia="en-GB"/>
              </w:rPr>
              <w:t>της 3ης Φεβρουαρίου 2010, για τον καθορισμό υγειονομικών εγγυήσεων σχετικά με τη διαμετακόμιση ιπποειδών μέσω των εδαφών που αναφέρονται στο παράρτημα Ι της οδηγίας 97/78/ΕΚ του Συμβουλίου</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Εκτελεστικός κανονισμός (ΕΕ) αριθ. 139/2013 της Επιτροπής, της 7ης Ιανουαρίου 2013, για τον καθορισμό των υγειονομικών όρων για εισαγωγές ορισμένων πτηνών στην Ένωση και των συνθηκών της περιόδου απομόνωσης (καραντίνας)</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Εκτελεστικός κανονισμός (ΕΕ) αριθ. 750/2014 της Επιτροπής, της 10ης Ιουλίου 2014, σχετικά με μέτρα προστασίας από την επιδημική διάρροια των χοίρων όσον αφορά τις απαιτήσεις υγειονομικού ελέγχου για την εισαγωγή χοιροειδών στην Ένωση</w:t>
            </w:r>
          </w:p>
        </w:tc>
        <w:tc>
          <w:tcPr>
            <w:tcW w:w="1887"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Οδηγία 97/78/ΕΚ του Συμβουλίου, της 18ης Δεκεμβρίου 1997, για καθορισμό των αρχών οργάνωσης των κτηνιατρικών ελέγχων των προϊόντων που εισάγονται στην Κοινότητα από τρίτες χώρες</w:t>
            </w:r>
          </w:p>
        </w:tc>
        <w:tc>
          <w:tcPr>
            <w:tcW w:w="1887"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Απόφαση 78/685/ΕΟΚ της Επιτροπής, της 26ης Ιουλίου 1978, </w:t>
            </w:r>
            <w:r>
              <w:rPr>
                <w:rFonts w:eastAsia="Times New Roman"/>
                <w:noProof/>
                <w:szCs w:val="24"/>
                <w:lang w:eastAsia="en-GB"/>
              </w:rPr>
              <w:t>περί καταρτίσεως πίνακος επιζωοτικών ασθενειών σύμφωνα με τις διατάξεις της οδηγίας 72/462/ΕΟΚ</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2015</w:t>
            </w:r>
          </w:p>
        </w:tc>
      </w:tr>
      <w:tr>
        <w:trPr>
          <w:trHeight w:val="20"/>
        </w:trPr>
        <w:tc>
          <w:tcPr>
            <w:tcW w:w="7842"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tabs>
                <w:tab w:val="center" w:pos="1560"/>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Οδηγία 64/432/ΕΟΚ του Συμβουλίου, της 26ης Ιουνίου 1964, περί προβλημάτων υγειονομικού ελέγχου στον τομέα των ενδοκοινοτικών συναλλαγών βοοειδών και χοιροειδών</w:t>
            </w:r>
          </w:p>
        </w:tc>
        <w:tc>
          <w:tcPr>
            <w:tcW w:w="1887"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6" w:space="0" w:color="000001"/>
              <w:left w:val="single" w:sz="6" w:space="0" w:color="000001"/>
              <w:bottom w:val="single" w:sz="4" w:space="0" w:color="00000A"/>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Κανονισμός (ΕΚ) αριθ. 494/98 της Επιτροπής, της 27ης Φεβρουαρίου 1998, για καθορισμό λεπτομερών κανόνων για την εφαρμογή του κανονισμού (ΕΚ) αριθ. 820/97 του Συμβουλίου, όσον αφορά τον ελάχιστο αριθμό διοικητικών κυρώσεων στο πλαίσιο του συστήματος αναγνώρισης και καταγραφής των βοοειδών</w:t>
            </w:r>
          </w:p>
        </w:tc>
        <w:tc>
          <w:tcPr>
            <w:tcW w:w="1887" w:type="dxa"/>
            <w:tcBorders>
              <w:top w:val="single" w:sz="6" w:space="0" w:color="000001"/>
              <w:left w:val="single" w:sz="6" w:space="0" w:color="000001"/>
              <w:bottom w:val="single" w:sz="4" w:space="0" w:color="00000A"/>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Απόφαση 2006/968/ΕΚ της Επιτροπής, της 15ης Δεκεμβρίου 2006, </w:t>
            </w:r>
            <w:r>
              <w:rPr>
                <w:rFonts w:eastAsia="Times New Roman"/>
                <w:noProof/>
                <w:szCs w:val="24"/>
                <w:lang w:eastAsia="en-GB"/>
              </w:rPr>
              <w:t>για την εφαρμογή του κανονισμού (ΕΚ) αριθ. 21/2004 του Συμβουλίου όσον αφορά τις κατευθυντήριες γραμμές και διαδικασίες για την ηλεκτρονική αναγνώριση των αιγοπροβάτων</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Οδηγία 2009/156/ΕΚ του Συμβουλίου, της 30ής Νοεμβρίου 2009, σχετικά με τους όρους υγειονομικού ελέγχου που διέπουν τη διακίνηση των ιπποειδών και τις εισαγωγές ιπποειδών προέλευσης τρίτων χωρών</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Κανονισμός (ΕΚ) αριθ. 504/2008 της Επιτροπής, της 6ης Ιουνίου 2008, για την εφαρμογή των οδηγιών 90/426/ΕΟΚ και 90/427/ΕΟΚ του Συμβουλίου σχετικά με τις μεθόδους αναγνώρισης των ιπποειδών</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Οδηγία 2001/89/EK του Συμβουλίου, της 23ης Οκτωβρίου 2001, σχετικά με κοινοτικά μέτρα για την καταπολέμηση της κλασσικής πανώλους των χοίρων</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Απόφαση 2002/106/ΕΚ της Επιτροπής, της 1ης Φεβρουαρίου 2002, </w:t>
            </w:r>
            <w:r>
              <w:rPr>
                <w:rFonts w:eastAsia="Times New Roman"/>
                <w:noProof/>
                <w:szCs w:val="24"/>
                <w:lang w:eastAsia="en-GB"/>
              </w:rPr>
              <w:t>για την έγκριση διαγνωστικού εγχειριδίου με διαγνωστικές διαδικασίες, μεθόδους δειγματοληψίας και κριτήρια για την αξιολόγηση των εργαστηριακών δοκιμών επιβεβαίωσης της κλασικής πανώλους των χοίρων</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Οδηγία 2002/60/ΕΚ του Συμβουλίου, της 27ης Ιουνίου 2002, για τη θέσπιση ειδικών διατάξεων για την καταπολέμηση της αφρικανικής πανώλης των χοίρων και την τροποποίηση της οδηγίας 92/119/ΕΟΚ όσον αφορά την πολιοεγκεφαλίτιδα του χοίρου και την αφρικανική πανώλη των χοίρων</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Απόφαση 2003/422/ΕΚ της Επιτροπής, της 26ης Μαΐου 2003, για την έγκριση διαγνωστικού εγχειριδίου για την αφρικανική πανώλη των χοίρων</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Απόφαση 2006/437/ΕΚ της Επιτροπής, της 4ης Αυγούστου 2006, για την έγκριση διαγνωστικού εγχειριδίου για τη γρίπη των πτηνών όπως προβλέπεται στην οδηγία 2005/94/ΕΚ του Συμβουλίου</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Κανονισμός (ΕΚ) αριθ. 616/2009 της Επιτροπής, της 13ης Ιουλίου 2009, για την εφαρμογή της οδηγίας 2005/94/ΕΚ του Συμβουλίου όσον αφορά την έγκριση διαμερισμάτων πουλερικών και διαμερισμάτων άλλων πτηνών σε αιχμαλωσία σχετικά με τη γρίπη των πτηνών, και τα συμπληρωματικά προληπτικά μέτρα βιοασφάλειας στα εν λόγω διαμερίσματα</w:t>
            </w:r>
          </w:p>
        </w:tc>
        <w:tc>
          <w:tcPr>
            <w:tcW w:w="1887"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Οδηγία 92/66/ΕΟΚ του Συμβουλίου, της 14ης Ιουλίου 1992, για τη θέσπιση κοινοτικών μέτρων για την καταπολέμηση της ψευδοπανώλους των πτηνών</w:t>
            </w:r>
          </w:p>
        </w:tc>
        <w:tc>
          <w:tcPr>
            <w:tcW w:w="1887"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Οδηγία 2000/75/ΕΚ του Συμβουλίου, της 20ής Νοεμβρίου 2000, για τη θέσπιση ειδικών διατάξεων σχετικών με μέτρα καταπολέμησης και εξάλειψης του καταρροϊκού πυρετού του προβάτου</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Κανονισμός (ΕΚ) αριθ. 1266/2007 της Επιτροπής, της 26ης Οκτωβρίου 2007, σχετικά με κανόνες εφαρμογής της οδηγίας 2000/75/ΕΚ του Συμβουλίου όσον αφορά την καταπολέμηση, την παρακολούθηση και την επιτήρηση του καταρροϊκού πυρετού του προβάτου και τους περιορισμούς στις μετακινήσεις ορισμένων ζώων ευπαθών ειδών</w:t>
            </w:r>
          </w:p>
        </w:tc>
        <w:tc>
          <w:tcPr>
            <w:tcW w:w="1887"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6" w:space="0" w:color="000001"/>
              <w:left w:val="single" w:sz="6" w:space="0" w:color="000001"/>
              <w:bottom w:val="single" w:sz="4" w:space="0" w:color="00000A"/>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Κανονισμός (ΕΚ) αριθ. 999/2001 του Ευρωπαϊκού Κοινοβουλίου και του Συμβουλίου, της 22ας Μαΐου 2001, για τη θέσπιση κανόνων πρόληψης, καταπολέμησης και εξάλειψης ορισμένων μεταδοτικών σπογγωδών εγκεφαλοπαθειών</w:t>
            </w:r>
          </w:p>
        </w:tc>
        <w:tc>
          <w:tcPr>
            <w:tcW w:w="1887" w:type="dxa"/>
            <w:tcBorders>
              <w:top w:val="single" w:sz="6" w:space="0" w:color="000001"/>
              <w:left w:val="single" w:sz="6" w:space="0" w:color="000001"/>
              <w:bottom w:val="single" w:sz="4" w:space="0" w:color="00000A"/>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2016</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i/>
                <w:noProof/>
                <w:szCs w:val="24"/>
                <w:lang w:eastAsia="fr-BE"/>
              </w:rPr>
            </w:pPr>
            <w:r>
              <w:rPr>
                <w:rFonts w:eastAsia="Times New Roman"/>
                <w:noProof/>
                <w:szCs w:val="24"/>
                <w:lang w:eastAsia="fr-BE"/>
              </w:rPr>
              <w:t xml:space="preserve">Απόφαση 2007/843/ΕΚ της Επιτροπής, της 11ης Δεκεμβρίου 2007, </w:t>
            </w:r>
            <w:r>
              <w:rPr>
                <w:rFonts w:eastAsia="Times New Roman"/>
                <w:noProof/>
                <w:szCs w:val="24"/>
                <w:lang w:eastAsia="en-GB"/>
              </w:rPr>
              <w:t>για την έγκριση των προγραμμάτων ελέγχου της σαλμονέλας στα σμήνη αναπαραγωγής του είδους Gallus gallus σε ορισμένες τρίτες χώρες, σύμφωνα με τον κανονισμό (ΕΚ) αριθ. 2160/2003 του Ευρωπαϊκού Κοινοβουλίου και του Συμβουλίου και για την τροποποίηση της απόφασης 2006/696/ΕΚ όσον αφορά ορισμένες απαιτήσεις δημόσιας υγείας στις εισαγωγές πουλερικών και αυγών επώασης</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2015</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i/>
                <w:iCs/>
                <w:noProof/>
                <w:szCs w:val="24"/>
                <w:lang w:eastAsia="fr-BE"/>
              </w:rPr>
            </w:pPr>
            <w:r>
              <w:rPr>
                <w:rFonts w:eastAsia="Times New Roman"/>
                <w:noProof/>
                <w:szCs w:val="24"/>
                <w:lang w:eastAsia="fr-BE"/>
              </w:rPr>
              <w:t>Απόφαση 2007/848/ΕΚ της Επιτροπής, της 11ης Δεκεμβρίου 2007, σχετικά με την έγκριση ορισμένων εθνικών προγραμμάτων για τον έλεγχο της σαλμονέλας σε σμήνη ορνίθων ωοπαραγωγής του είδους Gallus gallus</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2015</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i/>
                <w:iCs/>
                <w:noProof/>
                <w:szCs w:val="24"/>
                <w:lang w:eastAsia="fr-BE"/>
              </w:rPr>
            </w:pPr>
            <w:r>
              <w:rPr>
                <w:rFonts w:eastAsia="Times New Roman"/>
                <w:noProof/>
                <w:szCs w:val="24"/>
                <w:lang w:eastAsia="fr-BE"/>
              </w:rPr>
              <w:t xml:space="preserve">Απόφαση 2008/815/ΕΚ της Επιτροπής, της 20ής Οκτωβρίου 2008, </w:t>
            </w:r>
            <w:r>
              <w:rPr>
                <w:rFonts w:eastAsia="Times New Roman"/>
                <w:noProof/>
                <w:szCs w:val="24"/>
                <w:lang w:eastAsia="en-GB"/>
              </w:rPr>
              <w:t>σχετικά με την έγκριση ορισμένων εθνικών προγραμμάτων για τον έλεγχο της σαλμονέλας σε σμήνη κοτόπουλων κρεατοπαραγωγής του είδους Gallus gallus</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2015</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Απόφαση 2009/771/ΕΚ της Επιτροπής, της 20ής Οκτωβρίου 2009, </w:t>
            </w:r>
            <w:r>
              <w:rPr>
                <w:rFonts w:eastAsia="Times New Roman"/>
                <w:noProof/>
                <w:szCs w:val="24"/>
                <w:lang w:eastAsia="en-GB"/>
              </w:rPr>
              <w:t>για την έγκριση ορισμένων εθνικών προγραμμάτων για τον έλεγχο της σαλμονέλας στις γαλοπούλες</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2015</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Οδηγία 92/119/ΕΟΚ του Συμβουλίου, της 17ης Δεκεμβρίου 1992, </w:t>
            </w:r>
            <w:r>
              <w:rPr>
                <w:rFonts w:eastAsia="Times New Roman"/>
                <w:noProof/>
                <w:szCs w:val="24"/>
                <w:lang w:eastAsia="en-GB"/>
              </w:rPr>
              <w:t>για τη θέσπιση γενικών κοινοτικών μέτρων καταπολέμησης ορισμένων ασθενειών των ζώων καθώς και ειδικών μέτρων για τη φυσαλιδώδη νόσο των χοίρων</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Απόφαση 2004/226/ΕΚ της Επιτροπής, της 4ης Μαρτίου 2004, </w:t>
            </w:r>
            <w:r>
              <w:rPr>
                <w:rFonts w:eastAsia="Times New Roman"/>
                <w:noProof/>
                <w:szCs w:val="24"/>
                <w:lang w:eastAsia="en-GB"/>
              </w:rPr>
              <w:t>για έγκριση των δοκιμών για την ανίχνευση αντισωμάτων κατά της βρουκέλλωσης των βοοειδών στο πλαίσιο της οδηγίας 64/432/ΕΟΚ του Συμβουλίου</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Οδηγία 91/68/ΕΟΚ του Συμβουλίου, της 28ης Ιανουαρίου 1991, σχετικά με το καθεστώς υγειονομικού ελέγχου που διέπει το ενδοκοινοτικό εμπόριο αιγοπροβάτων</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Απόφαση 95/329/ΕΚ της Επιτροπής, της 25ης Ιουλίου 1995, </w:t>
            </w:r>
            <w:r>
              <w:rPr>
                <w:rFonts w:eastAsia="Times New Roman"/>
                <w:noProof/>
                <w:szCs w:val="24"/>
                <w:lang w:eastAsia="en-GB"/>
              </w:rPr>
              <w:t>για τον καθορισμό των κατηγοριών αρσενικών ιπποειδών για τα οποία εφαρμόζεται η απαίτηση η σχετική με την ιογενή αρτηρίτιδα η οποία προβλέπεται στο άρθρο 15 στοιχείο β) σημείο ii) της οδηγίας 90/426/ΕΟΚ του Συμβουλίου</w:t>
            </w:r>
          </w:p>
        </w:tc>
        <w:tc>
          <w:tcPr>
            <w:tcW w:w="1887"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Απόφαση 2001/183/ΕΚ της Επιτροπής, της 22ας Φεβρουαρίου 2001, </w:t>
            </w:r>
            <w:r>
              <w:rPr>
                <w:rFonts w:eastAsia="Times New Roman"/>
                <w:noProof/>
                <w:szCs w:val="24"/>
                <w:lang w:eastAsia="en-GB"/>
              </w:rPr>
              <w:t>για τον καθορισμό των τεχνικών δειγματοληψίας και των διαγνωστικών μεθόδων για την ανίχνευση και τη διαπίστωση ορισμένων ασθενειών ιχθύων, καθώς και για την κατάργηση της απόφασης 92/532/ΕΟΚ</w:t>
            </w:r>
          </w:p>
        </w:tc>
        <w:tc>
          <w:tcPr>
            <w:tcW w:w="1887"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Οδηγία 90/429/ΕΟΚ του Συμβουλίου, της 26ης Ιουνίου 1990, </w:t>
            </w:r>
            <w:r>
              <w:rPr>
                <w:rFonts w:eastAsia="Times New Roman"/>
                <w:noProof/>
                <w:szCs w:val="24"/>
                <w:lang w:eastAsia="en-GB"/>
              </w:rPr>
              <w:t>για τον καθορισμό των απαιτήσεων υγειονομικού ελέγχου που ισχύουν στο ενδοκοινοτικό εμπόριο και στις εισαγωγές σπέρματος χοίρων</w:t>
            </w:r>
          </w:p>
        </w:tc>
        <w:tc>
          <w:tcPr>
            <w:tcW w:w="1887"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2020</w:t>
            </w:r>
          </w:p>
        </w:tc>
      </w:tr>
      <w:tr>
        <w:trPr>
          <w:trHeight w:val="20"/>
        </w:trPr>
        <w:tc>
          <w:tcPr>
            <w:tcW w:w="7842" w:type="dxa"/>
            <w:tcBorders>
              <w:top w:val="single" w:sz="6" w:space="0" w:color="000001"/>
              <w:left w:val="single" w:sz="6" w:space="0" w:color="000001"/>
              <w:bottom w:val="single" w:sz="4" w:space="0" w:color="00000A"/>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Οδηγία 92/65/ΕΟΚ του Συμβουλίου, της 13ης Ιουλίου 1992, </w:t>
            </w:r>
            <w:r>
              <w:rPr>
                <w:rFonts w:eastAsia="Times New Roman"/>
                <w:noProof/>
                <w:szCs w:val="24"/>
                <w:lang w:eastAsia="en-GB"/>
              </w:rPr>
              <w:t>που καθορίζει τους όρους υγειονομικού ελέγχου που διέπουν το εμπόριο και τις εισαγωγές στην Κοινότητα ζώων, σπέρματος, ωαρίων και εμβρύων που δεν υπόκεινται, όσον αφορά τους όρους υγειονομικού ελέγχου, στις ειδικές κοινοτικές ρυθμίσεις που αναφέρονται στο τμήμα Ι του παραρτήματος Α της οδηγίας 90/425/ΕΟΚ</w:t>
            </w:r>
          </w:p>
        </w:tc>
        <w:tc>
          <w:tcPr>
            <w:tcW w:w="1887" w:type="dxa"/>
            <w:tcBorders>
              <w:top w:val="single" w:sz="6" w:space="0" w:color="000001"/>
              <w:left w:val="single" w:sz="6" w:space="0" w:color="000001"/>
              <w:bottom w:val="single" w:sz="4" w:space="0" w:color="00000A"/>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Οδηγία 96/22/ΕΚ του Συμβουλίου, της 29ης Απριλίου 1996, για την απαγόρευση της χρησιμοποίησης ορισμένων ουσιών με ορμονική ή θυρεοστατική δράση και των β- ανταγωνιστικών ουσιών στη ζωική παραγωγή για κερδοσκοπικούς λόγους και κατάργησης των οδηγιών 81/602/ΕΟΚ, 88/146/ΕΟΚ και 88/299/ΕΟΚ</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Απόφαση 1999/879/ΕΚ του Συμβουλίου, της 17ης Δεκεμβρίου 1999, </w:t>
            </w:r>
            <w:r>
              <w:rPr>
                <w:rFonts w:eastAsia="Times New Roman"/>
                <w:noProof/>
                <w:szCs w:val="24"/>
                <w:lang w:eastAsia="en-GB"/>
              </w:rPr>
              <w:t>για τη διάθεση στην αγορά και τη χορήγηση στα βοοειδή σωματοτρόπου ορμόνης (BST) και για την κατάργηση της απόφασης 90/218/ΕΟΚ</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2016</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Απόφαση 97/747/ΕΚ της Επιτροπής, της 27ης Οκτωβρίου 1997, </w:t>
            </w:r>
            <w:r>
              <w:rPr>
                <w:rFonts w:eastAsia="Times New Roman"/>
                <w:noProof/>
                <w:szCs w:val="24"/>
                <w:lang w:eastAsia="en-GB"/>
              </w:rPr>
              <w:t>για τον καθορισμό των επιπέδων και συχνοτήτων δειγματοληψίας που προβλέπονται στην οδηγία 96/23/ΕΚ του Συμβουλίου με σκοπό την ανίχνευση ορισμένων ουσιών και καταλοίπων που απαντώνται σε ορισμένα ζωικά προϊόντα</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2016</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Απόφαση 98/179/ΕΚ της Επιτροπής, της 23ης Φεβρουαρίου 1998, </w:t>
            </w:r>
            <w:r>
              <w:rPr>
                <w:rFonts w:eastAsia="Times New Roman"/>
                <w:noProof/>
                <w:szCs w:val="24"/>
                <w:lang w:eastAsia="en-GB"/>
              </w:rPr>
              <w:t>για τη θέσπιση λεπτομερών κανόνων όσον αφορά την επίσημη δειγματοληψία για τον έλεγχο της ανίχνευσης ορισμένων ουσιών και των καταλοίπων τους σε ζώντα ζώα και στα προϊόντα τους</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2016</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Οδηγία 2006/88/EK του Συμβουλίου, της 24ης Οκτωβρίου 2006, σχετικά με τις απαιτήσεις υγειονομικού ελέγχου για τα ζώα υδατοκαλλιέργειας και τα προϊόντα τους και σχετικά με την πρόληψη και την καταπολέμηση ορισμένων ασθενειών των υδρόβιων ζώων</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Απόφαση 2002/657/ΕΚ της Επιτροπής, της 14ης Αυγούστου 2002, </w:t>
            </w:r>
            <w:r>
              <w:rPr>
                <w:rFonts w:eastAsia="Times New Roman"/>
                <w:noProof/>
                <w:szCs w:val="24"/>
                <w:lang w:eastAsia="en-GB"/>
              </w:rPr>
              <w:t>για εφαρμογή της οδηγίας 96/23/EΚ του Συμβουλίου σχετικά με την επίδοση των αναλυτικών μεθόδων και την ερμηνεία των αποτελεσμάτων</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2016</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Απόφαση 92/260/ΕΟΚ της Επιτροπής, της 10ης Απριλίου 1992, σχετικά με τους υγειονομικούς όρους και την υγειονομική πιστοποίηση που απαιτούνται για την προσωρινή αποδοχή καταχωρημένων ίππων</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Απόφαση 2008/946/ΕΚ της Επιτροπής, </w:t>
            </w:r>
            <w:r>
              <w:rPr>
                <w:rFonts w:eastAsia="Times New Roman"/>
                <w:noProof/>
                <w:szCs w:val="24"/>
                <w:lang w:eastAsia="en-GB"/>
              </w:rPr>
              <w:t>της 12ης Δεκεμβρίου 2008, για την εφαρμογή της οδηγίας 2006/88/ΕΚ του Συμβουλίου όσον αφορά τις απαιτήσεις καραντίνας για τα ζώα υδατοκαλλιέργειας</w:t>
            </w:r>
          </w:p>
        </w:tc>
        <w:tc>
          <w:tcPr>
            <w:tcW w:w="1887"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Οδηγία 2004/41/ΕΚ του Ευρωπαϊκού Κοινοβουλίου και του Συμβουλίου, της 21ης Απριλίου 2004, για την κατάργηση ορισμένων οδηγιών σχετικών με την υγιεινή των τροφίμων και τους υγειονομικούς όρους για την παραγωγή και διάθεση στην αγορά ορισμένων προϊόντων ζωικής προέλευσης που προορίζονται για ανθρώπινη κατανάλωση και για την τροποποίηση των οδηγιών 89/662/ΕΟΚ και 92/118/ΕΟΚ του Συμβουλίου και της απόφαση 95/408/ΕΚ του Συμβουλίου</w:t>
            </w:r>
          </w:p>
        </w:tc>
        <w:tc>
          <w:tcPr>
            <w:tcW w:w="1887"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Απόφαση 2006/778/ΕΚ της Επιτροπής, </w:t>
            </w:r>
            <w:r>
              <w:rPr>
                <w:rFonts w:eastAsia="Times New Roman"/>
                <w:noProof/>
                <w:szCs w:val="24"/>
                <w:lang w:eastAsia="en-GB"/>
              </w:rPr>
              <w:t>της 14ης Νοεμβρίου 2006, σχετικά με τις ελάχιστες απαιτήσεις για τη συλλογή πληροφοριών κατά τις επιθεωρήσεις εγκαταστάσεων παραγωγής κτηνοτροφικών μονάδων</w:t>
            </w:r>
          </w:p>
        </w:tc>
        <w:tc>
          <w:tcPr>
            <w:tcW w:w="1887"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6" w:space="0" w:color="000001"/>
              <w:left w:val="single" w:sz="6" w:space="0" w:color="000001"/>
              <w:bottom w:val="single" w:sz="4" w:space="0" w:color="00000A"/>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Οδηγία 2008/119/ΕΚ του Συμβουλίου, της 18ης Δεκεμβρίου 2008, για τη θέσπιση στοιχειωδών κανόνων για την προστασία των μόσχων</w:t>
            </w:r>
          </w:p>
        </w:tc>
        <w:tc>
          <w:tcPr>
            <w:tcW w:w="1887" w:type="dxa"/>
            <w:tcBorders>
              <w:top w:val="single" w:sz="6" w:space="0" w:color="000001"/>
              <w:left w:val="single" w:sz="6" w:space="0" w:color="000001"/>
              <w:bottom w:val="single" w:sz="4" w:space="0" w:color="00000A"/>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Οδηγία 2008/120/ΕΚ του Συμβουλίου, της 18ης Δεκεμβρίου 2008, για τους στοιχειώδεις κανόνες για την προστασία των χοίρων</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Εκτελεστική απόφαση 2013/188/ΕΕ, της 18ης Απριλίου 2013, </w:t>
            </w:r>
            <w:r>
              <w:rPr>
                <w:rFonts w:eastAsia="Times New Roman"/>
                <w:noProof/>
                <w:szCs w:val="24"/>
                <w:lang w:eastAsia="en-GB"/>
              </w:rPr>
              <w:t>για τις ετήσιες εκθέσεις σχετικά με τις αμερόληπτες επιθεωρήσεις που διενεργήθηκαν σύμφωνα με τον κανονισμό (ΕΚ) αριθ. 1/2005 του Συμβουλίου για την προστασία των ζώων κατά τη μεταφορά και συναφείς δραστηριότητες και για την τροποποίηση των οδηγιών 64/432/ΕΟΚ και 93/119/ΕΚ και του κανονισμού (ΕΚ) αριθ. 1255/97</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0"/>
                <w:lang w:eastAsia="fr-BE"/>
              </w:rPr>
            </w:pPr>
            <w:r>
              <w:rPr>
                <w:rFonts w:eastAsia="Times New Roman"/>
                <w:noProof/>
                <w:szCs w:val="20"/>
                <w:lang w:eastAsia="fr-BE"/>
              </w:rPr>
              <w:t xml:space="preserve">Κανονισμός (ΕΚ) αριθ. 1255/97 του Συμβουλίου, της 25ης Ιουνίου 1997, </w:t>
            </w:r>
            <w:r>
              <w:rPr>
                <w:rFonts w:eastAsia="Times New Roman"/>
                <w:noProof/>
                <w:szCs w:val="24"/>
                <w:lang w:eastAsia="en-GB"/>
              </w:rPr>
              <w:t>για τα κοινοτικά κριτήρια που απαιτούνται για τα σημεία ελέγχου και για την τροποποίηση του σχεδίου δρομολογίου που αναφέρεται στο παράρτημα της οδηγίας 91/628/ΕΟΚ</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Οδηγία 2009/157/ΕΚ του Συμβουλίου, της 30ής Νοεμβρίου 2009, </w:t>
            </w:r>
            <w:r>
              <w:rPr>
                <w:rFonts w:eastAsia="Times New Roman"/>
                <w:noProof/>
                <w:szCs w:val="24"/>
                <w:lang w:eastAsia="en-GB"/>
              </w:rPr>
              <w:t>περί των καθαρόαιμων βοοειδών αναπαραγωγής</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2016</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Απόφαση 84/247/ΕΟΚ της Επιτροπής, της 27ης Απριλίου 1984, για τον καθορισμό των κριτηρίων αναγνώρισης των οργανώσεων και ενώσεων κτηνοτρόφων που τηρούν ή καταρτίζουν γενεαλογικά </w:t>
            </w:r>
            <w:r>
              <w:rPr>
                <w:rFonts w:eastAsia="Times New Roman"/>
                <w:noProof/>
                <w:szCs w:val="24"/>
                <w:lang w:eastAsia="en-GB"/>
              </w:rPr>
              <w:t>βιβλία για τα βοοειδή αναπαραγωγής καθαρόαιμου γένους</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Απόφαση 84/419/ΕΟΚ της Επιτροπής, της 19ης Ιουλίου 1984, </w:t>
            </w:r>
            <w:r>
              <w:rPr>
                <w:rFonts w:eastAsia="Times New Roman"/>
                <w:noProof/>
                <w:szCs w:val="24"/>
                <w:lang w:eastAsia="en-GB"/>
              </w:rPr>
              <w:t>για τον καθορισμό των κριτηρίων εγγραφής των βοοειδών στα γενεαλογικά βιβλία</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Οδηγία 87/328/ΕΟΚ του Συμβουλίου, της 18ης Ιουνίου 1987, για την αποδοχή στην αναπαραγωγή βοοειδών αναπαραγωγής καθαρόαιμου γένους</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2016</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Απόφαση 96/463/ΕΚ του Συμβουλίου, της 23ης Ιουλίου 1996, </w:t>
            </w:r>
            <w:r>
              <w:rPr>
                <w:rFonts w:eastAsia="Times New Roman"/>
                <w:noProof/>
                <w:szCs w:val="24"/>
                <w:lang w:eastAsia="en-GB"/>
              </w:rPr>
              <w:t>για τον ορισμό του οργανισμού αναφοράς που αναλαμβάνει να συνεργαστεί στο θέμα της ομοιομορφίας των μεθόδων δοκιμής και αξιολόγησης των αποτελεσμάτων των βοοειδών αναπαραγωγής καθαρής φυλής</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Απόφαση 2005/379/ΕΚ της Επιτροπής, </w:t>
            </w:r>
            <w:r>
              <w:rPr>
                <w:rFonts w:eastAsia="Times New Roman"/>
                <w:noProof/>
                <w:szCs w:val="24"/>
                <w:lang w:eastAsia="en-GB"/>
              </w:rPr>
              <w:t>της 17ης Μαΐου 2005, για τα γενεαλογικά πιστοποιητικά και τα στοιχεία που πρέπει να αναφέρονται για τα καθαρόαιμα βοοειδή αναπαραγωγής, το σπέρμα, τα ωάρια και τα έμβρυά τους</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Απόφαση 2006/427/ΕΚ της Επιτροπής, </w:t>
            </w:r>
            <w:r>
              <w:rPr>
                <w:rFonts w:eastAsia="Times New Roman"/>
                <w:noProof/>
                <w:szCs w:val="24"/>
                <w:lang w:eastAsia="en-GB"/>
              </w:rPr>
              <w:t>της 20ής Ιουνίου 2006, για καθορισμό των μεθόδων ελέγχου των αποδόσεων και των μεθόδων εκτιμήσεως της γενετικής αξίας των αναπαραγωγικών βοοειδών καθαράς φυλής</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Οδηγία 88/661/ΕΟΚ του Συμβουλίου, της 19ης Δεκεμβρίου 1988, σχετικά με τους ζωοτεχνικούς κανόνες που εφαρμόζονται στα αναπαραγωγά χοιροειδή</w:t>
            </w:r>
          </w:p>
        </w:tc>
        <w:tc>
          <w:tcPr>
            <w:tcW w:w="1887"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2016</w:t>
            </w:r>
          </w:p>
        </w:tc>
      </w:tr>
      <w:tr>
        <w:trPr>
          <w:trHeight w:val="20"/>
        </w:trPr>
        <w:tc>
          <w:tcPr>
            <w:tcW w:w="7842"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 xml:space="preserve">Απόφαση 89/501/ΕΟΚ της Επιτροπής, της 18ης Ιουλίου 1989, </w:t>
            </w:r>
            <w:r>
              <w:rPr>
                <w:rFonts w:eastAsia="Times New Roman"/>
                <w:noProof/>
                <w:szCs w:val="24"/>
                <w:lang w:eastAsia="en-GB"/>
              </w:rPr>
              <w:t>περί καθορισμού των κριτηρίων αναγνώρισης και εποπτείας των ενώσεων και οργανώσεων κτηνοτρόφων που τηρούν ή καταρτίζουν γενεαλογικά βιβλία για τα χοιροειδή αναπαραγωγής καθαρής φυλής</w:t>
            </w:r>
          </w:p>
        </w:tc>
        <w:tc>
          <w:tcPr>
            <w:tcW w:w="1887"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 xml:space="preserve">Απόφαση 89/502/ΕΟΚ της Επιτροπής, της 18ης Ιουλίου 1989, </w:t>
            </w:r>
            <w:r>
              <w:rPr>
                <w:rFonts w:eastAsia="Times New Roman"/>
                <w:noProof/>
                <w:szCs w:val="24"/>
                <w:lang w:eastAsia="en-GB"/>
              </w:rPr>
              <w:t>περί καθορισμού των κριτηρίων εγγραφής στα γενεαλογικά βιβλία των αναπαραγωγών χοιροειδών καθαρής φυλής</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 xml:space="preserve">Απόφαση 89/503/ΕΟΚ της Επιτροπής, της 18ης Ιουλίου 1989, </w:t>
            </w:r>
            <w:r>
              <w:rPr>
                <w:rFonts w:eastAsia="Times New Roman"/>
                <w:noProof/>
                <w:szCs w:val="24"/>
                <w:lang w:eastAsia="en-GB"/>
              </w:rPr>
              <w:t>περί καθορισμού του τύπου πιστοποιητικού για τα αναπαραγωγά χοιροειδή καθαρής φυλής, το σπέρμα, τα ωάρια και τα έμβρυά τους</w:t>
            </w:r>
          </w:p>
        </w:tc>
        <w:tc>
          <w:tcPr>
            <w:tcW w:w="1887"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bottom w:val="single" w:sz="4" w:space="0" w:color="00000A"/>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 xml:space="preserve">Απόφαση 89/504/ΕΟΚ της Επιτροπής, της 18ης Ιουλίου 1989, </w:t>
            </w:r>
            <w:r>
              <w:rPr>
                <w:rFonts w:eastAsia="Times New Roman"/>
                <w:noProof/>
                <w:szCs w:val="24"/>
                <w:lang w:eastAsia="en-GB"/>
              </w:rPr>
              <w:t>περί καθορισμού των κριτηρίων αναγνώρισης και εποπτείας των ενώσεων ή οργανώσεων κτηνοτρόφων και των ιδιωτικών επιχειρήσεων που τηρούν ή καταρτίζουν μητρώα για τους υβριδικούς χοίρους αναπαραγωγής</w:t>
            </w:r>
          </w:p>
        </w:tc>
        <w:tc>
          <w:tcPr>
            <w:tcW w:w="1887" w:type="dxa"/>
            <w:tcBorders>
              <w:top w:val="single" w:sz="6" w:space="0" w:color="000001"/>
              <w:left w:val="single" w:sz="6" w:space="0" w:color="000001"/>
              <w:bottom w:val="single" w:sz="4" w:space="0" w:color="00000A"/>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2016</w:t>
            </w:r>
          </w:p>
        </w:tc>
      </w:tr>
      <w:tr>
        <w:trPr>
          <w:trHeight w:val="20"/>
        </w:trPr>
        <w:tc>
          <w:tcPr>
            <w:tcW w:w="7842" w:type="dxa"/>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 xml:space="preserve">Απόφαση 89/505/ΕΟΚ της Επιτροπής, της 18ης Ιουλίου 1989, </w:t>
            </w:r>
            <w:r>
              <w:rPr>
                <w:rFonts w:eastAsia="Times New Roman"/>
                <w:noProof/>
                <w:szCs w:val="24"/>
                <w:lang w:eastAsia="en-GB"/>
              </w:rPr>
              <w:t>περί καθορισμού των κριτηρίων εγγραφής στα μητρώα των υβριδικών χοίρων αναπαραγωγής</w:t>
            </w:r>
          </w:p>
        </w:tc>
        <w:tc>
          <w:tcPr>
            <w:tcW w:w="1887" w:type="dxa"/>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 xml:space="preserve">Απόφαση 89/506/ΕΟΚ της Επιτροπής, της 18ης Ιουλίου 1989, </w:t>
            </w:r>
            <w:r>
              <w:rPr>
                <w:rFonts w:eastAsia="Times New Roman"/>
                <w:noProof/>
                <w:szCs w:val="24"/>
                <w:lang w:eastAsia="en-GB"/>
              </w:rPr>
              <w:t>περί καθορισμού του τύπου του πιστοποιητικού για τους υβριδικούς χοίρους αναπαραγωγής, το σπέρμα, τα ωάρια και τα έμβρυά τους</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 xml:space="preserve">Απόφαση 89/507/ΕΟΚ της Επιτροπής, της 18ης Ιουλίου 1989, </w:t>
            </w:r>
            <w:r>
              <w:rPr>
                <w:rFonts w:eastAsia="Times New Roman"/>
                <w:noProof/>
                <w:szCs w:val="24"/>
                <w:lang w:eastAsia="en-GB"/>
              </w:rPr>
              <w:t>περί καθορισμού των μεθόδων ελέγχου των αποδόσεων και των μεθόδων εκτίμησης της γενετικής αξίας των αναπαραγωγών χοιροειδών καθαρής φυλής και των υβριδικών χοίρων αναπαραγωγής</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 xml:space="preserve">Οδηγία 90/118/ΕΟΚ του Συμβουλίου, της 5ης Μαρτίου 1990, </w:t>
            </w:r>
            <w:r>
              <w:rPr>
                <w:rFonts w:eastAsia="Times New Roman"/>
                <w:noProof/>
                <w:szCs w:val="24"/>
                <w:lang w:eastAsia="en-GB"/>
              </w:rPr>
              <w:t>σχετικά με την αποδοχή για αναπαραγωγή των αναπαραγωγών χοιροειδών καθαρής φυλής</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2016</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 xml:space="preserve">Οδηγία 90/119/ΕΟΚ του Συμβουλίου, της 5ης Μαρτίου 1990, </w:t>
            </w:r>
            <w:r>
              <w:rPr>
                <w:rFonts w:eastAsia="Times New Roman"/>
                <w:noProof/>
                <w:szCs w:val="24"/>
                <w:lang w:eastAsia="en-GB"/>
              </w:rPr>
              <w:t>σχετικά με την αποδοχή για αναπαραγωγή των υβριδικών χοίρων αναπαραγωγής</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2016</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Οδηγία 89/361/ΕΟΚ του Συμβουλίου, της 30ής Μαΐου 1989, που αφορά τα αιγοειδή και προβατοειδή αναπαραγωγής καθαράς φυλής</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2016</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 xml:space="preserve">Απόφαση 90/254/ΕΟΚ της Επιτροπής, της 10ης Μαΐου 1990, </w:t>
            </w:r>
            <w:r>
              <w:rPr>
                <w:rFonts w:eastAsia="Times New Roman"/>
                <w:noProof/>
                <w:szCs w:val="24"/>
                <w:lang w:eastAsia="en-GB"/>
              </w:rPr>
              <w:t>για τον καθορισμό των κριτηρίων αναγνώρισης και εποπτείας των ενώσεων και οργανώσεων κτηνοτρόφων που τηρούν ή καταρτίζουν γενεαλογικά βιβλία για τα αιγοειδή και προβατοειδή αναπαραγωγής καθαράς φυλής</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 xml:space="preserve">Απόφαση 90/255/ΕΟΚ της Επιτροπής, της 10ης Μαΐου 1990, </w:t>
            </w:r>
            <w:r>
              <w:rPr>
                <w:rFonts w:eastAsia="Times New Roman"/>
                <w:noProof/>
                <w:szCs w:val="24"/>
                <w:lang w:eastAsia="en-GB"/>
              </w:rPr>
              <w:t>που καθορίζει τα κριτήρια εγγραφής στα γενεαλογικά βιβλία αιγοειδών και προβατοειδών αναπαραγωγής καθαράς φυλής</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Απόφαση 90/258/ΕΟΚ της Επιτροπής, της 10ης Μαΐου 1990, </w:t>
            </w:r>
            <w:r>
              <w:rPr>
                <w:rFonts w:eastAsia="Times New Roman"/>
                <w:noProof/>
                <w:szCs w:val="24"/>
                <w:lang w:eastAsia="en-GB"/>
              </w:rPr>
              <w:t>για τον καθορισμό του ζωοτεχνικού πιστοποιητικού των αναπαραγωγών αιγοειδών και προβατοειδών καθαράς φυλής, του σπέρματός τους, των ωαρίων και των εμβρύων τους</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2016</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 xml:space="preserve">Απόφαση 92/353/ΕΟΚ της Επιτροπής, της 11ης Ιουνίου 1992, </w:t>
            </w:r>
            <w:r>
              <w:rPr>
                <w:rFonts w:eastAsia="Times New Roman"/>
                <w:noProof/>
                <w:szCs w:val="24"/>
                <w:lang w:eastAsia="en-GB"/>
              </w:rPr>
              <w:t>για τον καθορισμό των κριτηρίων ή αναγνώρισης των οργανώσεων και ενώσεων που τηρούν ή συντάσσουν γενεαλογικά βιβλία για τα καταχωρημένα ιπποειδή</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 xml:space="preserve">Απόφαση 92/354/ΕΟΚ της Επιτροπής, της 11ης Ιουνίου 1992, </w:t>
            </w:r>
            <w:r>
              <w:rPr>
                <w:rFonts w:eastAsia="Times New Roman"/>
                <w:noProof/>
                <w:szCs w:val="24"/>
                <w:lang w:eastAsia="en-GB"/>
              </w:rPr>
              <w:t>για τον καθορισμό ορισμένων κανόνων που αποσκοπούν στην εξασφάλιση του συντονισμού μεταξύ οργανώσεων ή ενώσεων που τηρούν ή συντάσσουν γενεαλογικά βιβλία για τα καταχωρημένα ιπποειδή</w:t>
            </w:r>
          </w:p>
        </w:tc>
        <w:tc>
          <w:tcPr>
            <w:tcW w:w="1887"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 xml:space="preserve">Απόφαση 96/78/ΕΚ της Επιτροπής, της 10ης Ιανουαρίου 1996, </w:t>
            </w:r>
            <w:r>
              <w:rPr>
                <w:rFonts w:eastAsia="Times New Roman"/>
                <w:noProof/>
                <w:szCs w:val="24"/>
                <w:lang w:eastAsia="en-GB"/>
              </w:rPr>
              <w:t>σχετικά με τη θέσπιση κριτηρίων για την εγγραφή και την καταχώρηση, σε γενεαλογικά βιβλία, ιπποειδών τα οποία προορίζονται για αναπαραγωγή</w:t>
            </w:r>
          </w:p>
        </w:tc>
        <w:tc>
          <w:tcPr>
            <w:tcW w:w="1887"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 xml:space="preserve">Απόφαση 96/79/ΕΚ της Επιτροπής, της 12ης Ιανουαρίου 1996, </w:t>
            </w:r>
            <w:r>
              <w:rPr>
                <w:rFonts w:eastAsia="Times New Roman"/>
                <w:noProof/>
                <w:szCs w:val="24"/>
                <w:lang w:eastAsia="en-GB"/>
              </w:rPr>
              <w:t>για τον καθορισμό των ζωοτεχνικών πιστοποιητικών όσον αφορά το σπέρμα, τα ωάρια και τα έμβρυα καταχωρημένων ιπποειδών</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63"/>
              </w:tabs>
              <w:spacing w:before="0" w:after="200"/>
              <w:rPr>
                <w:rFonts w:eastAsia="Times New Roman"/>
                <w:noProof/>
                <w:szCs w:val="24"/>
                <w:lang w:eastAsia="fr-BE"/>
              </w:rPr>
            </w:pPr>
            <w:r>
              <w:rPr>
                <w:rFonts w:eastAsia="Times New Roman"/>
                <w:noProof/>
                <w:szCs w:val="24"/>
                <w:lang w:eastAsia="en-GB"/>
              </w:rPr>
              <w:t>Κανονισμός (ΕΚ) αριθ. 504/2008 της Επιτροπής, της 6ης Ιουνίου 2008, για την εφαρμογή των οδηγιών 90/426/ΕΟΚ και 90/427/ΕΟΚ του Συμβουλίου σχετικά με τις μεθόδους αναγνώρισης των ιπποειδών</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 xml:space="preserve">Οδηγία 90/428/ΕΟΚ του Συμβουλίου, της 26ης Ιουνίου 1990, </w:t>
            </w:r>
            <w:r>
              <w:rPr>
                <w:rFonts w:eastAsia="Times New Roman"/>
                <w:noProof/>
                <w:szCs w:val="24"/>
                <w:lang w:eastAsia="en-GB"/>
              </w:rPr>
              <w:t>σχετικά με το εμπόριο ιπποειδών που προορίζονται για αγώνες και με τους όρους συμμετοχής στους αγώνες αυτούς</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 xml:space="preserve">Απόφαση 92/216/ΕΟΚ της Επιτροπής, της 26ης Μαρτίου 1992, </w:t>
            </w:r>
            <w:r>
              <w:rPr>
                <w:rFonts w:eastAsia="Times New Roman"/>
                <w:noProof/>
                <w:szCs w:val="24"/>
                <w:lang w:eastAsia="en-GB"/>
              </w:rPr>
              <w:t>σχετικά με τη συγκέντρωση δεδομένων όσον αφορά την συμμετοχή σε αγώνες των ιπποειδών που αναφέρονται στο άρθρο 4 παράγραφος 2 της οδηγίας 90/428/ΕΟΚ του Συμβουλίου</w:t>
            </w:r>
          </w:p>
        </w:tc>
        <w:tc>
          <w:tcPr>
            <w:tcW w:w="1887"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6" w:space="0" w:color="000001"/>
              <w:left w:val="single" w:sz="6" w:space="0" w:color="000001"/>
              <w:bottom w:val="single" w:sz="4" w:space="0" w:color="00000A"/>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Οδηγία 91/174/ΕΟΚ του Συμβουλίου, της 25ης Μαρτίου 1991, </w:t>
            </w:r>
            <w:r>
              <w:rPr>
                <w:rFonts w:eastAsia="Times New Roman"/>
                <w:noProof/>
                <w:szCs w:val="24"/>
                <w:lang w:eastAsia="en-GB"/>
              </w:rPr>
              <w:t>σχετικά με τους ζωοτεχνικούς και γενεαλογικούς όρους που διέπουν την εμπορία ζώων φυλής (ράτσας), και σχετικά με την τροποποίηση των οδηγιών 77/504/ΕΟΚ και 90/425/ΕΟΚ</w:t>
            </w:r>
          </w:p>
        </w:tc>
        <w:tc>
          <w:tcPr>
            <w:tcW w:w="1887" w:type="dxa"/>
            <w:tcBorders>
              <w:top w:val="single" w:sz="6" w:space="0" w:color="000001"/>
              <w:left w:val="single" w:sz="6" w:space="0" w:color="000001"/>
              <w:bottom w:val="single" w:sz="4" w:space="0" w:color="00000A"/>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2016</w:t>
            </w:r>
          </w:p>
        </w:tc>
      </w:tr>
      <w:tr>
        <w:trPr>
          <w:trHeight w:val="20"/>
        </w:trPr>
        <w:tc>
          <w:tcPr>
            <w:tcW w:w="9729" w:type="dxa"/>
            <w:gridSpan w:val="2"/>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spacing w:before="0" w:after="0"/>
              <w:jc w:val="center"/>
              <w:rPr>
                <w:rFonts w:eastAsia="Times New Roman"/>
                <w:b/>
                <w:noProof/>
                <w:szCs w:val="24"/>
                <w:lang w:eastAsia="fr-BE"/>
              </w:rPr>
            </w:pPr>
            <w:r>
              <w:rPr>
                <w:rFonts w:eastAsia="Times New Roman"/>
                <w:b/>
                <w:noProof/>
                <w:szCs w:val="24"/>
                <w:lang w:eastAsia="fr-BE"/>
              </w:rPr>
              <w:t>Τμήμα 3 – Διάθεση τροφίμων, ζωοτροφών και ζωικών υποπροϊόντων στην αγορά</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0" w:after="200"/>
              <w:jc w:val="left"/>
              <w:rPr>
                <w:rFonts w:eastAsia="Times New Roman"/>
                <w:noProof/>
                <w:szCs w:val="24"/>
                <w:lang w:eastAsia="fr-BE"/>
              </w:rPr>
            </w:pPr>
            <w:r>
              <w:rPr>
                <w:rFonts w:eastAsia="Times New Roman"/>
                <w:noProof/>
                <w:szCs w:val="24"/>
                <w:lang w:eastAsia="fr-BE"/>
              </w:rPr>
              <w:t>Κανονισμός (ΕΚ) αριθ. 852/2004 του Ευρωπαϊκού Κοινοβουλίου και του Συμβουλίου, της 29 Απριλίου 2004, για την υγιεινή των τροφίμων</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jc w:val="left"/>
              <w:rPr>
                <w:rFonts w:eastAsia="Times New Roman"/>
                <w:noProof/>
                <w:szCs w:val="24"/>
                <w:lang w:eastAsia="fr-BE"/>
              </w:rPr>
            </w:pPr>
            <w:r>
              <w:rPr>
                <w:rFonts w:eastAsia="Times New Roman"/>
                <w:noProof/>
                <w:szCs w:val="24"/>
                <w:lang w:eastAsia="fr-BE"/>
              </w:rPr>
              <w:t>Κανονισμός (ΕΚ) αριθ. 853/2004 του Ευρωπαϊκού Κοινοβουλίου και του Συμβουλίου, της 29ης Απριλίου 2004, για τον καθορισμό ειδικών κανόνων υγιεινής για τα τρόφιμα ζωικής προέλευσης</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Κανονισμός (ΕΚ) αριθ. 2074/2005 της Επιτροπής, της 5ης Δεκεμβρίου 2005, για θέσπιση μέτρων εφαρμογής για ορισμένα προϊόντα βάσει του κανονισμού (ΕΚ) αριθ. 853/2004 και για την οργάνωση επίσημων ελέγχων βάσει των κανονισμών (ΕΚ) αριθ. 854/2004 και (ΕΚ) αριθ. 882/2004, για την παρέκκλιση από τον κανονισμό (ΕΚ) αριθ. 852/2004 και για τροποποίηση των κανονισμών (ΕΚ) αριθ. 853/2004 και (ΕΚ) αριθ. 854/2004</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Εκτελεστικός κανονισμός (ΕΕ) αριθ. 208/2013 της Επιτροπής, της 11ης Μαρτίου 2013, σχετικά με τις απαιτήσεις ανιχνευσιμότητας όσον αφορά τα φύτρα και τους σπόρους που προορίζονται για την παραγωγή φύτρων</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Κανονισμός (ΕΕ) αριθ. 210/2013 της Επιτροπής, της 11ης Μαρτίου 2013, για την έγκριση των εγκαταστάσεων που παράγουν βλαστούς σύμφωνα με τον κανονισμό (ΕΚ) αριθ. 852/2004 του Ευρωπαϊκού Κοινοβουλίου και του Συμβουλίου</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Κανονισμός (ΕΕ) αριθ. 211/2013 της Επιτροπής, της 11ης Μαρτίου 2013, σχετικά με τις απαιτήσεις πιστοποίησης για εισαγωγές στην Ένωση βλαστών και σπόρων που προορίζονται για την παραγωγή βλαστών</w:t>
            </w:r>
          </w:p>
        </w:tc>
        <w:tc>
          <w:tcPr>
            <w:tcW w:w="1887"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Κανονισμός (ΕΕ) αριθ. 579/2014 της Επιτροπής, της 28ης Μαΐου 2014, για την παρέκκλιση από ορισμένες διατάξεις του παραρτήματος II του κανονισμού (ΕΚ) αριθ. 852/2004 του Ευρωπαϊκού Κοινοβουλίου και του Συμβουλίου όσον αφορά τη θαλάσσια μεταφορά υγρών ελαίων και λιπών</w:t>
            </w:r>
          </w:p>
        </w:tc>
        <w:tc>
          <w:tcPr>
            <w:tcW w:w="1887"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Οδηγία 92/118/ΕΟΚ του Συμβουλίου, της 17ης Δεκεμβρίου 1992, για τον καθορισμό των όρων υγειονομικού ελέγχου καθώς και των υγειονομικών όρων που διέπουν το εμπόριο και τις εισαγωγές στην Κοινότητα προϊόντων που δεν υπόκεινται, όσον αφορά τους προαναφερόμενους όρους, στις ειδικές κοινοτικές ρυθμίσεις που αναφέρονται στο κεφάλαιο Ι του παραρτήματος Α της οδηγίας 89/662/ΕΟΚ και, όσον αφορά τους παθογόνους παράγοντες, της οδηγίας 90/425/ΕΟΚ</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Κανονισμός (ΕΕ) αριθ. 101/2013 της Επιτροπής, της 4ης Φεβρουαρίου 2013, σχετικά με τη χρήση γαλακτικού οξέος για τη μείωση της μικροβιολογικής επιφανειακής μόλυνσης σφαγίων βοοειδών</w:t>
            </w:r>
          </w:p>
        </w:tc>
        <w:tc>
          <w:tcPr>
            <w:tcW w:w="1887"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2016</w:t>
            </w:r>
          </w:p>
        </w:tc>
      </w:tr>
      <w:tr>
        <w:trPr>
          <w:trHeight w:val="20"/>
        </w:trPr>
        <w:tc>
          <w:tcPr>
            <w:tcW w:w="7842" w:type="dxa"/>
            <w:tcBorders>
              <w:top w:val="single" w:sz="6" w:space="0" w:color="000001"/>
              <w:left w:val="single" w:sz="6" w:space="0" w:color="000001"/>
              <w:bottom w:val="single" w:sz="4" w:space="0" w:color="00000A"/>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Εκτελεστικός κανονισμός (ΕΕ) αριθ. 636/2014 της Επιτροπής, της 13ης Ιουνίου 2014, σχετικά με τη θέσπιση υποδείγματος πιστοποιητικού για το εμπόριο μεγάλων άγριων θηραμάτων που δεν έχουν υποστεί εκδορά</w:t>
            </w:r>
          </w:p>
        </w:tc>
        <w:tc>
          <w:tcPr>
            <w:tcW w:w="1887" w:type="dxa"/>
            <w:tcBorders>
              <w:top w:val="single" w:sz="6" w:space="0" w:color="000001"/>
              <w:left w:val="single" w:sz="6" w:space="0" w:color="000001"/>
              <w:bottom w:val="single" w:sz="4" w:space="0" w:color="00000A"/>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Απόφαση 2006/677/ΕΚ της Επιτροπής, της 29ης Σεπτεμβρίου 2006, </w:t>
            </w:r>
            <w:r>
              <w:rPr>
                <w:rFonts w:eastAsia="Times New Roman"/>
                <w:noProof/>
                <w:szCs w:val="24"/>
                <w:lang w:eastAsia="en-GB"/>
              </w:rPr>
              <w:t>για τον καθορισμό κατευθυντήριων γραμμών που προβλέπουν κριτήρια για τη διεξαγωγή των ελέγχων βάσει του κανονισμού (ΕΚ) αριθ. 882/2004 του Ευρωπαϊκού Κοινοβουλίου και του Συμβουλίου για τη διενέργεια επίσημων ελέγχων της συμμόρφωσης προς τη νομοθεσία περί ζωοτροφών και τροφίμων και προς τους κανόνες για την υγεία και την καλή διαβίωση των ζώων</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Απόφαση 2007/363/ΕΚ της Επιτροπής, της 21ης Μαΐου 2007, </w:t>
            </w:r>
            <w:r>
              <w:rPr>
                <w:rFonts w:eastAsia="Times New Roman"/>
                <w:noProof/>
                <w:szCs w:val="24"/>
                <w:lang w:eastAsia="en-GB"/>
              </w:rPr>
              <w:t>για κατευθυντήριες γραμμές οι οποίες βοηθούν τα κράτη μέλη στην κατάρτιση του ενιαίου ολοκληρωμένου πολυετούς εθνικού σχεδίου ελέγχου που προβλέπεται στον κανονισμό (ΕΚ) αριθ. 882/2004 του Ευρωπαϊκού Κοινοβουλίου και του Συμβουλίου</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Κανονισμός (ΕΚ) αριθ. 152/2009 της Επιτροπής, της 27ης Ιανουαρίου 2009, για τον καθορισμό μεθόδων δειγματοληψίας και ανάλυσης για τον επίσημο έλεγχο των ζωοτροφών</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Κανονισμός (ΕΚ) αριθ. 669/2009 της Επιτροπής, της 24ης Ιουλίου 2009, για την εφαρμογή του κανονισμού (ΕΚ) αριθ. 882/2004 του Ευρωπαϊκού Κοινοβουλίου και του Συμβουλίου, όσον αφορά το αυξημένο επίπεδο των επίσημων ελέγχων στις εισαγωγές ορισμένων ζωοτροφών και τροφίμων μη ζωικής προέλευσης και για την τροποποίηση της απόφασης 2006/504/ΕΚ</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Απόφαση 2008/654/ΕΚ της Επιτροπής, της 24ης Ιουλίου 2008, </w:t>
            </w:r>
            <w:r>
              <w:rPr>
                <w:rFonts w:eastAsia="Times New Roman"/>
                <w:noProof/>
                <w:szCs w:val="24"/>
                <w:lang w:eastAsia="en-GB"/>
              </w:rPr>
              <w:t>σχετικά με κατευθυντήριες γραμμές που θα βοηθήσουν τα κράτη μέλη στην κατάρτιση της ετήσιας έκθεσης για το ενιαίο ολοκληρωμένο πολυετές εθνικό σχέδιο ελέγχου που προβλέπεται στον κανονισμό (ΕΚ) αριθ. 882/2004 του Ευρωπαϊκού Κοινοβουλίου και του Συμβουλίου</w:t>
            </w:r>
          </w:p>
        </w:tc>
        <w:tc>
          <w:tcPr>
            <w:tcW w:w="1887"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Εκτελεστικός κανονισμός (ΕΕ) αριθ. 702/2013 της Επιτροπής, της 22ας Ιουλίου 2013, για τη λήψη μεταβατικών μέτρων σχετικά με την εφαρμογή του κανονισμού (ΕΚ) αριθ. 882/2004 του Ευρωπαϊκού Κοινοβουλίου και του Συμβουλίου όσον αφορά τη διαπίστευση των επίσημων εργαστηρίων που πραγματοποιούν επίσημες δοκιμές ανίχνευσης Trichinella και για την τροποποίηση του κανονισμού (ΕΚ) αριθ. 1162/2009 της Επιτροπής</w:t>
            </w:r>
          </w:p>
        </w:tc>
        <w:tc>
          <w:tcPr>
            <w:tcW w:w="1887"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Κανονισμός (ΕΚ) αριθ. 854/2004 του Ευρωπαϊκού Κοινοβουλίου και του Συμβουλίου, της 29ης Απριλίου 2004, για τον καθορισμό ειδικών διατάξεων για την οργάνωση των επίσημων ελέγχων στα προϊόντα ζωικής προέλευσης που προορίζονται για κατανάλωση από τον άνθρωπο</w:t>
            </w:r>
          </w:p>
        </w:tc>
        <w:tc>
          <w:tcPr>
            <w:tcW w:w="1887"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bottom w:val="single" w:sz="4" w:space="0" w:color="00000A"/>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Οδηγία 2004/41/ΕΚ του Ευρωπαϊκού Κοινοβουλίου και του Συμβουλίου, της 21ης Απριλίου 2004, για την κατάργηση ορισμένων οδηγιών σχετικών με την υγιεινή των τροφίμων και τους υγειονομικούς όρους για την παραγωγή και διάθεση στην αγορά ορισμένων προϊόντων ζωικής προέλευσης που προορίζονται για ανθρώπινη κατανάλωση και για την τροποποίηση των οδηγιών 89/662/ΕΟΚ και 92/118/ΕΟΚ του Συμβουλίου και της απόφασης 95/408/ΕΚ του Συμβουλίου</w:t>
            </w:r>
          </w:p>
        </w:tc>
        <w:tc>
          <w:tcPr>
            <w:tcW w:w="1887" w:type="dxa"/>
            <w:tcBorders>
              <w:top w:val="single" w:sz="6" w:space="0" w:color="000001"/>
              <w:left w:val="single" w:sz="6" w:space="0" w:color="000001"/>
              <w:bottom w:val="single" w:sz="4" w:space="0" w:color="00000A"/>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Κανονισμός (ΕΚ) αριθ. 470/2009 του Ευρωπαϊκού Κοινοβουλίου και του Συμβουλίου, της 6ης Μαΐου 2009, για θέσπιση κοινοτικών διαδικασιών για τον καθορισμό ορίων καταλοίπων των φαρμακολογικά δραστικών ουσιών στα τρόφιμα ζωικής προέλευσης, για την κατάργηση του κανονισμού (ΕΟΚ) αριθ. 2377/90 του Συμβουλίου και τροποποίηση της οδηγίας 2001/82/ΕΚ του Ευρωπαϊκού Κοινοβουλίου και του Συμβουλίου και του κανονισμού (ΕΚ) αριθ. 726/2004 του Ευρωπαϊκού Κοινοβουλίου και του Συμβουλίου</w:t>
            </w:r>
          </w:p>
        </w:tc>
        <w:tc>
          <w:tcPr>
            <w:tcW w:w="1887" w:type="dxa"/>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2016</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Κανονισμός (ΕΚ) αριθ. 2075/2005 της Επιτροπής, της 5 Δεκεμβρίου 2005, </w:t>
            </w:r>
            <w:r>
              <w:rPr>
                <w:rFonts w:eastAsia="Times New Roman"/>
                <w:noProof/>
                <w:szCs w:val="24"/>
                <w:lang w:eastAsia="en-GB"/>
              </w:rPr>
              <w:t>για τη θέσπιση ειδικών κανόνων σχετικά με τους επίσημους ελέγχους για ανίχνευση Trichinella στο κρέας</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Απόφαση 92/608/ΕΟΚ του Συμβουλίου, της 14ης Νοεμβρίου 1992, </w:t>
            </w:r>
            <w:r>
              <w:rPr>
                <w:rFonts w:eastAsia="Times New Roman"/>
                <w:noProof/>
                <w:szCs w:val="24"/>
                <w:lang w:eastAsia="en-GB"/>
              </w:rPr>
              <w:t>για την καθιέρωση ορισμένων μεθόδων ανάλυσης και δοκιμής του θερμικά επεξεργασμένου γάλακτος που προορίζεται για άμεση ανθρώπινη κατανάλωση</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Απόφαση 2002/226/ΕΚ της Επιτροπής, της 15ης Μαρτίου 2002, </w:t>
            </w:r>
            <w:r>
              <w:rPr>
                <w:rFonts w:eastAsia="Times New Roman"/>
                <w:noProof/>
                <w:szCs w:val="24"/>
                <w:lang w:eastAsia="en-GB"/>
              </w:rPr>
              <w:t>για τη θέσπιση ειδικών υγειονομικών ελέγχων σχετικά με τη συλλογή και την επεξεργασία ορισμένων δίθυρων μαλακίων με επίπεδο αμνησιακής τοξίνης των μαλακίων (ASP) που υπερβαίνει την οριακή τιμή που έχει καθοριστεί στην οδηγία 91/492/ΕΟΚ του Συμβουλίου</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en-GB"/>
              </w:rPr>
              <w:t>Εκτελεστικός κανονισμός (ΕΕ) αριθ. 702/2013 της Επιτροπής, της 22ας Ιουλίου 2013, για τη λήψη μεταβατικών μέτρων σχετικά με την εφαρμογή του κανονισμού (ΕΚ) αριθ. 882/2004 του Ευρωπαϊκού Κοινοβουλίου και του Συμβουλίου όσον αφορά τη διαπίστευση των επίσημων εργαστηρίων που πραγματοποιούν επίσημες δοκιμές ανίχνευσης Trichinella και για την τροποποίηση του κανονισμού (ΕΚ) αριθ. 1162/2009 της Επιτροπής</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Κανονισμός (ΕΚ) αριθ. 1069/2009 του Ευρωπαϊκού Κοινοβουλίου και του Συμβουλίου, της 21ης Οκτωβρίου 2009, περί υγειονομικών κανόνων για ζωικά υποπροϊόντα και παράγωγα προϊόντα που δεν προορίζονται για κατανάλωση από τον άνθρωπο και για την κατάργηση του κανονισμού (ΕΚ) αριθ. 1774/2002</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Κανονισμός (ΕΕ) αριθ. 142/2011 της Επιτροπής, της 25ης Φεβρουαρίου 2011, για την εφαρμογή του κανονισμού (ΕΚ) αριθ. 1069/2009 του Ευρωπαϊκού Κοινοβουλίου και του Συμβουλίου περί υγειονομικών κανόνων για ζωικά υποπροϊόντα και παράγωγα προϊόντα που δεν προορίζονται για κατανάλωση από τον άνθρωπο και για την εφαρμογή της οδηγίας 97/78/ΕΚ του Συμβουλίου όσον αφορά ορισμένα δείγματα και τεμάχια που εξαιρούνται από κτηνιατρικούς ελέγχους στα σύνορα οι οποίοι αναφέρονται στην εν λόγω οδηγία</w:t>
            </w:r>
          </w:p>
        </w:tc>
        <w:tc>
          <w:tcPr>
            <w:tcW w:w="1887"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Κανονισμός (ΕΚ) αριθ. 882/2004 του Ευρωπαϊκού Κοινοβουλίου και του Συμβουλίου, της 29ης Απριλίου 2004, για τη διενέργεια επισήμων ελέγχων της συμμόρφωσης προς τη νομοθεσία περί ζωοτροφών και τροφίμων και προς τους κανόνες για την υγεία και την καλή διαβίωση των ζώων</w:t>
            </w:r>
          </w:p>
        </w:tc>
        <w:tc>
          <w:tcPr>
            <w:tcW w:w="1887"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Κανονισμός (ΕΚ) αριθ. 183/2005 του Ευρωπαϊκού Κοινοβουλίου και του Συμβουλίου, της 12ης Ιανουαρίου 2005, περί καθορισμού των απαιτήσεων για την υγιεινή των ζωοτροφών</w:t>
            </w:r>
          </w:p>
        </w:tc>
        <w:tc>
          <w:tcPr>
            <w:tcW w:w="1887"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bottom w:val="single" w:sz="4" w:space="0" w:color="00000A"/>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Κανονισμός (ΕΚ) αριθ. 141/2007 της Επιτροπής, της 14ης Φεβρουαρίου 2007, σχετικά με μια απαίτηση για έγκριση σύμφωνα με τον κανονισμό (ΕΚ) αριθ. 183/2005 του Ευρωπαϊκού Κοινοβουλίου και του Συμβουλίου για τις εγκαταστάσεις ζωοτροφών που παράγουν ή διαθέτουν στην αγορά πρόσθετες ύλες ζωοτροφών της κατηγορίας κοκκιδιοστατικά και ιστομονοστατικά</w:t>
            </w:r>
          </w:p>
        </w:tc>
        <w:tc>
          <w:tcPr>
            <w:tcW w:w="1887" w:type="dxa"/>
            <w:tcBorders>
              <w:top w:val="single" w:sz="6" w:space="0" w:color="000001"/>
              <w:left w:val="single" w:sz="6" w:space="0" w:color="000001"/>
              <w:bottom w:val="single" w:sz="4" w:space="0" w:color="00000A"/>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9729" w:type="dxa"/>
            <w:gridSpan w:val="2"/>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spacing w:before="0" w:after="0"/>
              <w:jc w:val="center"/>
              <w:rPr>
                <w:rFonts w:eastAsia="Times New Roman"/>
                <w:b/>
                <w:noProof/>
                <w:szCs w:val="24"/>
                <w:lang w:eastAsia="fr-BE"/>
              </w:rPr>
            </w:pPr>
            <w:bookmarkStart w:id="4" w:name="_Toc394585665"/>
            <w:bookmarkEnd w:id="4"/>
            <w:r>
              <w:rPr>
                <w:rFonts w:eastAsia="Times New Roman"/>
                <w:b/>
                <w:noProof/>
                <w:szCs w:val="24"/>
                <w:lang w:eastAsia="fr-BE"/>
              </w:rPr>
              <w:t>Τμήμα 4 – Κανόνες για την ασφάλεια των τροφίμων</w:t>
            </w:r>
          </w:p>
        </w:tc>
      </w:tr>
      <w:tr>
        <w:trPr>
          <w:trHeight w:val="20"/>
        </w:trPr>
        <w:tc>
          <w:tcPr>
            <w:tcW w:w="7842" w:type="dxa"/>
            <w:tcBorders>
              <w:top w:val="single" w:sz="4" w:space="0" w:color="00000A"/>
              <w:left w:val="single" w:sz="4" w:space="0" w:color="00000A"/>
              <w:bottom w:val="single" w:sz="4" w:space="0" w:color="00000A"/>
              <w:right w:val="single" w:sz="6" w:space="0" w:color="000001"/>
            </w:tcBorders>
            <w:shd w:val="clear" w:color="auto" w:fill="FFFFFF"/>
            <w:tcMar>
              <w:left w:w="40"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en-GB"/>
              </w:rPr>
              <w:t>Κανονισμός (ΕΕ) αριθ. 1169/2011 του Ευρωπαϊκού Κοινοβουλίου και του Συμβουλίου,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tc>
        <w:tc>
          <w:tcPr>
            <w:tcW w:w="1887" w:type="dxa"/>
            <w:tcBorders>
              <w:top w:val="single" w:sz="4" w:space="0" w:color="00000A"/>
              <w:left w:val="single" w:sz="6" w:space="0" w:color="000001"/>
              <w:bottom w:val="single" w:sz="4" w:space="0" w:color="00000A"/>
              <w:right w:val="single" w:sz="4" w:space="0" w:color="00000A"/>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Κανονισμός (ΕΚ) αριθ. 1924/2006 του Ευρωπαϊκού Κοινοβουλίου και του Συμβουλίου, της 20ής Δεκεμβρίου 2006, σχετικά με τους ισχυρισμούς διατροφής και υγείας που διατυπώνονται στα τρόφιμα</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2016</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Οδηγία 2011/91/ΕΕ του Ευρωπαϊκού Κοινοβουλίου και του Συμβουλίου, της 13ης Δεκεμβρίου 2011, σχετικά με τις ενδείξεις ή τα σήματα που επιτρέπουν την αναγνώριση της παρτίδας στην οποία ανήκει ένα τρόφιμο</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Κανονισμός (ΕΕ) αριθ. 432/2012 της Επιτροπής, της 16ης Μαΐου 2012, </w:t>
            </w:r>
            <w:r>
              <w:rPr>
                <w:rFonts w:eastAsia="Times New Roman"/>
                <w:noProof/>
                <w:szCs w:val="24"/>
                <w:lang w:eastAsia="en-GB"/>
              </w:rPr>
              <w:t>σχετικά με τη θέσπιση καταλόγου επιτρεπόμενων ισχυρισμών υγείας που διατυπώνονται για τα τρόφιμα, εξαιρουμένων όσων αφορούν τη μείωση του κινδύνου εκδήλωσης ασθένειας και την ανάπτυξη και υγεία των παιδιών</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Κανονισμός (ΕΕ) αριθ. 1047/2012 της Επιτροπής, της 8ης Νοεμβρίου 2012, για την τροποποίηση του κανονισμός (ΕΚ) αριθ. 1924/2006 όσον αφορά τον κατάλογο των ισχυρισμών διατροφής</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2016</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Εκτελεστική απόφαση 2013/63/ΕΕ, της 24ης Ιανουαρίου 2013, </w:t>
            </w:r>
            <w:r>
              <w:rPr>
                <w:rFonts w:eastAsia="Times New Roman"/>
                <w:noProof/>
                <w:szCs w:val="24"/>
                <w:lang w:eastAsia="en-GB"/>
              </w:rPr>
              <w:t>σχετικά με τη θέσπιση κατευθυντήριων γραμμών για την εφαρμογή ειδικών όρων για τους ισχυρισμούς υγείας που καθορίζονται στο άρθρο 10 του κανονισμού (ΕΚ) αριθ. 1924/2006 του Ευρωπαϊκού Κοινοβουλίου και του Συμβουλίου</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2016</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 xml:space="preserve">Κανονισμός (ΕΕ) αριθ. 851/2013 της Επιτροπής, της 3ης Σεπτεμβρίου 2013, </w:t>
            </w:r>
            <w:r>
              <w:rPr>
                <w:rFonts w:eastAsia="Times New Roman"/>
                <w:noProof/>
                <w:szCs w:val="24"/>
                <w:lang w:eastAsia="en-GB"/>
              </w:rPr>
              <w:t>για την έγκριση ορισμένων ισχυρισμών υγείας που διατυπώνονται για τα τρόφιμα, εξαιρουμένων όσων αφορούν τη μείωση του κινδύνου εκδήλωσης ασθένειας και την ανάπτυξη και υγεία των παιδιών και για την τροποποίηση του κανονισμού (ΕΕ) αριθ. 432/2012</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Κανονισμός (ΕΕ) αριθ. 40/2014 της Επιτροπής, της 17ης Ιανουαρίου 2014, </w:t>
            </w:r>
            <w:r>
              <w:rPr>
                <w:rFonts w:eastAsia="Times New Roman"/>
                <w:noProof/>
                <w:szCs w:val="24"/>
                <w:lang w:eastAsia="en-GB"/>
              </w:rPr>
              <w:t>για την έγκριση ενός ισχυρισμού υγείας που διατυπώνεται για τα τρόφιμα, εξαιρουμένων όσων αφορούν τη μείωση του κινδύνου εκδήλωσης ασθένειας και την ανάπτυξη και υγεία των παιδιών, και για την τροποποίηση του κανονισμού (ΕΕ) αριθ. 432/2012</w:t>
            </w:r>
          </w:p>
        </w:tc>
        <w:tc>
          <w:tcPr>
            <w:tcW w:w="1887" w:type="dxa"/>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4" w:space="0" w:color="00000A"/>
              <w:left w:val="single" w:sz="6" w:space="0" w:color="000001"/>
              <w:bottom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Κανονισμός (ΕΚ) αριθ. 1925/2006 του Ευρωπαϊκού Κοινοβουλίου και του Συμβουλίου, της 20ής Δεκεμβρίου 2006, σχετικά με την προσθήκη βιταμινών και ανόργανων συστατικών και ορισμένων άλλων ουσιών στα τρόφιμα</w:t>
            </w:r>
          </w:p>
        </w:tc>
        <w:tc>
          <w:tcPr>
            <w:tcW w:w="1887" w:type="dxa"/>
            <w:tcBorders>
              <w:top w:val="single" w:sz="4" w:space="0" w:color="00000A"/>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bottom w:val="single" w:sz="4" w:space="0" w:color="00000A"/>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 xml:space="preserve">Κανονισμός (ΕΚ) αριθ. 1170/2009 της Επιτροπής, της 30ής Νοεμβρίου 2009, </w:t>
            </w:r>
            <w:r>
              <w:rPr>
                <w:rFonts w:eastAsia="Times New Roman"/>
                <w:noProof/>
                <w:szCs w:val="24"/>
                <w:lang w:eastAsia="en-GB"/>
              </w:rPr>
              <w:t>για την τροποποίηση της οδηγίας 2002/46/ΕΚ του Ευρωπαϊκού Κοινοβουλίου και του Συμβουλίου και του κανονισμού (ΕΚ) αριθ. 1925/2006 του Ευρωπαϊκού Κοινοβουλίου και του Συμβουλίου όσον αφορά τους καταλόγους βιταμινών και ανόργανων συστατικών και των μορφών τους που μπορούν να προστεθούν σε τρόφιμα, συμπεριλαμβανομένων των συμπληρωμάτων διατροφής</w:t>
            </w:r>
          </w:p>
        </w:tc>
        <w:tc>
          <w:tcPr>
            <w:tcW w:w="1887" w:type="dxa"/>
            <w:tcBorders>
              <w:top w:val="single" w:sz="6" w:space="0" w:color="000001"/>
              <w:left w:val="single" w:sz="6" w:space="0" w:color="000001"/>
              <w:bottom w:val="single" w:sz="4" w:space="0" w:color="00000A"/>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pPr>
              <w:widowControl w:val="0"/>
              <w:spacing w:before="0" w:after="200"/>
              <w:rPr>
                <w:rFonts w:eastAsia="Times New Roman"/>
                <w:noProof/>
                <w:szCs w:val="24"/>
                <w:lang w:eastAsia="fr-BE"/>
              </w:rPr>
            </w:pPr>
            <w:r>
              <w:rPr>
                <w:rFonts w:eastAsia="Times New Roman"/>
                <w:noProof/>
                <w:szCs w:val="24"/>
                <w:lang w:eastAsia="fr-BE"/>
              </w:rPr>
              <w:t xml:space="preserve">Κανονισμός (ΕΚ) αριθ. 1331/2008 του Ευρωπαϊκού Κοινοβουλίου και του Συμβουλίου, της 16ης Δεκεμβρίου 2008, </w:t>
            </w:r>
            <w:r>
              <w:rPr>
                <w:rFonts w:eastAsia="Times New Roman"/>
                <w:noProof/>
                <w:szCs w:val="24"/>
                <w:lang w:eastAsia="en-GB"/>
              </w:rPr>
              <w:t>για τη θέσπιση ενιαίας διαδικασίας έγκρισης για τα πρόσθετα τροφίμων, τα ένζυμα τροφίμων και τις αρωματικές ύλες τροφίμων</w:t>
            </w:r>
          </w:p>
        </w:tc>
        <w:tc>
          <w:tcPr>
            <w:tcW w:w="1887"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spacing w:before="0" w:after="200"/>
              <w:rPr>
                <w:rFonts w:eastAsia="Times New Roman"/>
                <w:iCs/>
                <w:noProof/>
                <w:szCs w:val="24"/>
                <w:lang w:eastAsia="fr-BE"/>
              </w:rPr>
            </w:pPr>
            <w:r>
              <w:rPr>
                <w:rFonts w:eastAsia="Times New Roman"/>
                <w:iCs/>
                <w:noProof/>
                <w:szCs w:val="24"/>
                <w:lang w:eastAsia="fr-BE"/>
              </w:rPr>
              <w:t xml:space="preserve">Κανονισμός (ΕΕ) αριθ. 234/2011 της Επιτροπής, της 10ης Μαρτίου 2011, </w:t>
            </w:r>
            <w:r>
              <w:rPr>
                <w:rFonts w:eastAsia="Times New Roman"/>
                <w:noProof/>
                <w:szCs w:val="24"/>
                <w:lang w:eastAsia="en-GB"/>
              </w:rPr>
              <w:t>σχετικά με την εφαρμογή του κανονισμού (ΕΚ) αριθ. 1331/2008 του Ευρωπαϊκού Κοινοβουλίου και του Συμβουλίου για τη θέσπιση ενιαίας διαδικασίας έγκρισης για τα πρόσθετα τροφίμων, τα ένζυμα τροφίμων και τις αρωματικές ύλες τροφίμων</w:t>
            </w:r>
          </w:p>
        </w:tc>
        <w:tc>
          <w:tcPr>
            <w:tcW w:w="1887" w:type="dxa"/>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 xml:space="preserve">Κανονισμός (ΕΚ) αριθ. 1332/2008 του Ευρωπαϊκού Κοινοβουλίου και του Συμβουλίου της 16ης Δεκεμβρίου 2008, </w:t>
            </w:r>
            <w:r>
              <w:rPr>
                <w:rFonts w:eastAsia="Times New Roman"/>
                <w:noProof/>
                <w:szCs w:val="24"/>
                <w:lang w:eastAsia="en-GB"/>
              </w:rPr>
              <w:t>για τα ένζυμα τροφίμων και την τροποποίηση της οδηγίας 83/417/ΕΟΚ του Συμβουλίου, του κανονισμού (ΕΚ) αριθ. 1493/1999 του Συμβουλίου, της οδηγίας 2000/13/ΕΚ, της οδηγίας 2001/112/ΕΚ του Συμβουλίου και του κανονισμού (ΕΚ) αριθ. 258/97</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2016</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Οδηγία 2009/32/ΕΚ του Ευρωπαϊκού Κοινοβουλίου και του Συμβουλίου, της 23ης Απριλίου 2009, </w:t>
            </w:r>
            <w:r>
              <w:rPr>
                <w:rFonts w:eastAsia="Times New Roman"/>
                <w:noProof/>
                <w:szCs w:val="24"/>
                <w:lang w:eastAsia="en-GB"/>
              </w:rPr>
              <w:t>για την προσέγγιση των νομοθεσιών των κρατών μελών που αφορούν τους διαλύτες εκχύλισης οι οποίοι χρησιμοποιούνται στην παρασκευή των τροφίμων και των συστατικών τους</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Κανονισμός (ΕΚ) αριθ. 2232/96 του Ευρωπαϊκού Κοινοβουλίου και του Συμβουλίου, της 28ης Οκτωβρίου 1996, </w:t>
            </w:r>
            <w:r>
              <w:rPr>
                <w:rFonts w:eastAsia="Times New Roman"/>
                <w:noProof/>
                <w:szCs w:val="24"/>
                <w:lang w:eastAsia="en-GB"/>
              </w:rPr>
              <w:t>σχετικά με τη θέσπιση κοινοτικής διαδικασίας για τις αρωματικές ύλες που χρησιμοποιούνται ή προορίζονται να χρησιμοποιηθούν εντός ή επί των τροφίμων</w:t>
            </w:r>
            <w:r>
              <w:rPr>
                <w:rFonts w:eastAsia="Times New Roman"/>
                <w:noProof/>
                <w:szCs w:val="24"/>
                <w:lang w:eastAsia="fr-BE"/>
              </w:rPr>
              <w:t xml:space="preserve"> – άρθρο 1, άρθρο 2, άρθρο 3 παράγραφοι 1 και 2, όπως προβλέπεται στο άρθρο 6 παράγραφος 2 του εκτελεστικού κανονισμού (ΕΕ) αριθ. 872/2012 της Επιτροπής, της 1ης Οκτωβρίου 2012</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Κανονισμός (ΕΚ) αριθ. 2065/2003 του Ευρωπαϊκού Κοινοβουλίου και του Συμβουλίου, της 10ης Νοεμβρίου 2003, </w:t>
            </w:r>
            <w:r>
              <w:rPr>
                <w:rFonts w:eastAsia="Times New Roman"/>
                <w:noProof/>
                <w:szCs w:val="24"/>
                <w:lang w:eastAsia="en-GB"/>
              </w:rPr>
              <w:t>για τα αρτύματα καπνιστών τροφίμων που χρησιμοποιούνται ή προορίζονται να χρησιμοποιηθούν μέσα ή πάνω στα τρόφιμα</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Κανονισμός (ΕΚ) αριθ. 1334/2008 του Ευρωπαϊκού Κοινοβουλίου και του Συμβουλίου, της 16ης Δεκεμβρίου 2008, </w:t>
            </w:r>
            <w:r>
              <w:rPr>
                <w:rFonts w:eastAsia="Times New Roman"/>
                <w:noProof/>
                <w:szCs w:val="24"/>
                <w:lang w:eastAsia="en-GB"/>
              </w:rPr>
              <w:t>για αρωματικές ύλες και ορισμένα συστατικά τροφίμων με αρωματικές ιδιότητες που χρησιμοποιούνται εντός και επί των τροφίμων και για την τροποποίηση του κανονισμού (ΕΟΚ) αριθ. 1601/91 του Συμβουλίου, του κανονισμού (ΕΚ) αριθ. 2232/96, του κανονισμού (ΕΚ) αριθ. 110/2008 και της οδηγίας 2000/13/ΕΚ</w:t>
            </w:r>
          </w:p>
        </w:tc>
        <w:tc>
          <w:tcPr>
            <w:tcW w:w="1887" w:type="dxa"/>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4" w:space="0" w:color="00000A"/>
              <w:left w:val="single" w:sz="6" w:space="0" w:color="000001"/>
              <w:bottom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 xml:space="preserve">Εκτελεστικός κανονισμός (ΕΕ) αριθ. 872/2012 της Επιτροπής, της 1ης Οκτωβρίου 2012, </w:t>
            </w:r>
            <w:r>
              <w:rPr>
                <w:rFonts w:eastAsia="Times New Roman"/>
                <w:noProof/>
                <w:szCs w:val="24"/>
                <w:lang w:eastAsia="en-GB"/>
              </w:rPr>
              <w:t>για την έγκριση του καταλόγου αρτυματικών υλών που προβλέπεται στον κανονισμό (ΕΚ) αριθ. 2232/96 του Ευρωπαϊκού Κοινοβουλίου και του Συμβουλίου, την εισαγωγή του καταλόγου αυτού στο παράρτημα Ι του κανονισμού (ΕΚ) αριθ. 1334/2008 του Ευρωπαϊκού Κοινοβουλίου και του Συμβουλίου και για την κατάργηση του κανονισμού (ΕΚ) αριθ. 1565/2000 της Επιτροπής και της απόφασης 1999/217/ΕΚ της Επιτροπής</w:t>
            </w:r>
          </w:p>
        </w:tc>
        <w:tc>
          <w:tcPr>
            <w:tcW w:w="1887" w:type="dxa"/>
            <w:tcBorders>
              <w:top w:val="single" w:sz="4" w:space="0" w:color="00000A"/>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bottom w:val="single" w:sz="4" w:space="0" w:color="00000A"/>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en-GB"/>
              </w:rPr>
              <w:t>Κανονισμός (ΕΕ) αριθ. 873/2012 της Επιτροπής, της 1ης Οκτωβρίου 2012, για μεταβατικά μέτρα όσον αφορά τον ενωσιακό κατάλογο αρωματικών υλών και πρώτων υλών που καθορίζονται στο παράρτημα Ι του κανονισμού (ΕΚ) αριθ. 1334/2008 του Ευρωπαϊκού Κοινοβουλίου και του Συμβουλίου</w:t>
            </w:r>
          </w:p>
        </w:tc>
        <w:tc>
          <w:tcPr>
            <w:tcW w:w="1887" w:type="dxa"/>
            <w:tcBorders>
              <w:top w:val="single" w:sz="6" w:space="0" w:color="000001"/>
              <w:left w:val="single" w:sz="6" w:space="0" w:color="000001"/>
              <w:bottom w:val="single" w:sz="4" w:space="0" w:color="00000A"/>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pPr>
              <w:widowControl w:val="0"/>
              <w:spacing w:before="0" w:after="200"/>
              <w:rPr>
                <w:rFonts w:eastAsia="Times New Roman"/>
                <w:noProof/>
                <w:szCs w:val="24"/>
                <w:lang w:eastAsia="fr-BE"/>
              </w:rPr>
            </w:pPr>
            <w:r>
              <w:rPr>
                <w:rFonts w:eastAsia="Times New Roman"/>
                <w:noProof/>
                <w:szCs w:val="24"/>
                <w:lang w:eastAsia="en-GB"/>
              </w:rPr>
              <w:t>Εκτελεστικός κανονισμός (ΕΕ) αριθ. 1321/2013 της Επιτροπής, της 10ης Δεκεμβρίου 2013, σχετικά με την κατάρτιση ενωσιακού καταλόγου επιτρεπόμενων πρωτογενών προϊόντων για τα αρτύματα καπνιστών τροφίμων που χρησιμοποιούνται, ως έχουν, μέσα ή πάνω σε τρόφιμα και/ή για την παρασκευή παραγώγων αρτυμάτων καπνιστών τροφίμων</w:t>
            </w:r>
          </w:p>
        </w:tc>
        <w:tc>
          <w:tcPr>
            <w:tcW w:w="1887"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Οδηγία 82/711/ΕΟΚ του Συμβουλίου, της 18ης Οκτωβρίου 1982, </w:t>
            </w:r>
            <w:r>
              <w:rPr>
                <w:rFonts w:eastAsia="Times New Roman"/>
                <w:noProof/>
                <w:szCs w:val="24"/>
                <w:lang w:eastAsia="en-GB"/>
              </w:rPr>
              <w:t>για τον καθορισμό των βασικών κανόνων που είναι αναγκαίοι για τον έλεγχο της μετανάστευσης των συστατικών των υλικών και αντικειμένων από πλαστική ύλη που προορίζονται να έρθουν σε επαφή με τρόφιμα</w:t>
            </w:r>
          </w:p>
        </w:tc>
        <w:tc>
          <w:tcPr>
            <w:tcW w:w="1887" w:type="dxa"/>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2016</w:t>
            </w:r>
          </w:p>
        </w:tc>
      </w:tr>
      <w:tr>
        <w:trPr>
          <w:trHeight w:val="20"/>
        </w:trPr>
        <w:tc>
          <w:tcPr>
            <w:tcW w:w="7842" w:type="dxa"/>
            <w:tcBorders>
              <w:top w:val="single" w:sz="4" w:space="0" w:color="00000A"/>
              <w:left w:val="single" w:sz="4" w:space="0" w:color="00000A"/>
              <w:bottom w:val="single" w:sz="4" w:space="0" w:color="00000A"/>
              <w:right w:val="single" w:sz="6" w:space="0" w:color="000001"/>
            </w:tcBorders>
            <w:shd w:val="clear" w:color="auto" w:fill="FFFFFF"/>
            <w:tcMar>
              <w:left w:w="40" w:type="dxa"/>
            </w:tcMar>
          </w:tcPr>
          <w:p>
            <w:pPr>
              <w:widowControl w:val="0"/>
              <w:spacing w:before="0" w:after="200"/>
              <w:rPr>
                <w:rFonts w:eastAsia="Times New Roman"/>
                <w:noProof/>
                <w:szCs w:val="24"/>
                <w:lang w:eastAsia="fr-BE"/>
              </w:rPr>
            </w:pPr>
            <w:r>
              <w:rPr>
                <w:rFonts w:eastAsia="Times New Roman"/>
                <w:noProof/>
                <w:szCs w:val="24"/>
                <w:lang w:eastAsia="fr-BE"/>
              </w:rPr>
              <w:t>Κανονισμός (ΕΕ) αριθ. 10/2011 της Επιτροπής, της 14ης Ιανουαρίου 2011, για τα πλαστικά υλικά και αντικείμενα που προορίζονται να έρθουν σε επαφή με τρόφιμα</w:t>
            </w:r>
          </w:p>
        </w:tc>
        <w:tc>
          <w:tcPr>
            <w:tcW w:w="1887" w:type="dxa"/>
            <w:tcBorders>
              <w:top w:val="single" w:sz="4" w:space="0" w:color="00000A"/>
              <w:left w:val="single" w:sz="6" w:space="0" w:color="000001"/>
              <w:bottom w:val="single" w:sz="4" w:space="0" w:color="00000A"/>
              <w:right w:val="single" w:sz="4" w:space="0" w:color="00000A"/>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2016</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 xml:space="preserve">Οδηγία 84/500/ΕΟΚ του Συμβουλίου, της 15ης Οκτωβρίου 1984, </w:t>
            </w:r>
            <w:r>
              <w:rPr>
                <w:rFonts w:eastAsia="Times New Roman"/>
                <w:noProof/>
                <w:szCs w:val="24"/>
                <w:lang w:eastAsia="en-GB"/>
              </w:rPr>
              <w:t>για την προσέγγιση των νομοθεσιών των κρατών μελών όσον αφορά τα κεραμικά αντικείμενα που προορίζονται να έλθουν σε επαφή με τα τρόφιμα</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2015</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 xml:space="preserve">Οδηγία 2007/42/ΕΚ της Επιτροπής, της 29ης Ιουνίου 2007, </w:t>
            </w:r>
            <w:r>
              <w:rPr>
                <w:rFonts w:eastAsia="Times New Roman"/>
                <w:noProof/>
                <w:szCs w:val="24"/>
                <w:lang w:eastAsia="en-GB"/>
              </w:rPr>
              <w:t>περί των υλικών και των αντικειμένων από μεμβράνη αναγεννημένης κυτταρίνης που προορίζονται να έλθουν σε επαφή με τα τρόφιμα</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 xml:space="preserve">Οδηγία 78/142/ΕΟΚ του Συμβουλίου, της 30ής Ιανουαρίου 1978, </w:t>
            </w:r>
            <w:r>
              <w:rPr>
                <w:rFonts w:eastAsia="Times New Roman"/>
                <w:noProof/>
                <w:szCs w:val="24"/>
                <w:lang w:eastAsia="en-GB"/>
              </w:rPr>
              <w:t>περί προσεγγίσεως των νομοθεσιών των κρατών μελών σχετικά με τα υλικά και τα αντικείμενα που περιέχουν μονομερές βινυλοχλωρίδιο και προορίζονται να έλθουν σε επαφή με τρόφιμα</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 xml:space="preserve">Οδηγία 93/11/ΕΟΚ της Επιτροπής, της 15ης Μαρτίου 1993, </w:t>
            </w:r>
            <w:r>
              <w:rPr>
                <w:rFonts w:eastAsia="Times New Roman"/>
                <w:noProof/>
                <w:szCs w:val="24"/>
                <w:lang w:eastAsia="en-GB"/>
              </w:rPr>
              <w:t>σχετικά με την ελευθέρωση Ν-νιτροζαμινών και Ν- νιτροζώσιμων από τις θηλές θηλάστρων και τα ψευδοθήλαστρα (πιπίλες) από ελαστομερές ή καουτσούκ</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 xml:space="preserve">Κανονισμός (ΕΚ) αριθ. 1895/2005 της Επιτροπής, της 18ης Νοεμβρίου 2005, </w:t>
            </w:r>
            <w:r>
              <w:rPr>
                <w:rFonts w:eastAsia="Times New Roman"/>
                <w:noProof/>
                <w:szCs w:val="24"/>
                <w:lang w:eastAsia="en-GB"/>
              </w:rPr>
              <w:t>για περιορισμό της χρήσης ορισμένων εποξεικών παραγώγων σε υλικά και αντικείμενα που προορίζονται να έλθουν σε επαφή με τρόφιμα</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 xml:space="preserve">Κανονισμός (ΕΚ) αριθ. 450/2009 της Επιτροπής, της 29ης Μαΐου 2009, </w:t>
            </w:r>
            <w:r>
              <w:rPr>
                <w:rFonts w:eastAsia="Times New Roman"/>
                <w:noProof/>
                <w:szCs w:val="24"/>
                <w:lang w:eastAsia="en-GB"/>
              </w:rPr>
              <w:t>σχετικά με τα ενεργά και νοήμονα υλικά και αντικείμενα που προορίζονται να έλθουν σε επαφή με τρόφιμα</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en-GB"/>
              </w:rPr>
              <w:t>Κανονισμός (ΕΕ) αριθ. 284/2011 της Επιτροπής, της 22ας Μαρτίου 2011, για καθορισμό ειδικών όρων και λεπτομερών διαδικασιών για την εισαγωγή πλαστικών ειδών κουζίνας από πολυαμίδια και μελαμίνη καταγωγής ή προέλευσης Λαϊκής Δημοκρατίας της Κίνας και Ειδικής Διοικητικής Περιοχής Χονγκ Κονγκ της Κίνας</w:t>
            </w:r>
          </w:p>
        </w:tc>
        <w:tc>
          <w:tcPr>
            <w:tcW w:w="1887" w:type="dxa"/>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2016</w:t>
            </w:r>
          </w:p>
        </w:tc>
      </w:tr>
      <w:tr>
        <w:trPr>
          <w:trHeight w:val="20"/>
        </w:trPr>
        <w:tc>
          <w:tcPr>
            <w:tcW w:w="7842" w:type="dxa"/>
            <w:tcBorders>
              <w:top w:val="single" w:sz="4" w:space="0" w:color="00000A"/>
              <w:left w:val="single" w:sz="6" w:space="0" w:color="000001"/>
              <w:bottom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en-GB"/>
              </w:rPr>
              <w:t>Εκτελεστικός κανονισμός (ΕΕ) αριθ. 321/2011 της Επιτροπής, της 1ης Απριλίου 2011, για την τροποποίηση του κανονισμού (EE) αριθ. 10/2011 όσον αφορά τον περιορισμό της χρήσης της δισφαινόλης Α στα πλαστικά μπουκάλια βρεφικής διατροφής</w:t>
            </w:r>
          </w:p>
        </w:tc>
        <w:tc>
          <w:tcPr>
            <w:tcW w:w="1887" w:type="dxa"/>
            <w:tcBorders>
              <w:top w:val="single" w:sz="4" w:space="0" w:color="00000A"/>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2016</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spacing w:before="0" w:after="200"/>
              <w:rPr>
                <w:noProof/>
                <w:szCs w:val="24"/>
              </w:rPr>
            </w:pPr>
            <w:r>
              <w:rPr>
                <w:rFonts w:eastAsia="Times New Roman"/>
                <w:noProof/>
                <w:szCs w:val="24"/>
                <w:lang w:eastAsia="en-GB"/>
              </w:rPr>
              <w:t>Κανονισμός (ΕΚ) αριθ. 282/2008 της Επιτροπής, της 27ης Μαρτίου 2008, για τα υλικά και αντικείμενα από ανακυκλωμένο πλαστικό τα οποία προορίζονται να έρθουν σε επαφή με τρόφιμα και για την τροποποίηση του κανονισμού (ΕΚ) αριθ. 2023/2006</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2015</w:t>
            </w:r>
          </w:p>
        </w:tc>
      </w:tr>
      <w:tr>
        <w:trPr>
          <w:trHeight w:val="20"/>
        </w:trPr>
        <w:tc>
          <w:tcPr>
            <w:tcW w:w="7842" w:type="dxa"/>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Οδηγία 2002/46/ΕΚ του Ευρωπαϊκού Κοινοβουλίου και του Συμβουλίου, της 10ης Ιουνίου 2002, για την προσέγγιση των νομοθεσιών των κρατών μελών περί των συμπληρωμάτων διατροφής</w:t>
            </w:r>
          </w:p>
        </w:tc>
        <w:tc>
          <w:tcPr>
            <w:tcW w:w="1887" w:type="dxa"/>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2016</w:t>
            </w:r>
          </w:p>
        </w:tc>
      </w:tr>
      <w:tr>
        <w:trPr>
          <w:trHeight w:val="20"/>
        </w:trPr>
        <w:tc>
          <w:tcPr>
            <w:tcW w:w="7842"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pPr>
              <w:widowControl w:val="0"/>
              <w:spacing w:before="0" w:after="200"/>
              <w:rPr>
                <w:rFonts w:eastAsia="Times New Roman"/>
                <w:noProof/>
                <w:szCs w:val="24"/>
                <w:lang w:eastAsia="fr-BE"/>
              </w:rPr>
            </w:pPr>
            <w:r>
              <w:rPr>
                <w:rFonts w:eastAsia="Times New Roman"/>
                <w:noProof/>
                <w:szCs w:val="24"/>
                <w:lang w:eastAsia="en-GB"/>
              </w:rPr>
              <w:t>Κανονισμός (ΕΕ) αριθ. 609/2013 του Ευρωπαϊκού Κοινοβουλίου και του Συμβουλίου, της 12ης Ιουνίου 2013, για τα τρόφιμα τα οποία προορίζονται για βρέφη και μικρά παιδιά και για τα τρόφιμα που προορίζονται για ειδικούς ιατρικούς σκοπούς, και ως υποκατάστατα του συνόλου του διαιτολογίου για τον έλεγχο του σωματικού βάρους και για την κατάργηση της οδηγίας 92/52/ΕΟΚ του Συμβουλίου, των οδηγιών της Επιτροπής 96/8/ΕΚ, 1999/21/ΕΚ, 2006/125/ΕΚ και 2006/141/ΕΚ, της οδηγίας 2009/39/ΕΚ του Ευρωπαϊκού Κοινοβουλίου και του Συμβουλίου και των κανονισμών της Επιτροπής (ΕΚ) αριθ. 41/2009 και (ΕΚ) αριθ. 953/2009</w:t>
            </w:r>
          </w:p>
        </w:tc>
        <w:tc>
          <w:tcPr>
            <w:tcW w:w="1887"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pPr>
              <w:widowControl w:val="0"/>
              <w:spacing w:before="40" w:after="40"/>
              <w:jc w:val="center"/>
              <w:rPr>
                <w:rFonts w:eastAsia="Times New Roman"/>
                <w:noProof/>
                <w:szCs w:val="24"/>
                <w:lang w:eastAsia="fr-BE"/>
              </w:rPr>
            </w:pPr>
            <w:r>
              <w:rPr>
                <w:rFonts w:eastAsia="Times New Roman"/>
                <w:noProof/>
                <w:szCs w:val="24"/>
                <w:lang w:eastAsia="fr-BE"/>
              </w:rPr>
              <w:t>2016</w:t>
            </w:r>
          </w:p>
        </w:tc>
      </w:tr>
      <w:tr>
        <w:trPr>
          <w:trHeight w:val="20"/>
        </w:trPr>
        <w:tc>
          <w:tcPr>
            <w:tcW w:w="7842"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pPr>
              <w:widowControl w:val="0"/>
              <w:spacing w:before="0" w:after="200"/>
              <w:rPr>
                <w:rFonts w:eastAsia="Times New Roman"/>
                <w:noProof/>
                <w:szCs w:val="24"/>
                <w:lang w:eastAsia="fr-BE"/>
              </w:rPr>
            </w:pPr>
            <w:r>
              <w:rPr>
                <w:rFonts w:eastAsia="Times New Roman"/>
                <w:noProof/>
                <w:szCs w:val="24"/>
                <w:lang w:eastAsia="en-GB"/>
              </w:rPr>
              <w:t>Οδηγία 2006/141/ΕΚ της Επιτροπής, της 22ας Δεκεμβρίου 2006, σχετικά με τα παρασκευάσματα για βρέφη και τα παρασκευάσματα δεύτερης βρεφικής ηλικίας και την τροποποίηση της οδηγίας 1999/21/ΕΚ</w:t>
            </w:r>
          </w:p>
        </w:tc>
        <w:tc>
          <w:tcPr>
            <w:tcW w:w="1887"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pPr>
              <w:widowControl w:val="0"/>
              <w:spacing w:before="40" w:after="40"/>
              <w:jc w:val="center"/>
              <w:rPr>
                <w:rFonts w:eastAsia="Times New Roman"/>
                <w:noProof/>
                <w:szCs w:val="24"/>
                <w:lang w:eastAsia="fr-BE"/>
              </w:rPr>
            </w:pPr>
            <w:r>
              <w:rPr>
                <w:rFonts w:eastAsia="Times New Roman"/>
                <w:noProof/>
                <w:szCs w:val="24"/>
                <w:lang w:eastAsia="fr-BE"/>
              </w:rPr>
              <w:t>2016</w:t>
            </w:r>
          </w:p>
        </w:tc>
      </w:tr>
      <w:tr>
        <w:trPr>
          <w:trHeight w:val="20"/>
        </w:trPr>
        <w:tc>
          <w:tcPr>
            <w:tcW w:w="7842" w:type="dxa"/>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en-GB"/>
              </w:rPr>
              <w:t>Κανονισμός (ΕΚ) αριθ. 41/2009 της Επιτροπής, της 20ής Ιανουαρίου 2009, σχετικά με τη σύνθεση και την επισήμανση τροφίμων κατάλληλων για άτομα με δυσανεξία στη γλουτένη</w:t>
            </w:r>
          </w:p>
        </w:tc>
        <w:tc>
          <w:tcPr>
            <w:tcW w:w="1887" w:type="dxa"/>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4" w:space="0" w:color="00000A"/>
              <w:left w:val="single" w:sz="4" w:space="0" w:color="00000A"/>
              <w:bottom w:val="single" w:sz="4" w:space="0" w:color="00000A"/>
              <w:right w:val="single" w:sz="6" w:space="0" w:color="000001"/>
            </w:tcBorders>
            <w:shd w:val="clear" w:color="auto" w:fill="FFFFFF"/>
            <w:tcMar>
              <w:left w:w="40"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en-GB"/>
              </w:rPr>
              <w:t>Κανονισμός (ΕΚ) αριθ. 953/2009 της Επιτροπής, της 13ης Οκτωβρίου 2009, σχετικά με ουσίες που επιτρέπεται να προστίθενται για ειδικούς διατροφικούς σκοπούς σε τρόφιμα τα οποία προορίζονται για ειδική διατροφή</w:t>
            </w:r>
          </w:p>
        </w:tc>
        <w:tc>
          <w:tcPr>
            <w:tcW w:w="1887" w:type="dxa"/>
            <w:tcBorders>
              <w:top w:val="single" w:sz="4" w:space="0" w:color="00000A"/>
              <w:left w:val="single" w:sz="6" w:space="0" w:color="000001"/>
              <w:bottom w:val="single" w:sz="4" w:space="0" w:color="00000A"/>
              <w:right w:val="single" w:sz="4" w:space="0" w:color="00000A"/>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 xml:space="preserve">Οδηγία 92/2/ΕΟΚ της Επιτροπής, της 13ης Ιανουαρίου 1992, </w:t>
            </w:r>
            <w:r>
              <w:rPr>
                <w:rFonts w:eastAsia="Times New Roman"/>
                <w:noProof/>
                <w:szCs w:val="24"/>
                <w:lang w:eastAsia="en-GB"/>
              </w:rPr>
              <w:t>για τον καθορισμό του τρόπου δειγματοληψίας και της κοινοτικής μεθόδου ανάλυσης για τον επίσημο έλεγχο των θερμοκρασιών των τροφίμων βαθείας καταψύξεως που προορίζονται για τη διατροφή του ανθρώπου</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en-GB"/>
              </w:rPr>
              <w:t>Κανονισμός (ΕΚ) αριθ. 37/2005 της Επιτροπής, της 12ης Ιανουαρίου 2005, σχετικά με τον έλεγχο της θερμοκρασίας στα μέσα μεταφοράς και στους χώρους αποθήκευσης και φύλαξης τροφίμων βαθείας καταψύξεως που προορίζονται για τη διατροφή του ανθρώπου</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Κανονισμός (ΕΟΚ) αριθ. 315/93 του Συμβουλίου, της 8ης Φεβρουαρίου 1993, για τη θέσπιση κοινοτικών διαδικασιών για τις προσμείξεις των τροφίμων</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2016</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Σύσταση 2006/794/ΕΚ της Επιτροπής, της 16ης Νοεμβρίου 2006, για την παρακολούθηση των βασικών επιπέδων διοξινών, παρόμοιων με τις διοξίνες PCBs και μη παρόμοιων με τις διοξίνες PCBs στα τρόφιμα</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Κανονισμός (ΕΚ) αριθ. 1881/2006 της Επιτροπής, της 19ης Δεκεμβρίου 2006, για καθορισμό μέγιστων επιτρεπτών επιπέδων για ορισμένες ουσίες οι οποίες επιμολύνουν τα τρόφιμα</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2016</w:t>
            </w:r>
          </w:p>
        </w:tc>
      </w:tr>
      <w:tr>
        <w:trPr>
          <w:trHeight w:val="20"/>
        </w:trPr>
        <w:tc>
          <w:tcPr>
            <w:tcW w:w="7842" w:type="dxa"/>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Κανονισμός (ΕΚ) αριθ. 333/2007 της Επιτροπής, της 28ης Μαρτίου 2007, για τον καθορισμό μεθόδων δειγματοληψίας και ανάλυσης για τον επίσημο έλεγχο των επιπέδων μολύβδου, καδμίου, υδραργύρου, ανόργανου κασσιτέρου, 3-μονοχλωροπροπανοδιόλης και πολυκυκλικών αρωματικών υδρογονανθράκων στα τρόφιμα</w:t>
            </w:r>
          </w:p>
        </w:tc>
        <w:tc>
          <w:tcPr>
            <w:tcW w:w="1887" w:type="dxa"/>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2016</w:t>
            </w:r>
          </w:p>
        </w:tc>
      </w:tr>
      <w:tr>
        <w:trPr>
          <w:trHeight w:val="20"/>
        </w:trPr>
        <w:tc>
          <w:tcPr>
            <w:tcW w:w="7842" w:type="dxa"/>
            <w:tcBorders>
              <w:top w:val="single" w:sz="4" w:space="0" w:color="00000A"/>
              <w:left w:val="single" w:sz="6" w:space="0" w:color="000001"/>
              <w:bottom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Σύσταση 2011/516/ΕΕ της Επιτροπής, της 23ης Αυγούστου 2011, για τη μείωση της παρουσίας διοξινών, φουρανίων και πολυχλωριωμένων διφαινυλίων (PCB) στις ζωοτροφές και στα τρόφιμα</w:t>
            </w:r>
          </w:p>
        </w:tc>
        <w:tc>
          <w:tcPr>
            <w:tcW w:w="1887" w:type="dxa"/>
            <w:tcBorders>
              <w:top w:val="single" w:sz="4" w:space="0" w:color="00000A"/>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en-GB"/>
              </w:rPr>
              <w:t>Κανονισμός (ΕΕ) αριθ. 589/2014 της Επιτροπής, της 2ας Ιουνίου 2014, για καθορισμό των μεθόδων δειγματοληψίας και ανάλυσης για τον έλεγχο των επιπέδων των διοξινών, των παρόμοιων με διοξίνες PCB και των μη παρόμοιων με διοξίνες PCB σε ορισμένα τρόφιμα και την κατάργηση του κανονισμού (ΕΕ) αριθ. 252/2012</w:t>
            </w:r>
          </w:p>
        </w:tc>
        <w:tc>
          <w:tcPr>
            <w:tcW w:w="1887"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Σύσταση 2013/165/ΕΕ της Επιτροπής, της 27ης Μαρτίου 2013, για την παρουσία των τοξινών T-2 και HT-2 στα σιτηρά και τα προϊόντα σιτηρών</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Κανονισμός (ΕΚ) αριθ. 258/97 του Ευρωπαϊκού Κοινοβουλίου και του Συμβουλίου, της 27ης Ιανουαρίου 1997, σχετικά με τα νέα τρόφιμα και τα νέα συστατικά τροφίμων</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Οδηγία 1999/2/ΕΚ του Ευρωπαϊκού Κοινοβουλίου και του Συμβουλίου, της 22ας Φεβρουαρίου 1999, </w:t>
            </w:r>
            <w:r>
              <w:rPr>
                <w:rFonts w:eastAsia="Times New Roman"/>
                <w:noProof/>
                <w:szCs w:val="24"/>
                <w:lang w:eastAsia="en-GB"/>
              </w:rPr>
              <w:t>για την προσέγγιση των νομοθεσιών των κρατών μελών όσον αφορά τα τρόφιμα και τα συστατικά τροφίμων που έχουν υποστεί επεξεργασία με ιοντίζουσα ακτινοβολία</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Οδηγία 1999/3/ΕΚ του Ευρωπαϊκού Κοινοβουλίου και του Συμβουλίου, της 22ας Φεβρουαρίου 1999, </w:t>
            </w:r>
            <w:r>
              <w:rPr>
                <w:rFonts w:eastAsia="Times New Roman"/>
                <w:noProof/>
                <w:szCs w:val="24"/>
                <w:lang w:eastAsia="en-GB"/>
              </w:rPr>
              <w:t>για τη θέσπιση κοινοτικού καταλόγου τροφίμων και συστατικών τροφίμων που υποβάλλονται σε επεξεργασία με ιοντίζουσα ακτινοβολία</w:t>
            </w:r>
          </w:p>
        </w:tc>
        <w:tc>
          <w:tcPr>
            <w:tcW w:w="1887" w:type="dxa"/>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en-GB"/>
              </w:rPr>
              <w:t>Οδηγία 2009/54/ΕΚ του Ευρωπαϊκού Κοινοβουλίου και του Συμβουλίου, της 18ης Ιουνίου 2009, σχετικά με την εκμετάλλευση και τη θέση στο εμπόριο των φυσικών μεταλλικών νερών</w:t>
            </w:r>
          </w:p>
        </w:tc>
        <w:tc>
          <w:tcPr>
            <w:tcW w:w="1887"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en-GB"/>
              </w:rPr>
              <w:t>Οδηγία 2003/40/ΕΚ της Επιτροπής, της 16ης Μαΐου 2003, για τον καθορισμό του καταλόγου, των οριακών τιμών συγκεντρώσεων και των ενδείξεων για την επισήμανση των συστατικών των φυσικών μεταλλικών νερών, καθώς και των όρων χρήσης του εμπλουτισμένου με όζον αέρα στην κατεργασία ορισμένων φυσικών μεταλλικών νερών και νερών πηγής</w:t>
            </w:r>
          </w:p>
        </w:tc>
        <w:tc>
          <w:tcPr>
            <w:tcW w:w="1887" w:type="dxa"/>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4" w:space="0" w:color="00000A"/>
              <w:left w:val="single" w:sz="4" w:space="0" w:color="00000A"/>
              <w:bottom w:val="single" w:sz="4" w:space="0" w:color="00000A"/>
              <w:right w:val="single" w:sz="6" w:space="0" w:color="000001"/>
            </w:tcBorders>
            <w:shd w:val="clear" w:color="auto" w:fill="FFFFFF"/>
            <w:tcMar>
              <w:left w:w="40"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 xml:space="preserve">Κανονισμός (ΕΕ) αριθ. 115/2010 της Επιτροπής, της 9ης Φεβρουαρίου 2010, </w:t>
            </w:r>
            <w:r>
              <w:rPr>
                <w:rFonts w:eastAsia="Times New Roman"/>
                <w:noProof/>
                <w:szCs w:val="24"/>
                <w:lang w:eastAsia="en-GB"/>
              </w:rPr>
              <w:t>για τον καθορισμό των ειδικών όρων που διέπουν τη χρήση ενεργοποιημένης αλουμίνας για την απομάκρυνση των φθοριούχων ιόντων από ορισμένα φυσικά μεταλλικά νερά και νερά πηγής</w:t>
            </w:r>
          </w:p>
        </w:tc>
        <w:tc>
          <w:tcPr>
            <w:tcW w:w="1887" w:type="dxa"/>
            <w:tcBorders>
              <w:top w:val="single" w:sz="4" w:space="0" w:color="00000A"/>
              <w:left w:val="single" w:sz="6" w:space="0" w:color="000001"/>
              <w:bottom w:val="single" w:sz="4" w:space="0" w:color="00000A"/>
              <w:right w:val="single" w:sz="4" w:space="0" w:color="00000A"/>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9729" w:type="dxa"/>
            <w:gridSpan w:val="2"/>
            <w:tcBorders>
              <w:top w:val="single" w:sz="4" w:space="0" w:color="00000A"/>
              <w:left w:val="single" w:sz="6" w:space="0" w:color="000001"/>
              <w:right w:val="single" w:sz="6" w:space="0" w:color="000001"/>
            </w:tcBorders>
            <w:shd w:val="clear" w:color="auto" w:fill="FFFFFF"/>
            <w:tcMar>
              <w:left w:w="37" w:type="dxa"/>
            </w:tcMar>
          </w:tcPr>
          <w:p>
            <w:pPr>
              <w:widowControl w:val="0"/>
              <w:spacing w:before="0" w:after="0"/>
              <w:jc w:val="center"/>
              <w:rPr>
                <w:rFonts w:eastAsia="Times New Roman"/>
                <w:b/>
                <w:noProof/>
                <w:szCs w:val="24"/>
                <w:lang w:eastAsia="fr-BE"/>
              </w:rPr>
            </w:pPr>
            <w:bookmarkStart w:id="5" w:name="_Toc394585681"/>
            <w:bookmarkEnd w:id="5"/>
            <w:r>
              <w:rPr>
                <w:rFonts w:eastAsia="Times New Roman"/>
                <w:b/>
                <w:noProof/>
                <w:szCs w:val="24"/>
                <w:lang w:eastAsia="fr-BE"/>
              </w:rPr>
              <w:t>Τμήμα 5 – Ειδικοί κανόνες για τις ζωοτροφές</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en-GB"/>
              </w:rPr>
              <w:t>Κανονισμός (ΕΚ) αριθ. 767/2009 του Ευρωπαϊκού Κοινοβουλίου και του Συμβουλίου, της 13ης Ιουλίου 2009, για τη διάθεση στην αγορά και τη χρήση ζωοτροφών, την τροποποίηση του κανονισμού (ΕΚ) αριθ. 1831/2003 του Ευρωπαϊκού Κοινοβουλίου και του Συμβουλίου, και την κατάργηση των οδηγιών 79/373/ΕΟΚ του Συμβουλίου, 80/511/ΕΟΚ της Επιτροπής, 82/471/ΕΟΚ του Συμβουλίου, 83/228/ΕΚ του Συμβουλίου, 93/74/ΕΟΚ του Συμβουλίου, 93/113/ΕΚ του Συμβουλίου, 96/25/ΕΚ του Συμβουλίου, και της απόφασης 2004/217/ΕΚ της Επιτροπής</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Οδηγία 82/475/ΕΟΚ της Επιτροπής, της 23ης Ιουνίου 1982, </w:t>
            </w:r>
            <w:r>
              <w:rPr>
                <w:rFonts w:eastAsia="Times New Roman"/>
                <w:noProof/>
                <w:szCs w:val="24"/>
                <w:lang w:eastAsia="en-GB"/>
              </w:rPr>
              <w:t>περί καθορισμού των κατηγοριών πρώτων υλών ζωοτροφών που δύνανται να χρησιμοποιηθούν για τη σήμανση των σύνθετων τροφών για οικιακά ζώα</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en-GB"/>
              </w:rPr>
              <w:t>Οδηγία 2008/38/ΕΚ της Επιτροπής, της 5ης Μαρτίου 2008, για την κατάρτιση καταλόγου των χρήσεων για τις οποίες προορίζονται οι ζωοτροφές με τις οποίες επιδιώκονται στόχοι ιδιαίτερης διατροφής (Κωδικοποιημένη έκδοση)</w:t>
            </w:r>
          </w:p>
        </w:tc>
        <w:tc>
          <w:tcPr>
            <w:tcW w:w="1887" w:type="dxa"/>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4" w:space="0" w:color="00000A"/>
              <w:left w:val="single" w:sz="6" w:space="0" w:color="000001"/>
              <w:bottom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Σύσταση 2011/25/ΕΕ της Επιτροπής, της 14ης Ιανουαρίου 2011, για τον καθορισμό κατευθυντήριων γραμμών για τη διάκριση μεταξύ των πρώτων υλών ζωοτροφών, των πρόσθετων υλών στις ζωοτροφές, των βιοκτόνων προϊόντων και των κτηνιατρικών φαρμάκων</w:t>
            </w:r>
          </w:p>
        </w:tc>
        <w:tc>
          <w:tcPr>
            <w:tcW w:w="1887" w:type="dxa"/>
            <w:tcBorders>
              <w:top w:val="single" w:sz="4" w:space="0" w:color="00000A"/>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Κανονισμός (ΕΕ) αριθ. 68/2013 της Επιτροπής, της 16ης Ιανουαρίου 2013, για τον κατάλογο πρώτων υλών ζωοτροφών</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 xml:space="preserve">Κανονισμός (ΕΚ) αριθ. 1876/2006 της Επιτροπής, της 18ης Δεκεμβρίου 2006, </w:t>
            </w:r>
            <w:r>
              <w:rPr>
                <w:rFonts w:eastAsia="Times New Roman"/>
                <w:noProof/>
                <w:szCs w:val="24"/>
                <w:lang w:eastAsia="en-GB"/>
              </w:rPr>
              <w:t>σχετικά με τη χορήγηση προσωρινής και μόνιμης άδειας κυκλοφορίας για ορισμένες πρόσθετες ύλες στις ζωοτροφές</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en-GB"/>
              </w:rPr>
              <w:t>Κανονισμός (ΕΚ) αριθ. 429/2008 της Επιτροπής, της 25ης Απριλίου 2008, σχετικά με τους λεπτομερείς κανόνες εφαρμογής του κανονισμού (ΕΚ) αριθ. 1831/2003 του Ευρωπαϊκού Κοινοβουλίου και του Συμβουλίου όσον αφορά την προετοιμασία και υποβολή αιτήσεων και την αξιολόγηση και χορήγηση αδειών για πρόσθετες ύλες ζωοτροφών</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 xml:space="preserve">Κανονισμός (ΕΕ) αριθ. 1270/2009 της Επιτροπής, της 21ης Δεκεμβρίου 2009, </w:t>
            </w:r>
            <w:r>
              <w:rPr>
                <w:rFonts w:eastAsia="Times New Roman"/>
                <w:noProof/>
                <w:szCs w:val="24"/>
                <w:lang w:eastAsia="en-GB"/>
              </w:rPr>
              <w:t>σχετικά με τη μόνιμη έγκριση ορισμένων πρόσθετων υλών για χρήση στις ζωοτροφές</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en-GB"/>
              </w:rPr>
              <w:t>Κανονισμός (ΕΕ) αριθ. 892/2010 της Επιτροπής, της 8ης Οκτωβρίου 2010, ως προς το καθεστώς ορισμένων προϊόντων αναφορικά με τις πρόσθετες ύλες ζωοτροφών στο πλαίσιο του κανονισμού (ΕΚ) αριθ. 1831/2003 του Ευρωπαϊκού Κοινοβουλίου και του Συμβουλίου</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Σύσταση 2004/704/ΕΚ της Επιτροπής, της 11ης Οκτωβρίου 2004, για τον έλεγχο των βασικών επιπέδων των διοξινών και των παρόμοιων με τις διοξίνες πολυχλωριωμένων διφαινυλίων στις ζωοτροφές</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9729" w:type="dxa"/>
            <w:gridSpan w:val="2"/>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spacing w:before="0" w:after="0"/>
              <w:jc w:val="center"/>
              <w:rPr>
                <w:rFonts w:eastAsia="Times New Roman"/>
                <w:b/>
                <w:i/>
                <w:noProof/>
                <w:szCs w:val="24"/>
                <w:lang w:eastAsia="fr-BE"/>
              </w:rPr>
            </w:pPr>
            <w:bookmarkStart w:id="6" w:name="_Toc303008844"/>
            <w:bookmarkStart w:id="7" w:name="_Toc127327624"/>
            <w:bookmarkEnd w:id="6"/>
            <w:bookmarkEnd w:id="7"/>
            <w:r>
              <w:rPr>
                <w:rFonts w:eastAsia="Times New Roman"/>
                <w:b/>
                <w:noProof/>
                <w:szCs w:val="24"/>
                <w:lang w:eastAsia="fr-BE"/>
              </w:rPr>
              <w:t>Τμήμα 6 – Φυτοϋγειονομικά θέματα</w:t>
            </w:r>
          </w:p>
        </w:tc>
      </w:tr>
      <w:tr>
        <w:trPr>
          <w:trHeight w:val="20"/>
        </w:trPr>
        <w:tc>
          <w:tcPr>
            <w:tcW w:w="7842"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pPr>
              <w:widowControl w:val="0"/>
              <w:spacing w:before="0" w:after="200"/>
              <w:rPr>
                <w:rFonts w:eastAsia="Times New Roman"/>
                <w:noProof/>
                <w:szCs w:val="24"/>
                <w:lang w:eastAsia="fr-BE"/>
              </w:rPr>
            </w:pPr>
            <w:r>
              <w:rPr>
                <w:rFonts w:eastAsia="Times New Roman"/>
                <w:noProof/>
                <w:szCs w:val="24"/>
                <w:lang w:eastAsia="en-GB"/>
              </w:rPr>
              <w:t>Οδηγία 2000/29/ΕΚ του Συμβουλίου, της 8ης Μαΐου 2000, περί μέτρων κατά της εισαγωγής στην Κοινότητα οργανισμών επιβλαβών για τα φυτά ή τα φυτικά προϊόντα και κατά της εξάπλωσής τους στο εσωτερικό της Κοινότητας</w:t>
            </w:r>
          </w:p>
        </w:tc>
        <w:tc>
          <w:tcPr>
            <w:tcW w:w="1887"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pPr>
              <w:widowControl w:val="0"/>
              <w:spacing w:before="40" w:after="40"/>
              <w:jc w:val="center"/>
              <w:rPr>
                <w:rFonts w:eastAsia="Times New Roman"/>
                <w:noProof/>
                <w:szCs w:val="24"/>
                <w:lang w:eastAsia="fr-BE"/>
              </w:rPr>
            </w:pPr>
            <w:r>
              <w:rPr>
                <w:rFonts w:eastAsia="Times New Roman"/>
                <w:noProof/>
                <w:szCs w:val="24"/>
                <w:lang w:eastAsia="fr-BE"/>
              </w:rPr>
              <w:t>2020</w:t>
            </w:r>
          </w:p>
        </w:tc>
      </w:tr>
      <w:tr>
        <w:trPr>
          <w:trHeight w:val="20"/>
        </w:trPr>
        <w:tc>
          <w:tcPr>
            <w:tcW w:w="7842" w:type="dxa"/>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Κανονισμός (ΕΚ) αριθ. 1756/2004 της Επιτροπής, της 11ης Οκτωβρίου 2004, για τον καθορισμό των λεπτομερών όρων σχετικά με τις απαιτούμενες αποδείξεις και τα κριτήρια για τον τύπο και το επίπεδο της μείωσης των φυτοϋγειονομικών ελέγχων ορισμένων φυτών, φυτικών προϊόντων ή λοιπών αντικειμένων που απαριθμούνται στο μέρος Β του παραρτήματος V της οδηγίας 2000/29/ΕΚ του Συμβουλίου</w:t>
            </w:r>
          </w:p>
        </w:tc>
        <w:tc>
          <w:tcPr>
            <w:tcW w:w="1887" w:type="dxa"/>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pPr>
              <w:widowControl w:val="0"/>
              <w:spacing w:before="0" w:after="200"/>
              <w:rPr>
                <w:rFonts w:eastAsia="Times New Roman"/>
                <w:noProof/>
                <w:szCs w:val="24"/>
                <w:lang w:eastAsia="fr-BE"/>
              </w:rPr>
            </w:pPr>
            <w:r>
              <w:rPr>
                <w:rFonts w:eastAsia="Times New Roman"/>
                <w:noProof/>
                <w:szCs w:val="24"/>
                <w:lang w:eastAsia="en-GB"/>
              </w:rPr>
              <w:t>Οδηγία 2004/103/ΕΚ της Επιτροπής, της 7ης Οκτωβρίου 2004, σχετικά με τους ελέγχους ταυτότητας και τους φυτοϋγειονομικούς ελέγχους φυτών, φυτικών προϊόντων και άλλων αντικειμένων, που απαριθμούνται στο μέρος Β του παραρτήματος V της οδηγίας 2000/29/ΕΚ του Συμβουλίου, οι οποίοι μπορεί να διενεργηθούν σε τόπο διαφορετικό από το σημείο εισόδου στην Κοινότητα ή σε παρακείμενο τόπο, καθώς και σχετικά με τον καθορισμό των όρων για τους εν λόγω ελέγχους</w:t>
            </w:r>
          </w:p>
        </w:tc>
        <w:tc>
          <w:tcPr>
            <w:tcW w:w="1887"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spacing w:before="0" w:after="200"/>
              <w:rPr>
                <w:rFonts w:eastAsia="Times New Roman"/>
                <w:bCs/>
                <w:noProof/>
                <w:szCs w:val="24"/>
                <w:lang w:eastAsia="fr-BE"/>
              </w:rPr>
            </w:pPr>
            <w:r>
              <w:rPr>
                <w:rFonts w:eastAsia="Times New Roman"/>
                <w:noProof/>
                <w:szCs w:val="24"/>
                <w:lang w:eastAsia="en-GB"/>
              </w:rPr>
              <w:t>Εκτελεστική οδηγία 2014/78/ΕΕ της Επιτροπής, της 17ης Ιουνίου 2014, για τροποποίηση των παραρτημάτων I, II, ΙΙΙ, IV και V της οδηγίας 2000/29/ΕΚ του Συμβουλίου περί μέτρων κατά της εισαγωγής στην Κοινότητα οργανισμών επιβλαβών για τα φυτά ή τα φυτικά προϊόντα και κατά της εξάπλωσής τους στο εσωτερικό της Κοινότητας</w:t>
            </w:r>
          </w:p>
        </w:tc>
        <w:tc>
          <w:tcPr>
            <w:tcW w:w="1887" w:type="dxa"/>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4" w:space="0" w:color="00000A"/>
              <w:left w:val="single" w:sz="6" w:space="0" w:color="000001"/>
              <w:bottom w:val="single" w:sz="6" w:space="0" w:color="000001"/>
              <w:right w:val="single" w:sz="6" w:space="0" w:color="000001"/>
            </w:tcBorders>
            <w:shd w:val="clear" w:color="auto" w:fill="FFFFFF"/>
            <w:tcMar>
              <w:left w:w="37" w:type="dxa"/>
            </w:tcMar>
          </w:tcPr>
          <w:p>
            <w:pPr>
              <w:widowControl w:val="0"/>
              <w:spacing w:before="0" w:after="200"/>
              <w:rPr>
                <w:rFonts w:eastAsia="Times New Roman"/>
                <w:bCs/>
                <w:noProof/>
                <w:szCs w:val="24"/>
                <w:lang w:eastAsia="fr-BE"/>
              </w:rPr>
            </w:pPr>
            <w:r>
              <w:rPr>
                <w:rFonts w:eastAsia="Times New Roman"/>
                <w:noProof/>
                <w:szCs w:val="24"/>
                <w:lang w:eastAsia="en-GB"/>
              </w:rPr>
              <w:t>Εκτελεστική οδηγία 2014/83/ΕΕ της Επιτροπής, της 25ης Ιουνίου 2014, για τροποποίηση των παραρτημάτων I, II, ΙΙΙ, IV και V της οδηγίας 2000/29/ΕΚ του Συμβουλίου περί μέτρων κατά της εισαγωγής στην Κοινότητα οργανισμών επιβλαβών για τα φυτά ή τα φυτικά προϊόντα και κατά της εξάπλωσής τους στο εσωτερικό της Κοινότητας</w:t>
            </w:r>
          </w:p>
        </w:tc>
        <w:tc>
          <w:tcPr>
            <w:tcW w:w="1887" w:type="dxa"/>
            <w:tcBorders>
              <w:top w:val="single" w:sz="4" w:space="0" w:color="00000A"/>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Οδηγία 74/647/ΕΟΚ του Συμβουλίου, της 9ης Δεκεμβρίου 1974, περί της καταπολεμήσεως του φυλλοδέτη των γαρυφάλλων</w:t>
            </w:r>
          </w:p>
        </w:tc>
        <w:tc>
          <w:tcPr>
            <w:tcW w:w="1887"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2016</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Εκτελεστική απόφαση 2014/497/ΕΕ, της 23ης Ιουλίου 2014, </w:t>
            </w:r>
            <w:r>
              <w:rPr>
                <w:rFonts w:eastAsia="Times New Roman"/>
                <w:noProof/>
                <w:szCs w:val="24"/>
                <w:lang w:eastAsia="en-GB"/>
              </w:rPr>
              <w:t>σχετικά με έκτακτα μέτρα για την πρόληψη της εισαγωγής και της εξάπλωσης στην Ένωση του οργανισμού Xylella fastidiosa (Well και Raju)</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2016</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Απόφαση 2002/757/ΕΚ της Επιτροπής, της 19ης Σεπτεμβρίου 2002, </w:t>
            </w:r>
            <w:r>
              <w:rPr>
                <w:rFonts w:eastAsia="Times New Roman"/>
                <w:noProof/>
                <w:szCs w:val="24"/>
                <w:lang w:eastAsia="en-GB"/>
              </w:rPr>
              <w:t>σχετικά με τη λήψη προσωρινών και επειγόντων φυτοϋγειονομικών μέτρων για την αποφυγή της εισαγωγής και της εξάπλωσης, μέσα στην Κοινότητα, του Phytophthora ramorum Werres, De Cock &amp; Man in 't Veld sp. nov.</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2016</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Απόφαση 2006/464/ΕΚ της Επιτροπής, της 27ης Ιουνίου 2006, </w:t>
            </w:r>
            <w:r>
              <w:rPr>
                <w:rFonts w:eastAsia="Times New Roman"/>
                <w:noProof/>
                <w:szCs w:val="24"/>
                <w:lang w:eastAsia="en-GB"/>
              </w:rPr>
              <w:t>σχετικά με προσωρινά έκτακτα μέτρα για την πρόληψη της εισαγωγής και της εξάπλωσης στην Κοινότητα του Dryocosmus kuriphilus Yasumatsu</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0" w:after="0"/>
              <w:rPr>
                <w:rFonts w:eastAsia="Times New Roman"/>
                <w:noProof/>
                <w:szCs w:val="24"/>
                <w:lang w:eastAsia="en-GB"/>
              </w:rPr>
            </w:pPr>
            <w:r>
              <w:rPr>
                <w:rFonts w:eastAsia="Times New Roman"/>
                <w:noProof/>
                <w:szCs w:val="24"/>
                <w:lang w:eastAsia="fr-BE"/>
              </w:rPr>
              <w:t xml:space="preserve">Απόφαση 2003/766/ΕΚ της Επιτροπής, της 24ης Οκτωβρίου 2003, </w:t>
            </w:r>
            <w:r>
              <w:rPr>
                <w:rFonts w:eastAsia="Times New Roman"/>
                <w:noProof/>
                <w:szCs w:val="24"/>
                <w:lang w:eastAsia="en-GB"/>
              </w:rPr>
              <w:t>για τη λήψη μέτρων επείγοντος χαρακτήρα ώστε να αποφευχθεί η εξάπλωση εντός της Κοινότητας της Diabrotica virgifera Le Conte</w:t>
            </w:r>
          </w:p>
          <w:p>
            <w:pPr>
              <w:widowControl w:val="0"/>
              <w:spacing w:before="0" w:after="0"/>
              <w:rPr>
                <w:rFonts w:eastAsia="Times New Roman"/>
                <w:noProof/>
                <w:szCs w:val="24"/>
                <w:lang w:eastAsia="fr-BE"/>
              </w:rPr>
            </w:pP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en-GB"/>
              </w:rPr>
              <w:t>Εκτελεστική οδηγία 2014/19/ΕΕ της Επιτροπής, της 6ης Φεβρουαρίου 2014, για την τροποποίηση του παραρτήματος I της οδηγίας 2000/29/ΕΚ του Συμβουλίου περί μέτρων κατά της εισαγωγής στην Κοινότητα οργανισμών επιβλαβών για τα φυτά ή τα φυτικά προϊόντα και κατά της εξάπλωσής τους στο εσωτερικό της Κοινότητας</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Εκτελεστική απόφαση (ΕΕ) 2015/749 της Επιτροπής, της 7ης Μαΐου 2015, για την κατάργηση της απόφασης 2007/410/ΕΚ σχετικά με μέτρα για την πρόληψη της εισαγωγής και της εξάπλωσης στην Κοινότητα του ιοειδούς οργανισμού που προκαλεί ατράκτωση των κονδύλων των γεωμήλων</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Απόφαση 2008/840/ΕΚ της Επιτροπής, της 7ης Νοεμβρίου 2008, </w:t>
            </w:r>
            <w:r>
              <w:rPr>
                <w:rFonts w:eastAsia="Times New Roman"/>
                <w:noProof/>
                <w:szCs w:val="24"/>
                <w:lang w:eastAsia="en-GB"/>
              </w:rPr>
              <w:t>σχετικά με έκτακτα μέτρα για την πρόληψη της εισαγωγής και της εξάπλωσης στην Κοινότητα του Anoplophora chinensis (Forster)</w:t>
            </w:r>
          </w:p>
        </w:tc>
        <w:tc>
          <w:tcPr>
            <w:tcW w:w="1887" w:type="dxa"/>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pPr>
              <w:widowControl w:val="0"/>
              <w:spacing w:before="0" w:after="200"/>
              <w:rPr>
                <w:rFonts w:eastAsia="Times New Roman"/>
                <w:noProof/>
                <w:szCs w:val="24"/>
                <w:lang w:eastAsia="fr-BE"/>
              </w:rPr>
            </w:pPr>
            <w:r>
              <w:rPr>
                <w:rFonts w:eastAsia="Times New Roman"/>
                <w:noProof/>
                <w:szCs w:val="24"/>
                <w:lang w:eastAsia="fr-BE"/>
              </w:rPr>
              <w:t xml:space="preserve">Εκτελεστική απόφαση 2012/270/ΕΕ της Επιτροπής, της 16ης Μαΐου 2012, </w:t>
            </w:r>
            <w:r>
              <w:rPr>
                <w:rFonts w:eastAsia="Times New Roman"/>
                <w:noProof/>
                <w:szCs w:val="24"/>
                <w:lang w:eastAsia="en-GB"/>
              </w:rPr>
              <w:t>σχετικά με μέτρα έκτακτης ανάγκης για την πρόληψη της εισαγωγής και της εξάπλωσης μέσα στην Ένωση των οργανισμών Epitrix cucumeris (Harris), Epitrix similaris (Gentner), Epitrix subcrinita (Lec.) και Epitrix tuberis (Gentner)</w:t>
            </w:r>
          </w:p>
        </w:tc>
        <w:tc>
          <w:tcPr>
            <w:tcW w:w="1887"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pPr>
              <w:widowControl w:val="0"/>
              <w:spacing w:before="40" w:after="40"/>
              <w:jc w:val="center"/>
              <w:rPr>
                <w:rFonts w:eastAsia="Times New Roman"/>
                <w:noProof/>
                <w:szCs w:val="24"/>
                <w:lang w:eastAsia="fr-BE"/>
              </w:rPr>
            </w:pPr>
            <w:r>
              <w:rPr>
                <w:rFonts w:eastAsia="Times New Roman"/>
                <w:noProof/>
                <w:szCs w:val="24"/>
                <w:lang w:eastAsia="fr-BE"/>
              </w:rPr>
              <w:t>2016</w:t>
            </w:r>
          </w:p>
        </w:tc>
      </w:tr>
      <w:tr>
        <w:trPr>
          <w:trHeight w:val="20"/>
        </w:trPr>
        <w:tc>
          <w:tcPr>
            <w:tcW w:w="7842" w:type="dxa"/>
            <w:tcBorders>
              <w:top w:val="single" w:sz="4" w:space="0" w:color="00000A"/>
              <w:left w:val="single" w:sz="6" w:space="0" w:color="000001"/>
              <w:bottom w:val="single" w:sz="4" w:space="0" w:color="00000A"/>
              <w:right w:val="single" w:sz="4" w:space="0" w:color="00000A"/>
            </w:tcBorders>
            <w:shd w:val="clear" w:color="auto" w:fill="FFFFFF"/>
            <w:tcMar>
              <w:left w:w="37" w:type="dxa"/>
            </w:tcMar>
          </w:tcPr>
          <w:p>
            <w:pPr>
              <w:widowControl w:val="0"/>
              <w:spacing w:before="0" w:after="200"/>
              <w:rPr>
                <w:noProof/>
              </w:rPr>
            </w:pPr>
            <w:r>
              <w:rPr>
                <w:rFonts w:eastAsia="Times New Roman"/>
                <w:noProof/>
                <w:szCs w:val="24"/>
                <w:lang w:eastAsia="fr-BE"/>
              </w:rPr>
              <w:t xml:space="preserve">Απόφαση 2006/133/ΕΚ της Επιτροπής, της 13ης Φεβρουαρίου 2006, </w:t>
            </w:r>
            <w:r>
              <w:rPr>
                <w:rFonts w:eastAsia="Times New Roman"/>
                <w:noProof/>
                <w:szCs w:val="24"/>
                <w:lang w:eastAsia="en-GB"/>
              </w:rPr>
              <w:t>που απαιτεί από τα κράτη μέλη να λάβουν, προσωρινά, συμπληρωματικά μέτρα κατά της εξάπλωσης του Bursaphelenchus xylophilus (Steiner et Buhrer) Nickle et al. [νηματώδης σκώληκας των κωνοφόρων (ΝΣΚ)] όσον αφορά ορισμένες περιοχές στην Πορτογαλία, εκτός εκείνων στις οποίες διαπιστώθηκε ότι δεν έχει εμφανιστεί ο ΝΣΚ</w:t>
            </w:r>
          </w:p>
        </w:tc>
        <w:tc>
          <w:tcPr>
            <w:tcW w:w="1887"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spacing w:before="0" w:after="200"/>
              <w:rPr>
                <w:noProof/>
              </w:rPr>
            </w:pPr>
            <w:r>
              <w:rPr>
                <w:rFonts w:eastAsia="Times New Roman"/>
                <w:noProof/>
                <w:szCs w:val="24"/>
                <w:lang w:eastAsia="fr-BE"/>
              </w:rPr>
              <w:t xml:space="preserve">Εκτελεστική απόφαση 2012/535/ΕΕ της Επιτροπής, της 26ης Σεπτεμβρίου 2012, </w:t>
            </w:r>
            <w:r>
              <w:rPr>
                <w:rFonts w:eastAsia="Times New Roman"/>
                <w:noProof/>
                <w:szCs w:val="24"/>
                <w:lang w:eastAsia="en-GB"/>
              </w:rPr>
              <w:t>για τη λήψη μέτρων επείγοντος χαρακτήρα ώστε να αποφευχθεί η εξάπλωση εντός της Ένωσης του Bursaphelenchus xylophilus (Steiner et Buhrer) Nickle et al. (ο νηματώδης σκώληκας των κωνοφόρων)</w:t>
            </w:r>
          </w:p>
        </w:tc>
        <w:tc>
          <w:tcPr>
            <w:tcW w:w="1887" w:type="dxa"/>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i/>
                <w:noProof/>
                <w:szCs w:val="24"/>
                <w:lang w:eastAsia="fr-BE"/>
              </w:rPr>
            </w:pPr>
            <w:r>
              <w:rPr>
                <w:rFonts w:eastAsia="Times New Roman"/>
                <w:noProof/>
                <w:szCs w:val="24"/>
                <w:lang w:eastAsia="fr-BE"/>
              </w:rPr>
              <w:t xml:space="preserve">Εκτελεστική απόφαση 2012/138/ΕΕ της Επιτροπής, της 1ης Μαρτίου 2012, </w:t>
            </w:r>
            <w:r>
              <w:rPr>
                <w:rFonts w:eastAsia="Times New Roman"/>
                <w:noProof/>
                <w:szCs w:val="24"/>
                <w:lang w:eastAsia="en-GB"/>
              </w:rPr>
              <w:t>σχετικά με έκτακτα μέτρα για την πρόληψη της εισαγωγής και της εξάπλωσης στην Ένωση του Anoplophora chinensis (Forster)</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Κανονισμός (ΕΚ) αριθ. 690/2008 της Επιτροπής, της 4ης Ιουλίου 2008, για την αναγνώριση προστατευόμενων περιοχών που είναι εκτεθειμένες σε ιδιαίτερους φυτοϋγειονομικούς κινδύνους στην Κοινότητα</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en-GB"/>
              </w:rPr>
              <w:t>Οδηγία 93/50/ΕΟΚ της Επιτροπής, της 24ης Ιουνίου 1993, για τον προσδιορισμό ορισμένων φυτών που δεν περιλαμβάνονται στο παράρτημα V μέρος Α της οδηγίας 77/93/ΕΟΚ του Συμβουλίου των οποίων οι παραγωγοί ή οι αποθήκες, ή τα κέντρα διανομής, στις ζώνες παραγωγής των εν λόγω φυτών, πρέπει να καταγράφονται σε επίσημο μητρώο</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Απόφαση 2004/416/ΕΚ της Επιτροπής, της 29ης Απριλίου 2004, σχετικά με προσωρινά έκτακτα μέτρα για ορισμένα εσπεριδοειδή καταγωγής Βραζιλίας</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2020</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i/>
                <w:noProof/>
                <w:szCs w:val="24"/>
                <w:lang w:eastAsia="fr-BE"/>
              </w:rPr>
            </w:pPr>
            <w:r>
              <w:rPr>
                <w:rFonts w:eastAsia="Times New Roman"/>
                <w:noProof/>
                <w:szCs w:val="24"/>
                <w:lang w:eastAsia="fr-BE"/>
              </w:rPr>
              <w:t xml:space="preserve">Απόφαση 2006/473/ΕΚ της Επιτροπής, της 5ης Ιουλίου 2006, </w:t>
            </w:r>
            <w:r>
              <w:rPr>
                <w:rFonts w:eastAsia="Times New Roman"/>
                <w:noProof/>
                <w:szCs w:val="24"/>
                <w:lang w:eastAsia="en-GB"/>
              </w:rPr>
              <w:t>για την αναγνώριση ορισμένων τρίτων χωρών και ορισμένων περιοχών τρίτων χωρών ως απαλλαγμένων από Xanthomonas campestris (όλα τα παθογόνα στελέχη για τα εσπεριδοειδή), Cercospora angolensis Carv. et Mendes και Guignardia citricarpa Kiely (όλα τα παθογόνα στελέχη για τα εσπεριδοειδή)</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2020</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Εκτελεστική απόφαση 2012/756/ΕΕ, της 5ης Δεκεμβρίου 2012, </w:t>
            </w:r>
            <w:r>
              <w:rPr>
                <w:rFonts w:eastAsia="Times New Roman"/>
                <w:noProof/>
                <w:szCs w:val="24"/>
                <w:lang w:eastAsia="en-GB"/>
              </w:rPr>
              <w:t>όσον αφορά τα μέτρα για την πρόληψη της εισαγωγής και της εξάπλωσης στην Ένωση του Pseudomonas syringae pv. actinidiae Takikawa, Serizawa, Ichikawa, Tsuyumu &amp; Goto</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2020</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Εκτελεστική απόφαση 2013/92/ΕΕ της Επιτροπής, της 18ης Φεβρουαρίου 2013, </w:t>
            </w:r>
            <w:r>
              <w:rPr>
                <w:rFonts w:eastAsia="Times New Roman"/>
                <w:noProof/>
                <w:szCs w:val="24"/>
                <w:lang w:eastAsia="en-GB"/>
              </w:rPr>
              <w:t>για την επιτήρηση, τους φυτοϋγειονομικούς ελέγχους και τα μέτρα που πρέπει να ληφθούν για τα υλικά ξύλινων συσκευασιών που χρησιμοποιούνται σήμερα για τη μεταφορά συγκεκριμένων εμπορευμάτων καταγωγής Κίνας</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Εκτελεστική απόφαση 2014/237/ΕΕ, της 24ης Απριλίου 2014, </w:t>
            </w:r>
            <w:r>
              <w:rPr>
                <w:rFonts w:eastAsia="Times New Roman"/>
                <w:noProof/>
                <w:szCs w:val="24"/>
                <w:lang w:eastAsia="en-GB"/>
              </w:rPr>
              <w:t>σχετικά με μέτρα για την πρόληψη της εισαγωγής και της διασποράς στην Ένωση επιβλαβών οργανισμών όσον αφορά ορισμένα φρούτα και λαχανικά προέλευσης Ινδίας</w:t>
            </w:r>
          </w:p>
        </w:tc>
        <w:tc>
          <w:tcPr>
            <w:tcW w:w="1887" w:type="dxa"/>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pPr>
              <w:widowControl w:val="0"/>
              <w:spacing w:before="0" w:after="200"/>
              <w:rPr>
                <w:rFonts w:eastAsia="Times New Roman"/>
                <w:i/>
                <w:noProof/>
                <w:szCs w:val="24"/>
                <w:lang w:eastAsia="fr-BE"/>
              </w:rPr>
            </w:pPr>
            <w:r>
              <w:rPr>
                <w:rFonts w:eastAsia="Times New Roman"/>
                <w:noProof/>
                <w:szCs w:val="24"/>
                <w:lang w:eastAsia="fr-BE"/>
              </w:rPr>
              <w:t xml:space="preserve">Εκτελεστική απόφαση 2014/422/ΕΕ, της 2ας Ιουλίου 2014, </w:t>
            </w:r>
            <w:r>
              <w:rPr>
                <w:rFonts w:eastAsia="Times New Roman"/>
                <w:noProof/>
                <w:szCs w:val="24"/>
                <w:lang w:eastAsia="en-GB"/>
              </w:rPr>
              <w:t>για τον καθορισμό μέτρων όσον αφορά ορισμένα εσπεριδοειδή καταγωγής Νότιας Αφρικής με σκοπό την πρόληψη της εισαγωγής και της εξάπλωσης του Ρhyllosticta citricarpa (ΜcΑlpine) Van der Aa στην Ένωση</w:t>
            </w:r>
          </w:p>
        </w:tc>
        <w:tc>
          <w:tcPr>
            <w:tcW w:w="1887"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pPr>
              <w:widowControl w:val="0"/>
              <w:spacing w:before="40" w:after="40"/>
              <w:jc w:val="center"/>
              <w:rPr>
                <w:rFonts w:eastAsia="Times New Roman"/>
                <w:noProof/>
                <w:szCs w:val="24"/>
                <w:lang w:eastAsia="fr-BE"/>
              </w:rPr>
            </w:pPr>
            <w:r>
              <w:rPr>
                <w:rFonts w:eastAsia="Times New Roman"/>
                <w:noProof/>
                <w:szCs w:val="24"/>
                <w:lang w:eastAsia="fr-BE"/>
              </w:rPr>
              <w:t>2020</w:t>
            </w:r>
          </w:p>
        </w:tc>
      </w:tr>
      <w:tr>
        <w:trPr>
          <w:trHeight w:val="20"/>
        </w:trPr>
        <w:tc>
          <w:tcPr>
            <w:tcW w:w="7842" w:type="dxa"/>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Οδηγία 98/22/ΕΚ της Επιτροπής, της 15ης Απριλίου 1998, </w:t>
            </w:r>
            <w:r>
              <w:rPr>
                <w:rFonts w:eastAsia="Times New Roman"/>
                <w:noProof/>
                <w:szCs w:val="24"/>
                <w:lang w:eastAsia="en-GB"/>
              </w:rPr>
              <w:t>για τον καθορισμό των ελάχιστων όρων για τη διενέργεια φυτοϋγειονομικών ελέγχων στην Κοινότητα σε φυτά, φυτικά προϊόντα ή άλλα αντικείμενα που προέρχονται από τρίτες χώρες σε σταθμούς επιθεώρησης διαφορετικούς από εκείνους του τόπου προορισμού</w:t>
            </w:r>
          </w:p>
        </w:tc>
        <w:tc>
          <w:tcPr>
            <w:tcW w:w="1887" w:type="dxa"/>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2016</w:t>
            </w:r>
          </w:p>
        </w:tc>
      </w:tr>
      <w:tr>
        <w:trPr>
          <w:trHeight w:val="20"/>
        </w:trPr>
        <w:tc>
          <w:tcPr>
            <w:tcW w:w="7842" w:type="dxa"/>
            <w:tcBorders>
              <w:top w:val="single" w:sz="4" w:space="0" w:color="00000A"/>
              <w:left w:val="single" w:sz="4" w:space="0" w:color="00000A"/>
              <w:bottom w:val="single" w:sz="4" w:space="0" w:color="00000A"/>
              <w:right w:val="single" w:sz="6" w:space="0" w:color="000001"/>
            </w:tcBorders>
            <w:shd w:val="clear" w:color="auto" w:fill="FFFFFF"/>
            <w:tcMar>
              <w:left w:w="40" w:type="dxa"/>
            </w:tcMar>
          </w:tcPr>
          <w:p>
            <w:pPr>
              <w:widowControl w:val="0"/>
              <w:spacing w:before="0" w:after="200"/>
              <w:rPr>
                <w:rFonts w:eastAsia="Times New Roman"/>
                <w:noProof/>
                <w:szCs w:val="24"/>
                <w:lang w:eastAsia="fr-BE"/>
              </w:rPr>
            </w:pPr>
            <w:r>
              <w:rPr>
                <w:rFonts w:eastAsia="Times New Roman"/>
                <w:noProof/>
                <w:szCs w:val="24"/>
                <w:lang w:eastAsia="en-GB"/>
              </w:rPr>
              <w:t>Οδηγία 2008/61/ΕΚ της Επιτροπής, της 17ης Ιουνίου 2008, για τη θέσπιση των όρων βάσει των οποίων ορισμένοι επιβλαβείς οργανισμοί, φυτά, φυτικά προϊόντα και λοιπά που αναφέρονται στα παραρτήματα I έως V της οδηγίας 2000/29/ΕΚ του Συμβουλίου, είναι δυνατόν να εισαχθούν ή να διακινηθούν στην Κοινότητα ή σε ορισμένες προστατευόμενες ζώνες της, για δοκιμές ή για επιστημονικούς σκοπούς, καθώς και για εργασίες επιλογής ποικιλιών (Κωδικοποιημένη έκδοση)</w:t>
            </w:r>
          </w:p>
        </w:tc>
        <w:tc>
          <w:tcPr>
            <w:tcW w:w="1887" w:type="dxa"/>
            <w:tcBorders>
              <w:top w:val="single" w:sz="4" w:space="0" w:color="00000A"/>
              <w:left w:val="single" w:sz="6" w:space="0" w:color="000001"/>
              <w:bottom w:val="single" w:sz="4" w:space="0" w:color="00000A"/>
              <w:right w:val="single" w:sz="4" w:space="0" w:color="00000A"/>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2016</w:t>
            </w:r>
          </w:p>
        </w:tc>
      </w:tr>
      <w:tr>
        <w:trPr>
          <w:trHeight w:val="20"/>
        </w:trPr>
        <w:tc>
          <w:tcPr>
            <w:tcW w:w="7842" w:type="dxa"/>
            <w:tcBorders>
              <w:top w:val="single" w:sz="4" w:space="0" w:color="00000A"/>
              <w:left w:val="single" w:sz="6" w:space="0" w:color="000001"/>
              <w:bottom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en-GB"/>
              </w:rPr>
              <w:t>Κανονισμός (ΕΚ) αριθ. 1107/2009 του Ευρωπαϊκού Κοινοβουλίου και του Συμβουλίου, της 21ης Οκτωβρίου 2009, σχετικά με τη διάθεση φυτοπροστατευτικών προϊόντων στην αγορά και την κατάργηση των οδηγιών 79/117/ΕΟΚ και 91/414/ΕΟΚ του Συμβουλίου</w:t>
            </w:r>
          </w:p>
        </w:tc>
        <w:tc>
          <w:tcPr>
            <w:tcW w:w="1887" w:type="dxa"/>
            <w:tcBorders>
              <w:top w:val="single" w:sz="4" w:space="0" w:color="00000A"/>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2020</w:t>
            </w:r>
          </w:p>
        </w:tc>
      </w:tr>
      <w:tr>
        <w:trPr>
          <w:trHeight w:val="20"/>
        </w:trPr>
        <w:tc>
          <w:tcPr>
            <w:tcW w:w="7842" w:type="dxa"/>
            <w:tcBorders>
              <w:top w:val="single" w:sz="6" w:space="0" w:color="000001"/>
              <w:left w:val="single" w:sz="6" w:space="0" w:color="000001"/>
              <w:bottom w:val="single" w:sz="4" w:space="0" w:color="00000A"/>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 xml:space="preserve">Εκτελεστικός κανονισμός (ΕΕ) αριθ. 540/2011 της Επιτροπής, της 25ης Μαΐου 2011, </w:t>
            </w:r>
            <w:r>
              <w:rPr>
                <w:rFonts w:eastAsia="Times New Roman"/>
                <w:noProof/>
                <w:szCs w:val="24"/>
                <w:lang w:eastAsia="en-GB"/>
              </w:rPr>
              <w:t>σχετικά με την εφαρμογή του κανονισμού (ΕΚ) αριθ. 1107/2009 του Ευρωπαϊκού Κοινοβουλίου και του Συμβουλίου όσον αφορά τον κατάλογο των εγκεκριμένων δραστικών ουσιών</w:t>
            </w:r>
          </w:p>
        </w:tc>
        <w:tc>
          <w:tcPr>
            <w:tcW w:w="1887" w:type="dxa"/>
            <w:tcBorders>
              <w:top w:val="single" w:sz="6" w:space="0" w:color="000001"/>
              <w:left w:val="single" w:sz="6" w:space="0" w:color="000001"/>
              <w:bottom w:val="single" w:sz="4" w:space="0" w:color="00000A"/>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4" w:space="0" w:color="00000A"/>
              <w:left w:val="single" w:sz="6" w:space="0" w:color="000001"/>
              <w:bottom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Κανονισμός (ΕΕ) αριθ. 544/2011 της Επιτροπής, της 10ης Ιουνίου 2011, για την εφαρμογή του κανονισμού (ΕΚ) αριθ. 1107/2009 του Ευρωπαϊκού Κοινοβουλίου και του Συμβουλίου όσον αφορά τις απαιτήσεις δεδομένων σχετικά με τις δραστικές ουσίες</w:t>
            </w:r>
          </w:p>
        </w:tc>
        <w:tc>
          <w:tcPr>
            <w:tcW w:w="1887" w:type="dxa"/>
            <w:tcBorders>
              <w:top w:val="single" w:sz="4" w:space="0" w:color="00000A"/>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Κανονισμός (ΕΕ) αριθ. 545/2011 της Επιτροπής, της 10ης Ιουνίου 2011, σχετικά με την εφαρμογή του κανονισμού (ΕΚ) αριθ. 1107/2009 του Ευρωπαϊκού Κοινοβουλίου και του Συμβουλίου όσον αφορά τις απαιτήσεις δεδομένων για τα φυτοπροστατευτικά προϊόντα</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Κανονισμός (ΕΕ) αριθ. 546/2011 της Επιτροπής, της 10ης Ιουνίου 2011, για την εφαρμογή του κανονισμού (ΕΚ) αριθ. 1107/2009 του Ευρωπαϊκού Κοινοβουλίου και του Συμβουλίου όσον αφορά τις ενιαίες αρχές για την αξιολόγηση και την αδειοδότηση των φυτοπροστατευτικών προϊόντων</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Κανονισμός (ΕΕ) αριθ. 547/2011 της Επιτροπής, της 8ης Ιουνίου 2011, για την εφαρμογή του κανονισμού (ΕΚ) αριθ. 1107/2009 του Ευρωπαϊκού Κοινοβουλίου και του Συμβουλίου όσον αφορά τις απαιτήσεις επισήμανσης για τα φυτοπροστατευτικά προϊόντα</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en-GB"/>
              </w:rPr>
              <w:t>Οδηγία 2009/128/ΕΚ του Ευρωπαϊκού Κοινοβουλίου και του Συμβουλίου, της 21ης Οκτωβρίου 2009, σχετικά με την κοινή θέση του Συμβουλίου που αφορά τον καθορισμό πλαισίου κοινοτικής δράσης με σκοπό την επίτευξη ορθολογικής χρήσης των γεωργικών φαρμάκων</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 xml:space="preserve">Απόφαση 2005/834/ΕΚ του Συμβουλίου, της 8ης Νοεμβρίου 2005, </w:t>
            </w:r>
            <w:r>
              <w:rPr>
                <w:rFonts w:eastAsia="Times New Roman"/>
                <w:noProof/>
                <w:szCs w:val="24"/>
                <w:lang w:eastAsia="en-GB"/>
              </w:rPr>
              <w:t>περί της ισοδυναμίας των ελέγχων των πρακτικών για τις διατηρητέες ποικιλίες που διεξάγονται σε ορισμένες τρίτες χώρες και για την τροποποίηση της απόφασης 2003/17/ΕΚ</w:t>
            </w:r>
          </w:p>
        </w:tc>
        <w:tc>
          <w:tcPr>
            <w:tcW w:w="1887" w:type="dxa"/>
            <w:tcBorders>
              <w:top w:val="single" w:sz="4" w:space="0" w:color="00000A"/>
              <w:left w:val="single" w:sz="6" w:space="0" w:color="000001"/>
              <w:bottom w:val="single" w:sz="4" w:space="0" w:color="00000A"/>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en-GB"/>
              </w:rPr>
              <w:t>Οδηγία 2004/29/ΕΚ της Επιτροπής, της 4ης Μαρτίου 2004, για καθορισμό των χαρακτηριστικών και των ελαχίστων προϋποθέσεων για τον έλεγχο ποικιλιών αμπέλου</w:t>
            </w:r>
          </w:p>
        </w:tc>
        <w:tc>
          <w:tcPr>
            <w:tcW w:w="1887"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pPr>
              <w:widowControl w:val="0"/>
              <w:tabs>
                <w:tab w:val="center" w:pos="1418"/>
                <w:tab w:val="left" w:pos="1985"/>
                <w:tab w:val="right" w:pos="2997"/>
                <w:tab w:val="left" w:pos="3087"/>
              </w:tabs>
              <w:spacing w:before="0" w:after="200"/>
              <w:rPr>
                <w:rFonts w:eastAsia="Times New Roman"/>
                <w:noProof/>
                <w:lang w:eastAsia="fr-BE"/>
              </w:rPr>
            </w:pPr>
            <w:r>
              <w:rPr>
                <w:rFonts w:eastAsia="Times New Roman"/>
                <w:noProof/>
                <w:lang w:eastAsia="fr-BE"/>
              </w:rPr>
              <w:t>Οδηγία 1999/105/ΕΚ του Συμβουλίου, της 22ας Δεκεμβρίου 1999, σχετικά με την εμπορία του δασικού πολλαπλασιαστικού υλικού</w:t>
            </w:r>
          </w:p>
        </w:tc>
        <w:tc>
          <w:tcPr>
            <w:tcW w:w="1887"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en-GB"/>
              </w:rPr>
              <w:t>Κανονισμός (ΕΚ) αριθ. 1597/2002 της Επιτροπής, της 6ης Σεπτεμβρίου 2002, για τη θέσπιση λεπτομερών κανόνων εφαρμογής της οδηγίας 1999/105/EΚ του Συμβουλίου όσον αφορά τη μορφή των εθνικών καταλόγων βασικού υλικού για την παραγωγή δασικού πολλαπλασιαστικού υλικού</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6" w:space="0" w:color="000001"/>
              <w:left w:val="single" w:sz="6" w:space="0" w:color="000001"/>
              <w:bottom w:val="single" w:sz="4" w:space="0" w:color="00000A"/>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en-GB"/>
              </w:rPr>
              <w:t>Κανονισμός (ΕΚ) αριθ. 2301/2002 της Επιτροπής, της 20ής Δεκεμβρίου 2002, σχετικά με τις λεπτομέρειες εφαρμογής της οδηγίας 1999/105/EΚ του Συμβουλίου όσον αφορά τον καθορισμό των μικρών ποσοτήτων σπόρων</w:t>
            </w:r>
          </w:p>
        </w:tc>
        <w:tc>
          <w:tcPr>
            <w:tcW w:w="1887" w:type="dxa"/>
            <w:tcBorders>
              <w:top w:val="single" w:sz="6" w:space="0" w:color="000001"/>
              <w:left w:val="single" w:sz="6" w:space="0" w:color="000001"/>
              <w:bottom w:val="single" w:sz="4" w:space="0" w:color="00000A"/>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en-GB"/>
              </w:rPr>
              <w:t>Κανονισμός (ΕΚ) αριθ. 69/2004 της Επιτροπής, της 15ης Ιανουαρίου 2004, που επιτρέπει παρεκκλίσεις από ορισμένες διατάξεις της οδηγίας 1999/105/ΕΚ του Συμβουλίου σχετικά με την εμπορία του δασικού πολλαπλασιαστικού υλικού που προέρχεται από βασικό υλικό</w:t>
            </w:r>
          </w:p>
        </w:tc>
        <w:tc>
          <w:tcPr>
            <w:tcW w:w="1887"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4" w:space="0" w:color="00000A"/>
              <w:left w:val="single" w:sz="4" w:space="0" w:color="00000A"/>
              <w:bottom w:val="single" w:sz="4" w:space="0" w:color="00000A"/>
              <w:right w:val="single" w:sz="6" w:space="0" w:color="000001"/>
            </w:tcBorders>
            <w:shd w:val="clear" w:color="auto" w:fill="FFFFFF"/>
            <w:tcMar>
              <w:left w:w="40"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Απόφαση 2008/971/ΕΚ του Συμβουλίου, της 16ης Δεκεμβρίου 2008, σχετικά με την ισοδυναμία του δασικού πολλαπλασιαστικού υλικού που παράγεται σε τρίτες χώρες</w:t>
            </w:r>
          </w:p>
        </w:tc>
        <w:tc>
          <w:tcPr>
            <w:tcW w:w="1887" w:type="dxa"/>
            <w:tcBorders>
              <w:top w:val="single" w:sz="4" w:space="0" w:color="00000A"/>
              <w:left w:val="single" w:sz="6" w:space="0" w:color="000001"/>
              <w:bottom w:val="single" w:sz="4" w:space="0" w:color="00000A"/>
              <w:right w:val="single" w:sz="4" w:space="0" w:color="00000A"/>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en-GB"/>
              </w:rPr>
              <w:t xml:space="preserve">Απόφαση </w:t>
            </w:r>
            <w:r>
              <w:rPr>
                <w:rFonts w:eastAsia="Times New Roman"/>
                <w:noProof/>
                <w:szCs w:val="24"/>
                <w:lang w:eastAsia="fr-BE"/>
              </w:rPr>
              <w:t>2008/989/ΕΚ</w:t>
            </w:r>
            <w:r>
              <w:rPr>
                <w:rFonts w:eastAsia="Times New Roman"/>
                <w:noProof/>
                <w:szCs w:val="24"/>
                <w:lang w:eastAsia="en-GB"/>
              </w:rPr>
              <w:t xml:space="preserve"> της Επιτροπής, της 23ης Δεκεμβρίου 2008, που επιτρέπει στα κράτη μέλη, σύμφωνα με την οδηγία 1999/105/ΕΚ του Συμβουλίου, να λάβουν αποφάσεις για την ισοδυναμία των εγγυήσεων που παρέχονται από το δασικό πολλαπλασιαστικό υλικό προς εισαγωγή από ορισμένες τρίτες χώρες</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fr-BE"/>
              </w:rPr>
              <w:t xml:space="preserve">Σύσταση 2012/90/ΕΕ της Επιτροπής, της 14ης Φεβρουαρίου 2012, </w:t>
            </w:r>
            <w:r>
              <w:rPr>
                <w:rFonts w:eastAsia="Times New Roman"/>
                <w:noProof/>
                <w:szCs w:val="24"/>
                <w:lang w:eastAsia="en-GB"/>
              </w:rPr>
              <w:t>σχετικά με κατευθυντήριες γραμμές για την παρουσίαση των πληροφοριών για την αναγνώριση των παρτίδων του δασικού πολλαπλασιαστικού υλικού και των πληροφοριών που πρέπει να παρέχονται στην ετικέτα ή το έγγραφο του προμηθευτή</w:t>
            </w:r>
          </w:p>
        </w:tc>
        <w:tc>
          <w:tcPr>
            <w:tcW w:w="1887"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en-GB"/>
              </w:rPr>
              <w:t>Οδηγία 2003/91/ΕΚ της Επιτροπής, της 6ης Οκτωβρίου 2003, για τη θέσπιση μέτρων για την εφαρμογή του άρθρου 7 της οδηγίας 2002/55/ΕΚ του Συμβουλίου, όσον αφορά τα ελάχιστα χαρακτηριστικά που πρέπει να καλύπτονται κατά την εξέταση και τις ελάχιστες προϋποθέσεις για την εξέταση ορισμένων ποικιλιών κηπευτικών ειδών</w:t>
            </w:r>
          </w:p>
        </w:tc>
        <w:tc>
          <w:tcPr>
            <w:tcW w:w="1887" w:type="dxa"/>
            <w:tcBorders>
              <w:top w:val="single" w:sz="6" w:space="0" w:color="000001"/>
              <w:left w:val="single" w:sz="6" w:space="0" w:color="000001"/>
              <w:bottom w:val="single" w:sz="6" w:space="0" w:color="000001"/>
              <w:right w:val="single" w:sz="6" w:space="0" w:color="000001"/>
            </w:tcBorders>
            <w:shd w:val="clear" w:color="auto" w:fill="FFFFFF"/>
            <w:tcMar>
              <w:left w:w="37" w:type="dxa"/>
            </w:tcMar>
          </w:tcPr>
          <w:p>
            <w:pPr>
              <w:widowControl w:val="0"/>
              <w:spacing w:before="0" w:after="20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en-GB"/>
              </w:rPr>
              <w:t>Εκτελεστική οδηγία 2014/20/ΕΕ της Επιτροπής, της 6ης Φεβρουαρίου 2014, για τον καθορισμό των ενωσιακών κλάσεων των βασικών και πιστοποιημένων σπόρων γεωμήλων και των προϋποθέσεων και των χαρακτηρισμών που ισχύουν για τις κλάσεις αυτές</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en-GB"/>
              </w:rPr>
              <w:t>Εκτελεστική οδηγία 2014/21/ΕΕ της Επιτροπής, της 6ης Φεβρουαρίου 2014, για τον καθορισμό ελάχιστων προϋποθέσεων και ενωσιακών κλάσεων όσον αφορά τον προβασικό σπόρο γεωμήλων</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en-GB"/>
              </w:rPr>
              <w:t>Οδηγία 2008/62/ΕΚ της Επιτροπής, της 20ής Ιουνίου 2008, για την πρόβλεψη ορισμένων παρεκκλίσεων για την αποδοχή γεωργικών ντόπιων αβελτίωτων φυλών και ποικιλιών που είναι φυσικώς προσαρμοσμένες στις τοπικές και περιφερειακές συνθήκες και απειλούνται από γενετική διάβρωση καθώς και για τη διάθεση στην αγορά σπόρων και σπόρων γεωμήλων των εν λόγω ντόπιων φυλών και ποικιλιών</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tabs>
                <w:tab w:val="center" w:pos="1418"/>
                <w:tab w:val="left" w:pos="1985"/>
                <w:tab w:val="right" w:pos="2997"/>
                <w:tab w:val="left" w:pos="3087"/>
              </w:tabs>
              <w:spacing w:before="0" w:after="200"/>
              <w:rPr>
                <w:rFonts w:eastAsia="Times New Roman"/>
                <w:noProof/>
                <w:szCs w:val="24"/>
                <w:lang w:eastAsia="fr-BE"/>
              </w:rPr>
            </w:pPr>
            <w:r>
              <w:rPr>
                <w:rFonts w:eastAsia="Times New Roman"/>
                <w:noProof/>
                <w:szCs w:val="24"/>
                <w:lang w:eastAsia="en-GB"/>
              </w:rPr>
              <w:t>Οδηγία 2009/145/ΕΚ της Επιτροπής, της 26ης Νοεμβρίου 2009, σχετικά με την πρόβλεψη ορισμένων παρεκκλίσεων για την αποδοχή ντόπιων αβελτίωτων φυλών και ποικιλιών κηπευτικών που καλλιεργούνται κατά παράδοση σε συγκεκριμένους τόπους και περιφέρειες και απειλούνται με γενετική διάβρωση και ποικιλιών κηπευτικών οι οποίες δεν έχουν εγγενή αξία για εμπορική φυτική παραγωγή αλλά αναπτύσσονται για καλλιέργεια υπό ιδιαίτερες συνθήκες, και για την εμπορία σπόρων προς σπορά των εν λόγω ντόπιων φυλών και ποικιλιών</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9729" w:type="dxa"/>
            <w:gridSpan w:val="2"/>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0"/>
              <w:jc w:val="center"/>
              <w:rPr>
                <w:b/>
                <w:noProof/>
                <w:szCs w:val="24"/>
              </w:rPr>
            </w:pPr>
            <w:r>
              <w:rPr>
                <w:b/>
                <w:noProof/>
                <w:szCs w:val="24"/>
              </w:rPr>
              <w:t>Τμήμα 7</w:t>
            </w:r>
            <w:r>
              <w:rPr>
                <w:rFonts w:eastAsia="Times New Roman"/>
                <w:b/>
                <w:noProof/>
                <w:szCs w:val="24"/>
                <w:lang w:eastAsia="fr-BE"/>
              </w:rPr>
              <w:t xml:space="preserve"> – Γ</w:t>
            </w:r>
            <w:r>
              <w:rPr>
                <w:b/>
                <w:noProof/>
                <w:szCs w:val="24"/>
              </w:rPr>
              <w:t>ενετικώς τροποποιημένοι οργανισμοί</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noProof/>
                <w:szCs w:val="24"/>
              </w:rPr>
            </w:pPr>
            <w:r>
              <w:rPr>
                <w:rFonts w:eastAsia="Times New Roman"/>
                <w:noProof/>
                <w:szCs w:val="24"/>
                <w:lang w:eastAsia="en-GB"/>
              </w:rPr>
              <w:t>Οδηγία 2001/18/ΕΚ του Ευρωπαϊκού Κοινοβουλίου και του Συμβουλίου, της 12ης Μαρτίου 2001, για τη σκόπιμη ελευθέρωση γενετικώς τροποποιημένων οργανισμών στο περιβάλλον και την κατάργηση της οδηγίας 90/220/ΕΟΚ του Συμβουλίου</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Όπως ορίζεται στο παράρτημα XVI</w:t>
            </w:r>
          </w:p>
        </w:tc>
      </w:tr>
      <w:tr>
        <w:trPr>
          <w:trHeight w:val="20"/>
        </w:trPr>
        <w:tc>
          <w:tcPr>
            <w:tcW w:w="7842" w:type="dxa"/>
            <w:tcBorders>
              <w:top w:val="single" w:sz="6" w:space="0" w:color="000001"/>
              <w:left w:val="single" w:sz="6" w:space="0" w:color="000001"/>
              <w:bottom w:val="single" w:sz="4" w:space="0" w:color="00000A"/>
              <w:right w:val="single" w:sz="6" w:space="0" w:color="000001"/>
            </w:tcBorders>
            <w:shd w:val="clear" w:color="auto" w:fill="FFFFFF"/>
            <w:tcMar>
              <w:left w:w="37" w:type="dxa"/>
            </w:tcMar>
          </w:tcPr>
          <w:p>
            <w:pPr>
              <w:widowControl w:val="0"/>
              <w:spacing w:before="0" w:after="200"/>
              <w:rPr>
                <w:noProof/>
                <w:szCs w:val="24"/>
              </w:rPr>
            </w:pPr>
            <w:r>
              <w:rPr>
                <w:noProof/>
                <w:szCs w:val="24"/>
              </w:rPr>
              <w:t xml:space="preserve">Απόφαση 2002/811/ΕΚ του Συμβουλίου, της 3ης Οκτωβρίου 2002, </w:t>
            </w:r>
            <w:r>
              <w:rPr>
                <w:rFonts w:eastAsia="Times New Roman"/>
                <w:noProof/>
                <w:szCs w:val="24"/>
                <w:lang w:eastAsia="en-GB"/>
              </w:rPr>
              <w:t>για τον καθορισμό κατευθυντήριων γραμμών που θα συμπληρώσουν το παράρτημα VΙΙ της οδηγίας 2001/18/ΕΚ του Ευρωπαϊκού Κοινοβουλίου και του Συμβουλίου για τη σκόπιμη ελευθέρωση γενετικώς τροποποιημένων οργανισμών στο περιβάλλον και την κατάργηση της οδηγίας 90/220/ΕΟΚ του Συμβουλίου</w:t>
            </w:r>
          </w:p>
        </w:tc>
        <w:tc>
          <w:tcPr>
            <w:tcW w:w="1887" w:type="dxa"/>
            <w:tcBorders>
              <w:top w:val="single" w:sz="6" w:space="0" w:color="000001"/>
              <w:left w:val="single" w:sz="6" w:space="0" w:color="000001"/>
              <w:bottom w:val="single" w:sz="4" w:space="0" w:color="00000A"/>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pPr>
              <w:widowControl w:val="0"/>
              <w:spacing w:before="0" w:after="200"/>
              <w:rPr>
                <w:noProof/>
                <w:szCs w:val="24"/>
              </w:rPr>
            </w:pPr>
            <w:r>
              <w:rPr>
                <w:noProof/>
                <w:szCs w:val="24"/>
              </w:rPr>
              <w:t xml:space="preserve">Απόφαση 2002/812/ΕΚ του Συμβουλίου, της 3ης Οκτωβρίου 2002, </w:t>
            </w:r>
            <w:r>
              <w:rPr>
                <w:rFonts w:eastAsia="Times New Roman"/>
                <w:noProof/>
                <w:szCs w:val="24"/>
                <w:lang w:eastAsia="en-GB"/>
              </w:rPr>
              <w:t>σχετικά με την καθιέρωση βάσει της οδηγίας 2001/18/ΕΚ του Ευρωπαϊκού Κοινοβουλίου και του Συμβουλίου ενός συγκεντρωτικού εντύπου κοινοποίησης της εμπορίας γενετικώς τροποποιημένων οργανισμών είτε ως τέτοιων είτε ως συστατικών άλλων προϊόντων</w:t>
            </w:r>
          </w:p>
        </w:tc>
        <w:tc>
          <w:tcPr>
            <w:tcW w:w="1887"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pPr>
              <w:widowControl w:val="0"/>
              <w:spacing w:before="0" w:after="200"/>
              <w:rPr>
                <w:noProof/>
                <w:szCs w:val="24"/>
              </w:rPr>
            </w:pPr>
            <w:r>
              <w:rPr>
                <w:noProof/>
                <w:szCs w:val="24"/>
              </w:rPr>
              <w:t>Κανονισμός (ΕΚ) αριθ. 1946/2003 του Ευρωπαϊκού Κοινοβουλίου και του Συμβουλίου, της 15ης Ιουλίου 2003, για τις διασυνοριακές διακινήσεις γενετικώς τροποποιημένων οργανισμών</w:t>
            </w:r>
          </w:p>
        </w:tc>
        <w:tc>
          <w:tcPr>
            <w:tcW w:w="1887"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pPr>
              <w:widowControl w:val="0"/>
              <w:spacing w:before="40" w:after="40"/>
              <w:jc w:val="center"/>
              <w:rPr>
                <w:rFonts w:eastAsia="Times New Roman"/>
                <w:noProof/>
                <w:szCs w:val="24"/>
                <w:lang w:eastAsia="fr-BE"/>
              </w:rPr>
            </w:pPr>
            <w:r>
              <w:rPr>
                <w:rFonts w:eastAsia="Times New Roman"/>
                <w:noProof/>
                <w:szCs w:val="24"/>
                <w:lang w:eastAsia="fr-BE"/>
              </w:rPr>
              <w:t>2017</w:t>
            </w:r>
          </w:p>
        </w:tc>
      </w:tr>
      <w:tr>
        <w:trPr>
          <w:trHeight w:val="20"/>
        </w:trPr>
        <w:tc>
          <w:tcPr>
            <w:tcW w:w="7842"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0" w:after="200"/>
              <w:rPr>
                <w:noProof/>
                <w:szCs w:val="24"/>
              </w:rPr>
            </w:pPr>
            <w:r>
              <w:rPr>
                <w:noProof/>
                <w:szCs w:val="24"/>
              </w:rPr>
              <w:t>Κανονισμός (ΕΚ) αριθ. 1829/2003 του Ευρωπαϊκού Κοινοβουλίου και του Συμβουλίου, της 22ας Σεπτεμβρίου 2003, για τα γενετικώς τροποποιημένα τρόφιμα και ζωοτροφές</w:t>
            </w:r>
          </w:p>
        </w:tc>
        <w:tc>
          <w:tcPr>
            <w:tcW w:w="1887" w:type="dxa"/>
            <w:tcBorders>
              <w:top w:val="single" w:sz="4" w:space="0" w:color="00000A"/>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6" w:space="0" w:color="000001"/>
              <w:left w:val="single" w:sz="6" w:space="0" w:color="000001"/>
              <w:bottom w:val="single" w:sz="4" w:space="0" w:color="00000A"/>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Κανονισμός (ΕΚ) αριθ. 641/2004 της Επιτροπής, της 6ης Απριλίου 2004, σχετικά με τις λεπτομέρειες εφαρμογής του κανονισμού (ΕΚ) αριθ. 1829/2003 του Ευρωπαϊκού Κοινοβουλίου και του Συμβουλίου όσον αφορά την αίτηση για έγκριση νέων γενετικώς τροποποιημένων τροφίμων και ζωοτροφών, την κοινοποίηση υφιστάμενων προϊόντων και την τυχαία ή τεχνικώς αναπόφευκτη παρουσία γενετικώς τροποποιημένου υλικού που έτυχε ευνοϊκής αξιολόγησης κινδύνου</w:t>
            </w:r>
          </w:p>
        </w:tc>
        <w:tc>
          <w:tcPr>
            <w:tcW w:w="1887" w:type="dxa"/>
            <w:tcBorders>
              <w:top w:val="single" w:sz="6" w:space="0" w:color="000001"/>
              <w:left w:val="single" w:sz="6" w:space="0" w:color="000001"/>
              <w:bottom w:val="single" w:sz="4" w:space="0" w:color="00000A"/>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pPr>
              <w:widowControl w:val="0"/>
              <w:spacing w:before="0" w:after="200"/>
              <w:rPr>
                <w:noProof/>
                <w:szCs w:val="24"/>
              </w:rPr>
            </w:pPr>
            <w:r>
              <w:rPr>
                <w:rFonts w:eastAsia="Times New Roman"/>
                <w:noProof/>
                <w:szCs w:val="24"/>
                <w:lang w:eastAsia="en-GB"/>
              </w:rPr>
              <w:t>Κανονισμός (ΕΚ) αριθ. 1830/2003 του Ευρωπαϊκού Κοινοβουλίου και του Συμβουλίου, της 22ας Σεπτεμβρίου 2003, σχετικά με την ιχνηλασιμότητα και την επισήμανση γενετικώς τροποποιημένων οργανισμών και την ιχνηλασιμότητα τροφίμων και ζωοτροφών που παράγονται από γενετικώς τροποποιημένους οργανισμούς, και για την τροποποίηση της οδηγίας 2001/18/ΕΚ</w:t>
            </w:r>
          </w:p>
        </w:tc>
        <w:tc>
          <w:tcPr>
            <w:tcW w:w="1887"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4" w:space="0" w:color="00000A"/>
              <w:left w:val="single" w:sz="6" w:space="0" w:color="000001"/>
              <w:bottom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Σύσταση 2010/C 200/01 της Επιτροπής, της 13ης Ιουλίου 2010, σχετικά με κατευθυντήριες γραμμές για την ανάπτυξη εθνικών μέτρων συνύπαρξης για την αποφυγή της ακούσιας παρουσίας ΓΤΟ σε συμβατικές και βιολογικές καλλιέργειες</w:t>
            </w:r>
          </w:p>
        </w:tc>
        <w:tc>
          <w:tcPr>
            <w:tcW w:w="1887" w:type="dxa"/>
            <w:tcBorders>
              <w:top w:val="single" w:sz="4" w:space="0" w:color="00000A"/>
              <w:left w:val="single" w:sz="6" w:space="0" w:color="000001"/>
              <w:bottom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en-GB"/>
              </w:rPr>
              <w:t>Οδηγία 2009/41/ΕΚ του Ευρωπαϊκού Κοινοβουλίου και του Συμβουλίου, της 6ης Μαΐου 2009, για την περιορισμένη χρήση γενετικώς τροποποιημένων μικροοργανισμών (αναδιατύπωση)</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highlight w:val="yellow"/>
                <w:lang w:eastAsia="fr-BE"/>
              </w:rPr>
            </w:pPr>
            <w:r>
              <w:rPr>
                <w:rFonts w:eastAsia="Times New Roman"/>
                <w:noProof/>
                <w:szCs w:val="24"/>
                <w:lang w:eastAsia="fr-BE"/>
              </w:rPr>
              <w:t>Όπως ορίζεται στο παράρτημα XVI</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lang w:eastAsia="fr-BE"/>
              </w:rPr>
            </w:pPr>
            <w:r>
              <w:rPr>
                <w:rFonts w:eastAsia="Times New Roman"/>
                <w:noProof/>
                <w:szCs w:val="24"/>
                <w:lang w:eastAsia="fr-BE"/>
              </w:rPr>
              <w:t xml:space="preserve">Απόφαση 2009/770/ΕΚ της Επιτροπής, της 13ης Οκτωβρίου 2009, </w:t>
            </w:r>
            <w:r>
              <w:rPr>
                <w:rFonts w:eastAsia="Times New Roman"/>
                <w:noProof/>
                <w:szCs w:val="24"/>
                <w:lang w:eastAsia="en-GB"/>
              </w:rPr>
              <w:t>για καθορισμό τυποποιημένων εντύπων για την υποβολή των αποτελεσμάτων της παρακολούθησης της σκόπιμης ελευθέρωσης γενετικώς τροποποιημένων οργανισμών στο περιβάλλον, σύμφωνα με την οδηγία 2001/18/ΕΚ του Ευρωπαϊκού Κοινοβουλίου και του Συμβουλίου</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9729" w:type="dxa"/>
            <w:gridSpan w:val="2"/>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0"/>
              <w:jc w:val="center"/>
              <w:rPr>
                <w:rFonts w:eastAsia="Times New Roman"/>
                <w:b/>
                <w:noProof/>
                <w:szCs w:val="24"/>
                <w:lang w:eastAsia="fr-BE"/>
              </w:rPr>
            </w:pPr>
            <w:r>
              <w:rPr>
                <w:rFonts w:eastAsia="Times New Roman"/>
                <w:b/>
                <w:noProof/>
                <w:szCs w:val="24"/>
                <w:lang w:eastAsia="fr-BE"/>
              </w:rPr>
              <w:t>Τμήμα 8 – Κτηνιατρικά φάρμακα</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bCs/>
                <w:noProof/>
                <w:szCs w:val="24"/>
                <w:highlight w:val="white"/>
                <w:lang w:eastAsia="fr-BE"/>
              </w:rPr>
            </w:pPr>
            <w:r>
              <w:rPr>
                <w:rFonts w:eastAsia="Times New Roman"/>
                <w:bCs/>
                <w:noProof/>
                <w:szCs w:val="24"/>
                <w:highlight w:val="white"/>
                <w:lang w:eastAsia="fr-BE"/>
              </w:rPr>
              <w:t>Οδηγία 2001/82/ΕΚ του Ευρωπαϊκού Κοινοβουλίου και του Συμβουλίου, της 6ης Νοεμβρίου 2001, περί κοινοτικού κώδικος για τα κτηνιατρικά φάρμακα</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Όπως ορίζεται στο παράρτημα XVI</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bCs/>
                <w:noProof/>
                <w:szCs w:val="24"/>
                <w:highlight w:val="white"/>
                <w:lang w:eastAsia="fr-BE"/>
              </w:rPr>
            </w:pPr>
            <w:r>
              <w:rPr>
                <w:rFonts w:eastAsia="Times New Roman"/>
                <w:bCs/>
                <w:noProof/>
                <w:szCs w:val="24"/>
                <w:highlight w:val="white"/>
                <w:lang w:eastAsia="fr-BE"/>
              </w:rPr>
              <w:t xml:space="preserve">Οδηγία 2004/28/ΕΚ του Ευρωπαϊκού Κοινοβουλίου και του Συμβουλίου, της 31ης Μαρτίου 2004, </w:t>
            </w:r>
            <w:r>
              <w:rPr>
                <w:rFonts w:eastAsia="Times New Roman"/>
                <w:noProof/>
                <w:szCs w:val="24"/>
                <w:lang w:eastAsia="en-GB"/>
              </w:rPr>
              <w:t>για την τροποποίηση της οδηγίας 2001/82/ΕΚ περί του κοινοτικού κώδικος για τα κτηνιατρικά φάρμακα</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2019</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noProof/>
                <w:szCs w:val="24"/>
                <w:highlight w:val="white"/>
                <w:lang w:eastAsia="fr-BE"/>
              </w:rPr>
            </w:pPr>
            <w:r>
              <w:rPr>
                <w:rFonts w:eastAsia="Times New Roman"/>
                <w:noProof/>
                <w:szCs w:val="24"/>
                <w:highlight w:val="white"/>
                <w:lang w:eastAsia="fr-BE"/>
              </w:rPr>
              <w:t xml:space="preserve">Κανονισμός (ΕΕ) αριθ. 37/2010 της Επιτροπής, της 22ας Δεκεμβρίου 2009, </w:t>
            </w:r>
            <w:r>
              <w:rPr>
                <w:rFonts w:eastAsia="Times New Roman"/>
                <w:noProof/>
                <w:szCs w:val="24"/>
                <w:lang w:eastAsia="en-GB"/>
              </w:rPr>
              <w:t>σχετικά με φαρμακολογικώς δραστικές ουσίες και την ταξινόμησή τους όσον αφορά τα ανώτατα όρια καταλοίπων στα τρόφιμα ζωικής προέλευσης</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2018</w:t>
            </w:r>
          </w:p>
        </w:tc>
      </w:tr>
      <w:tr>
        <w:trPr>
          <w:trHeight w:val="20"/>
        </w:trPr>
        <w:tc>
          <w:tcPr>
            <w:tcW w:w="7842"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0" w:after="200"/>
              <w:rPr>
                <w:rFonts w:eastAsia="Times New Roman"/>
                <w:bCs/>
                <w:noProof/>
                <w:szCs w:val="24"/>
                <w:highlight w:val="white"/>
                <w:lang w:eastAsia="fr-BE"/>
              </w:rPr>
            </w:pPr>
            <w:r>
              <w:rPr>
                <w:rFonts w:eastAsia="Times New Roman"/>
                <w:noProof/>
                <w:szCs w:val="24"/>
                <w:lang w:eastAsia="en-GB"/>
              </w:rPr>
              <w:t>Οδηγία 2006/130/ΕΚ της Επιτροπής, της 11ης Δεκεμβρίου 2006, για την εφαρμογή της οδηγίας 2001/82/ΕΚ του Ευρωπαϊκού Κοινοβουλίου και του Συμβουλίου όσον αφορά τον καθορισμό κριτηρίων για την εξαίρεση ορισμένων κτηνιατρικών φαρμάκων που προορίζονται για παραγωγικά ζώα από την απαίτηση συνταγής κτηνιάτρου</w:t>
            </w:r>
          </w:p>
        </w:tc>
        <w:tc>
          <w:tcPr>
            <w:tcW w:w="1887" w:type="dxa"/>
            <w:tcBorders>
              <w:top w:val="single" w:sz="6" w:space="0" w:color="000001"/>
              <w:left w:val="single" w:sz="6" w:space="0" w:color="000001"/>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Όπως ορίζεται στο παράρτημα XVI</w:t>
            </w:r>
          </w:p>
        </w:tc>
      </w:tr>
      <w:tr>
        <w:trPr>
          <w:trHeight w:val="20"/>
        </w:trPr>
        <w:tc>
          <w:tcPr>
            <w:tcW w:w="7842" w:type="dxa"/>
            <w:tcBorders>
              <w:top w:val="single" w:sz="6" w:space="0" w:color="000001"/>
              <w:left w:val="single" w:sz="6" w:space="0" w:color="000001"/>
              <w:bottom w:val="single" w:sz="4" w:space="0" w:color="00000A"/>
              <w:right w:val="single" w:sz="6" w:space="0" w:color="000001"/>
            </w:tcBorders>
            <w:shd w:val="clear" w:color="auto" w:fill="FFFFFF"/>
            <w:tcMar>
              <w:left w:w="37" w:type="dxa"/>
            </w:tcMar>
          </w:tcPr>
          <w:p>
            <w:pPr>
              <w:widowControl w:val="0"/>
              <w:spacing w:before="0" w:after="200"/>
              <w:rPr>
                <w:rFonts w:eastAsia="Times New Roman"/>
                <w:bCs/>
                <w:noProof/>
                <w:szCs w:val="24"/>
                <w:highlight w:val="white"/>
                <w:lang w:eastAsia="fr-BE"/>
              </w:rPr>
            </w:pPr>
            <w:r>
              <w:rPr>
                <w:rFonts w:eastAsia="Times New Roman"/>
                <w:bCs/>
                <w:noProof/>
                <w:szCs w:val="24"/>
                <w:highlight w:val="white"/>
                <w:lang w:eastAsia="fr-BE"/>
              </w:rPr>
              <w:t xml:space="preserve">Κανονισμός (ΕΚ) αριθ. 1662/95 της Επιτροπής, της 7ης Ιουλίου 1995, </w:t>
            </w:r>
            <w:r>
              <w:rPr>
                <w:rFonts w:eastAsia="Times New Roman"/>
                <w:noProof/>
                <w:szCs w:val="24"/>
                <w:lang w:eastAsia="en-GB"/>
              </w:rPr>
              <w:t>για τη θέσπιση ορισμένων ρυθμίσεων εφαρμογής κοινοτικών διαδικασιών λήψης αποφάσεων σε θέματα αδειών κυκλοφορίας φαρμάκων που προορίζονται για τον άνθρωπο ή κτηνιατρικών φαρμάκων</w:t>
            </w:r>
          </w:p>
        </w:tc>
        <w:tc>
          <w:tcPr>
            <w:tcW w:w="1887" w:type="dxa"/>
            <w:tcBorders>
              <w:top w:val="single" w:sz="6" w:space="0" w:color="000001"/>
              <w:left w:val="single" w:sz="6" w:space="0" w:color="000001"/>
              <w:bottom w:val="single" w:sz="4" w:space="0" w:color="00000A"/>
              <w:right w:val="single" w:sz="6" w:space="0" w:color="000001"/>
            </w:tcBorders>
            <w:shd w:val="clear" w:color="auto" w:fill="FFFFFF"/>
            <w:tcMar>
              <w:left w:w="37" w:type="dxa"/>
            </w:tcMar>
          </w:tcPr>
          <w:p>
            <w:pPr>
              <w:widowControl w:val="0"/>
              <w:spacing w:before="40" w:after="40"/>
              <w:jc w:val="center"/>
              <w:rPr>
                <w:rFonts w:eastAsia="Times New Roman"/>
                <w:noProof/>
                <w:szCs w:val="24"/>
                <w:lang w:eastAsia="fr-BE"/>
              </w:rPr>
            </w:pPr>
            <w:r>
              <w:rPr>
                <w:rFonts w:eastAsia="Times New Roman"/>
                <w:noProof/>
                <w:szCs w:val="24"/>
                <w:lang w:eastAsia="fr-BE"/>
              </w:rPr>
              <w:t>Όπως ορίζεται στο παράρτημα XVI</w:t>
            </w:r>
          </w:p>
        </w:tc>
      </w:tr>
      <w:tr>
        <w:trPr>
          <w:trHeight w:val="20"/>
        </w:trPr>
        <w:tc>
          <w:tcPr>
            <w:tcW w:w="7842"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pPr>
              <w:widowControl w:val="0"/>
              <w:spacing w:before="0" w:after="200"/>
              <w:rPr>
                <w:rFonts w:eastAsia="Times New Roman"/>
                <w:bCs/>
                <w:noProof/>
                <w:szCs w:val="24"/>
                <w:highlight w:val="white"/>
                <w:lang w:eastAsia="fr-BE"/>
              </w:rPr>
            </w:pPr>
            <w:r>
              <w:rPr>
                <w:rFonts w:eastAsia="Times New Roman"/>
                <w:noProof/>
                <w:szCs w:val="24"/>
                <w:lang w:eastAsia="en-GB"/>
              </w:rPr>
              <w:t>Κανονισμός (ΕΚ) αριθ. 469/2009 του Ευρωπαϊκού Κοινοβουλίου και του Συμβουλίου, της 6ης Μαΐου 2009, περί του συμπληρωματικού πιστοποιητικού προστασίας για τα φάρμακα (Κωδικοποιημένη έκδοση)</w:t>
            </w:r>
          </w:p>
        </w:tc>
        <w:tc>
          <w:tcPr>
            <w:tcW w:w="1887"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pPr>
              <w:widowControl w:val="0"/>
              <w:spacing w:before="40" w:after="40"/>
              <w:jc w:val="center"/>
              <w:rPr>
                <w:rFonts w:eastAsia="Times New Roman"/>
                <w:noProof/>
                <w:szCs w:val="24"/>
                <w:lang w:eastAsia="fr-BE"/>
              </w:rPr>
            </w:pPr>
            <w:r>
              <w:rPr>
                <w:rFonts w:eastAsia="Times New Roman"/>
                <w:noProof/>
                <w:szCs w:val="24"/>
                <w:lang w:eastAsia="fr-BE"/>
              </w:rPr>
              <w:t>Όπως ορίζεται στο παράρτημα XVI</w:t>
            </w:r>
          </w:p>
        </w:tc>
      </w:tr>
    </w:tbl>
    <w:p>
      <w:pPr>
        <w:widowControl w:val="0"/>
        <w:spacing w:before="0" w:after="0" w:line="360" w:lineRule="auto"/>
        <w:jc w:val="left"/>
        <w:rPr>
          <w:rFonts w:eastAsia="Times New Roman"/>
          <w:noProof/>
          <w:szCs w:val="24"/>
          <w:lang w:eastAsia="fr-BE"/>
        </w:rPr>
      </w:pPr>
      <w:r>
        <w:rPr>
          <w:rFonts w:eastAsia="Times New Roman"/>
          <w:noProof/>
          <w:szCs w:val="24"/>
          <w:lang w:eastAsia="fr-BE"/>
        </w:rPr>
        <w:t>»</w:t>
      </w:r>
    </w:p>
    <w:sectPr>
      <w:pgSz w:w="11906" w:h="16838"/>
      <w:pgMar w:top="1134" w:right="1418" w:bottom="1134" w:left="1418" w:header="720" w:footer="72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Bitstream Vera Sans">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834183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DB022F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6489B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FD012C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1C280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08AA6C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53E8CCE"/>
    <w:lvl w:ilvl="0">
      <w:start w:val="1"/>
      <w:numFmt w:val="decimal"/>
      <w:pStyle w:val="ListNumber"/>
      <w:lvlText w:val="%1."/>
      <w:lvlJc w:val="left"/>
      <w:pPr>
        <w:tabs>
          <w:tab w:val="num" w:pos="360"/>
        </w:tabs>
        <w:ind w:left="360" w:hanging="360"/>
      </w:pPr>
    </w:lvl>
  </w:abstractNum>
  <w:abstractNum w:abstractNumId="7">
    <w:nsid w:val="FFFFFF89"/>
    <w:multiLevelType w:val="singleLevel"/>
    <w:tmpl w:val="AE80DEF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3-29 12:33:2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ACCOMPAGNANT" w:val="\u964?\u951?\u962?"/>
    <w:docVar w:name="LW_ACCOMPAGNANT.CP" w:val="\u964?\u951?\u962?"/>
    <w:docVar w:name="LW_ANNEX_NBR_FIRST" w:val="1"/>
    <w:docVar w:name="LW_ANNEX_NBR_LAST" w:val="1"/>
    <w:docVar w:name="LW_CONFIDENCE" w:val=" "/>
    <w:docVar w:name="LW_CONST_RESTREINT_UE" w:val="RESTREINT UE"/>
    <w:docVar w:name="LW_CORRIGENDUM" w:val="&lt;UNUSED&gt;"/>
    <w:docVar w:name="LW_COVERPAGE_GUID" w:val="B7D0A4E712584A51A528A5195875EB12"/>
    <w:docVar w:name="LW_CROSSREFERENCE" w:val="&lt;UNUSED&gt;"/>
    <w:docVar w:name="LW_DocType" w:val="ANNEX"/>
    <w:docVar w:name="LW_EMISSION" w:val="18.4.2016"/>
    <w:docVar w:name="LW_EMISSION_ISODATE" w:val="2016-04-18"/>
    <w:docVar w:name="LW_EMISSION_LOCATION" w:val="BRX"/>
    <w:docVar w:name="LW_EMISSION_PREFIX" w:val="\u914?\u961?\u965?\u958?\u941?\u955?\u955?\u949?\u962?, "/>
    <w:docVar w:name="LW_EMISSION_SUFFIX" w:val=" "/>
    <w:docVar w:name="LW_ID_DOCSTRUCTURE" w:val="COM/ANNEX"/>
    <w:docVar w:name="LW_ID_DOCTYPE" w:val="SG-017"/>
    <w:docVar w:name="LW_LANGUE" w:val="EL"/>
    <w:docVar w:name="LW_MARKING" w:val="&lt;UNUSED&gt;"/>
    <w:docVar w:name="LW_NOM.INST" w:val="\u917?\u933?\u929?\u937?\u928?\u913?\u938?\u922?\u919? \u917?\u928?\u921?\u932?\u929?\u927?\u928?\u919?"/>
    <w:docVar w:name="LW_NOM.INST_JOINTDOC" w:val="&lt;EMPTY&gt;"/>
    <w:docVar w:name="LW_OBJETACTEPRINCIPAL" w:val="\u963?\u967?\u949?\u964?\u953?\u954?\u940? \u956?\u949? \u964?\u951? \u952?\u941?\u963?\u951? \u960?\u959?\u965? \u952?\u945? \u955?\u951?\u966?\u952?\u949?\u943? \u949?\u958? \u959?\u957?\u972?\u956?\u945?\u964?\u959?\u962? \u964?\u951?\u962? \u917?\u965?\u961?\u969?\u960?\u945?\u970?\u954?\u942?\u962? \u904?\u957?\u969?\u963?\u951?\u962? \u963?\u964?\u951?\u957? \u965?\u960?\u959?\u949?\u960?\u953?\u964?\u961?\u959?\u960?\u942? \u965?\u947?\u949?\u953?\u959?\u957?\u959?\u956?\u953?\u954?\u942?\u962? \u954?\u945?\u953? \u966?\u965?\u964?\u959?\u971?\u947?\u949?\u953?\u959?\u957?\u959?\u956?\u953?\u954?\u942?\u962? \u960?\u961?\u959?\u963?\u964?\u945?\u963?\u943?\u945?\u962? \u951? \u959?\u960?\u959?\u943?\u945? \u963?\u965?\u947?\u954?\u961?\u959?\u964?\u942?\u952?\u951?\u954?\u949? \u956?\u949? \u964?\u951? \u963?\u965?\u956?\u966?\u969?\u957?\u943?\u945? \u963?\u973?\u957?\u948?\u949?\u963?\u951?\u962? \u956?\u949?\u964?\u945?\u958?\u973? \u964?\u951?\u962? \u917?\u965?\u961?\u969?\u960?\u945?\u970?\u954?\u942?\u962? \u904?\u957?\u969?\u963?\u951?\u962? \u954?\u945?\u953? \u964?\u951?\u962? \u917?\u965?\u961?\u969?\u960?\u945?\u970?\u954?\u942?\u962? \u922?\u959?\u953?\u957?\u972?\u964?\u951?\u964?\u945?\u962? \u913?\u964?\u959?\u956?\u953?\u954?\u942?\u962? \u917?\u957?\u941?\u961?\u947?\u949?\u953?\u945?\u962? \u954?\u945?\u953? \u964?\u969?\u957? \u954?\u961?\u945?\u964?\u974?\u957? \u956?\u949?\u955?\u974?\u957? \u964?\u959?\u965?\u962?, \u945?\u966?\u949?\u957?\u972?\u962?, \u954?\u945?\u953? \u964?\u951?\u962? \u916?\u951?\u956?\u959?\u954?\u961?\u945?\u964?\u943?\u945?\u962? \u964?\u951?\u962? \u924?\u959?\u955?\u948?\u945?\u946?\u943?\u945?\u962?, \u945?\u966?\u949?\u964?\u941?\u961?\u959?\u965?"/>
    <w:docVar w:name="LW_OBJETACTEPRINCIPAL.CP" w:val="\u963?\u967?\u949?\u964?\u953?\u954?\u940? \u956?\u949? \u964?\u951? \u952?\u941?\u963?\u951? \u960?\u959?\u965? \u952?\u945? \u955?\u951?\u966?\u952?\u949?\u943? \u949?\u958? \u959?\u957?\u972?\u956?\u945?\u964?\u959?\u962? \u964?\u951?\u962? \u917?\u965?\u961?\u969?\u960?\u945?\u970?\u954?\u942?\u962? \u904?\u957?\u969?\u963?\u951?\u962? \u963?\u964?\u951?\u957? \u965?\u960?\u959?\u949?\u960?\u953?\u964?\u961?\u959?\u960?\u942? \u965?\u947?\u949?\u953?\u959?\u957?\u959?\u956?\u953?\u954?\u942?\u962? \u954?\u945?\u953? \u966?\u965?\u964?\u959?\u971?\u947?\u949?\u953?\u959?\u957?\u959?\u956?\u953?\u954?\u942?\u962? \u960?\u961?\u959?\u963?\u964?\u945?\u963?\u943?\u945?\u962? \u951? \u959?\u960?\u959?\u943?\u945? \u963?\u965?\u947?\u954?\u961?\u959?\u964?\u942?\u952?\u951?\u954?\u949? \u956?\u949? \u964?\u951? \u963?\u965?\u956?\u966?\u969?\u957?\u943?\u945? \u963?\u973?\u957?\u948?\u949?\u963?\u951?\u962? \u956?\u949?\u964?\u945?\u958?\u973? \u964?\u951?\u962? \u917?\u965?\u961?\u969?\u960?\u945?\u970?\u954?\u942?\u962? \u904?\u957?\u969?\u963?\u951?\u962? \u954?\u945?\u953? \u964?\u951?\u962? \u917?\u965?\u961?\u969?\u960?\u945?\u970?\u954?\u942?\u962? \u922?\u959?\u953?\u957?\u972?\u964?\u951?\u964?\u945?\u962? \u913?\u964?\u959?\u956?\u953?\u954?\u942?\u962? \u917?\u957?\u941?\u961?\u947?\u949?\u953?\u945?\u962? \u954?\u945?\u953? \u964?\u969?\u957? \u954?\u961?\u945?\u964?\u974?\u957? \u956?\u949?\u955?\u974?\u957? \u964?\u959?\u965?\u962?, \u945?\u966?\u949?\u957?\u972?\u962?, \u954?\u945?\u953? \u964?\u951?\u962? \u916?\u951?\u956?\u959?\u954?\u961?\u945?\u964?\u943?\u945?\u962? \u964?\u951?\u962? \u924?\u959?\u955?\u948?\u945?\u946?\u943?\u945?\u962?, \u945?\u966?\u949?\u964?\u941?\u961?\u959?\u965?"/>
    <w:docVar w:name="LW_PART_NBR" w:val="1"/>
    <w:docVar w:name="LW_PART_NBR_TOTAL" w:val="1"/>
    <w:docVar w:name="LW_REF.INST.NEW" w:val="COM"/>
    <w:docVar w:name="LW_REF.INST.NEW_ADOPTED" w:val="final"/>
    <w:docVar w:name="LW_REF.INST.NEW_TEXT" w:val="(2016) 211"/>
    <w:docVar w:name="LW_REF.INTERNE" w:val="&lt;UNUSED&gt;"/>
    <w:docVar w:name="LW_SUPERTITRE" w:val="&lt;UNUSED&gt;"/>
    <w:docVar w:name="LW_TITRE.OBJ.CP" w:val="&lt;UNUSED&gt;"/>
    <w:docVar w:name="LW_TYPE.DOC" w:val="\u928?\u913?\u929?\u913?\u929?\u932?\u919?\u924?\u913?"/>
    <w:docVar w:name="LW_TYPE.DOC.CP" w:val="\u928?\u913?\u929?\u913?\u929?\u932?\u919?\u924?\u913?"/>
    <w:docVar w:name="LW_TYPEACTEPRINCIPAL" w:val="\u960?\u961?\u972?\u964?\u945?\u963?\u951?\u962? \u945?\u960?\u972?\u966?\u945?\u963?\u951?\u962? \u964?\u959?\u965? \u931?\u965?\u956?\u946?\u959?\u965?\u955?\u943?\u959?\u965?"/>
    <w:docVar w:name="LW_TYPEACTEPRINCIPAL.CP" w:val="\u960?\u961?\u972?\u964?\u945?\u963?\u951?\u962? \u945?\u960?\u972?\u966?\u945?\u963?\u951?\u962? \u964?\u959?\u965? \u931?\u965?\u956?\u946?\u959?\u965?\u955?\u943?\u959?\u965?"/>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table of figures" w:uiPriority="0" w:qFormat="1"/>
    <w:lsdException w:name="footnote reference" w:uiPriority="0" w:qFormat="1"/>
    <w:lsdException w:name="annotation reference" w:uiPriority="0" w:qFormat="1"/>
    <w:lsdException w:name="List" w:uiPriority="0"/>
    <w:lsdException w:name="List Bullet" w:uiPriority="0" w:qFormat="1"/>
    <w:lsdException w:name="List Number" w:uiPriority="0" w:qFormat="1"/>
    <w:lsdException w:name="List Bullet 2" w:uiPriority="0" w:qFormat="1"/>
    <w:lsdException w:name="List Bullet 3" w:uiPriority="0" w:qFormat="1"/>
    <w:lsdException w:name="List Bullet 4" w:uiPriority="0" w:qFormat="1"/>
    <w:lsdException w:name="List Number 2" w:uiPriority="0" w:qFormat="1"/>
    <w:lsdException w:name="List Number 3" w:uiPriority="0" w:qFormat="1"/>
    <w:lsdException w:name="List Number 4"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qFormat/>
    <w:pPr>
      <w:spacing w:after="0"/>
    </w:pPr>
  </w:style>
  <w:style w:type="paragraph" w:styleId="ListBullet">
    <w:name w:val="List Bullet"/>
    <w:basedOn w:val="Normal"/>
    <w:unhideWhenUsed/>
    <w:qFormat/>
    <w:pPr>
      <w:numPr>
        <w:numId w:val="1"/>
      </w:numPr>
      <w:contextualSpacing/>
    </w:pPr>
  </w:style>
  <w:style w:type="paragraph" w:styleId="ListBullet2">
    <w:name w:val="List Bullet 2"/>
    <w:basedOn w:val="Normal"/>
    <w:unhideWhenUsed/>
    <w:qFormat/>
    <w:pPr>
      <w:numPr>
        <w:numId w:val="2"/>
      </w:numPr>
      <w:contextualSpacing/>
    </w:pPr>
  </w:style>
  <w:style w:type="paragraph" w:styleId="ListBullet3">
    <w:name w:val="List Bullet 3"/>
    <w:basedOn w:val="Normal"/>
    <w:unhideWhenUsed/>
    <w:qFormat/>
    <w:pPr>
      <w:numPr>
        <w:numId w:val="3"/>
      </w:numPr>
      <w:contextualSpacing/>
    </w:pPr>
  </w:style>
  <w:style w:type="paragraph" w:styleId="ListBullet4">
    <w:name w:val="List Bullet 4"/>
    <w:basedOn w:val="Normal"/>
    <w:unhideWhenUsed/>
    <w:qFormat/>
    <w:pPr>
      <w:numPr>
        <w:numId w:val="4"/>
      </w:numPr>
      <w:contextualSpacing/>
    </w:pPr>
  </w:style>
  <w:style w:type="paragraph" w:styleId="ListNumber">
    <w:name w:val="List Number"/>
    <w:basedOn w:val="Normal"/>
    <w:unhideWhenUsed/>
    <w:qFormat/>
    <w:pPr>
      <w:numPr>
        <w:numId w:val="5"/>
      </w:numPr>
      <w:contextualSpacing/>
    </w:pPr>
  </w:style>
  <w:style w:type="paragraph" w:styleId="ListNumber2">
    <w:name w:val="List Number 2"/>
    <w:basedOn w:val="Normal"/>
    <w:unhideWhenUsed/>
    <w:qFormat/>
    <w:pPr>
      <w:numPr>
        <w:numId w:val="6"/>
      </w:numPr>
      <w:contextualSpacing/>
    </w:pPr>
  </w:style>
  <w:style w:type="paragraph" w:styleId="ListNumber3">
    <w:name w:val="List Number 3"/>
    <w:basedOn w:val="Normal"/>
    <w:unhideWhenUsed/>
    <w:qFormat/>
    <w:pPr>
      <w:numPr>
        <w:numId w:val="7"/>
      </w:numPr>
      <w:contextualSpacing/>
    </w:pPr>
  </w:style>
  <w:style w:type="paragraph" w:styleId="ListNumber4">
    <w:name w:val="List Number 4"/>
    <w:basedOn w:val="Normal"/>
    <w:unhideWhenUsed/>
    <w:qFormat/>
    <w:pPr>
      <w:numPr>
        <w:numId w:val="8"/>
      </w:numPr>
      <w:contextualSpacing/>
    </w:pPr>
  </w:style>
  <w:style w:type="character" w:styleId="CommentReference">
    <w:name w:val="annotation reference"/>
    <w:basedOn w:val="DefaultParagraphFont"/>
    <w:unhideWhenUsed/>
    <w:qFormat/>
    <w:rPr>
      <w:sz w:val="16"/>
      <w:szCs w:val="16"/>
    </w:rPr>
  </w:style>
  <w:style w:type="paragraph" w:styleId="CommentText">
    <w:name w:val="annotation text"/>
    <w:basedOn w:val="Normal"/>
    <w:link w:val="CommentTextChar1"/>
    <w:unhideWhenUsed/>
    <w:qFormat/>
    <w:rPr>
      <w:sz w:val="20"/>
      <w:szCs w:val="20"/>
    </w:rPr>
  </w:style>
  <w:style w:type="character" w:customStyle="1" w:styleId="CommentTextChar1">
    <w:name w:val="Comment Text Char1"/>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1"/>
    <w:unhideWhenUsed/>
    <w:qFormat/>
    <w:rPr>
      <w:b/>
      <w:bCs/>
    </w:rPr>
  </w:style>
  <w:style w:type="character" w:customStyle="1" w:styleId="CommentSubjectChar1">
    <w:name w:val="Comment Subject Char1"/>
    <w:basedOn w:val="CommentTextChar1"/>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character" w:customStyle="1" w:styleId="HeaderChar1">
    <w:name w:val="Header Char1"/>
    <w:basedOn w:val="DefaultParagraphFont"/>
    <w:uiPriority w:val="99"/>
    <w:rPr>
      <w:rFonts w:ascii="Times New Roman" w:hAnsi="Times New Roman" w:cs="Times New Roman"/>
      <w:sz w:val="24"/>
      <w:shd w:val="clear" w:color="auto" w:fill="auto"/>
      <w:lang w:val="en-GB"/>
    </w:rPr>
  </w:style>
  <w:style w:type="character" w:customStyle="1" w:styleId="FooterChar1">
    <w:name w:val="Footer Char1"/>
    <w:basedOn w:val="DefaultParagraphFont"/>
    <w:uiPriority w:val="99"/>
    <w:rPr>
      <w:rFonts w:ascii="Times New Roman" w:hAnsi="Times New Roman" w:cs="Times New Roman"/>
      <w:sz w:val="24"/>
      <w:shd w:val="clear" w:color="auto" w:fill="auto"/>
      <w:lang w:val="en-GB"/>
    </w:rPr>
  </w:style>
  <w:style w:type="character" w:customStyle="1" w:styleId="FootnoteTextChar1">
    <w:name w:val="Footnote Text Char1"/>
    <w:basedOn w:val="DefaultParagraphFont"/>
    <w:uiPriority w:val="99"/>
    <w:semiHidden/>
    <w:rPr>
      <w:rFonts w:ascii="Times New Roman" w:hAnsi="Times New Roman" w:cs="Times New Roman"/>
      <w:sz w:val="20"/>
      <w:szCs w:val="20"/>
      <w:shd w:val="clear" w:color="auto" w:fill="auto"/>
      <w:lang w:val="en-GB"/>
    </w:rPr>
  </w:style>
  <w:style w:type="character" w:customStyle="1" w:styleId="Heading1Char1">
    <w:name w:val="Heading 1 Char1"/>
    <w:basedOn w:val="DefaultParagraphFont"/>
    <w:rPr>
      <w:rFonts w:ascii="Times New Roman" w:eastAsiaTheme="majorEastAsia" w:hAnsi="Times New Roman" w:cs="Times New Roman"/>
      <w:b/>
      <w:bCs/>
      <w:smallCaps/>
      <w:sz w:val="24"/>
      <w:szCs w:val="28"/>
      <w:lang w:val="en-GB"/>
    </w:rPr>
  </w:style>
  <w:style w:type="character" w:customStyle="1" w:styleId="Heading2Char1">
    <w:name w:val="Heading 2 Char1"/>
    <w:basedOn w:val="DefaultParagraphFont"/>
    <w:rPr>
      <w:rFonts w:ascii="Times New Roman" w:eastAsiaTheme="majorEastAsia" w:hAnsi="Times New Roman" w:cs="Times New Roman"/>
      <w:b/>
      <w:bCs/>
      <w:sz w:val="24"/>
      <w:szCs w:val="26"/>
      <w:lang w:val="en-GB"/>
    </w:rPr>
  </w:style>
  <w:style w:type="character" w:customStyle="1" w:styleId="Heading3Char1">
    <w:name w:val="Heading 3 Char1"/>
    <w:basedOn w:val="DefaultParagraphFont"/>
    <w:rPr>
      <w:rFonts w:ascii="Times New Roman" w:eastAsiaTheme="majorEastAsia" w:hAnsi="Times New Roman" w:cs="Times New Roman"/>
      <w:bCs/>
      <w:i/>
      <w:sz w:val="24"/>
      <w:lang w:val="en-GB"/>
    </w:rPr>
  </w:style>
  <w:style w:type="character" w:customStyle="1" w:styleId="Heading4Char1">
    <w:name w:val="Heading 4 Char1"/>
    <w:basedOn w:val="DefaultParagraphFont"/>
    <w:rPr>
      <w:rFonts w:ascii="Times New Roman" w:eastAsiaTheme="majorEastAsia" w:hAnsi="Times New Roman" w:cs="Times New Roman"/>
      <w:bCs/>
      <w:iCs/>
      <w:sz w:val="24"/>
      <w:lang w:val="en-GB"/>
    </w:rPr>
  </w:style>
  <w:style w:type="character" w:customStyle="1" w:styleId="CommentTextChar">
    <w:name w:val="Comment Text Char"/>
    <w:basedOn w:val="DefaultParagraphFont"/>
    <w:qFormat/>
    <w:rPr>
      <w:rFonts w:ascii="Times New Roman" w:hAnsi="Times New Roman" w:cs="Times New Roman"/>
      <w:sz w:val="20"/>
      <w:szCs w:val="20"/>
      <w:lang w:val="en-GB"/>
    </w:rPr>
  </w:style>
  <w:style w:type="character" w:customStyle="1" w:styleId="CommentSubjectChar">
    <w:name w:val="Comment Subject Char"/>
    <w:basedOn w:val="CommentTextChar"/>
    <w:qFormat/>
    <w:rPr>
      <w:rFonts w:ascii="Times New Roman" w:hAnsi="Times New Roman" w:cs="Times New Roman"/>
      <w:b/>
      <w:bCs/>
      <w:sz w:val="20"/>
      <w:szCs w:val="20"/>
      <w:lang w:val="en-GB"/>
    </w:rPr>
  </w:style>
  <w:style w:type="character" w:customStyle="1" w:styleId="InternetLink">
    <w:name w:val="Internet Link"/>
    <w:basedOn w:val="DefaultParagraphFont"/>
    <w:rPr>
      <w:color w:val="0000FF"/>
      <w:u w:val="single"/>
    </w:rPr>
  </w:style>
  <w:style w:type="paragraph" w:customStyle="1" w:styleId="Heading">
    <w:name w:val="Heading"/>
    <w:basedOn w:val="Normal"/>
    <w:next w:val="TextBody"/>
    <w:qFormat/>
    <w:pPr>
      <w:keepNext/>
      <w:spacing w:before="240"/>
    </w:pPr>
    <w:rPr>
      <w:rFonts w:ascii="Liberation Sans" w:eastAsia="Bitstream Vera Sans" w:hAnsi="Liberation Sans" w:cs="Bitstream Vera Sans"/>
      <w:sz w:val="28"/>
      <w:szCs w:val="28"/>
    </w:rPr>
  </w:style>
  <w:style w:type="paragraph" w:customStyle="1" w:styleId="TextBody">
    <w:name w:val="Text Body"/>
    <w:basedOn w:val="Normal"/>
    <w:pPr>
      <w:spacing w:before="0" w:after="140" w:line="288" w:lineRule="auto"/>
    </w:pPr>
    <w:rPr>
      <w:rFonts w:eastAsia="Calibri"/>
    </w:rPr>
  </w:style>
  <w:style w:type="paragraph" w:styleId="List">
    <w:name w:val="List"/>
    <w:basedOn w:val="TextBody"/>
  </w:style>
  <w:style w:type="paragraph" w:customStyle="1" w:styleId="Index">
    <w:name w:val="Index"/>
    <w:basedOn w:val="Normal"/>
    <w:qFormat/>
    <w:pPr>
      <w:suppressLineNumbers/>
    </w:pPr>
    <w:rPr>
      <w:rFonts w:eastAsia="Calibri"/>
    </w:rPr>
  </w:style>
  <w:style w:type="paragraph" w:customStyle="1" w:styleId="ContentsHeading">
    <w:name w:val="Contents Heading"/>
    <w:basedOn w:val="Normal"/>
    <w:next w:val="Normal"/>
    <w:pPr>
      <w:spacing w:after="240"/>
      <w:jc w:val="center"/>
    </w:pPr>
    <w:rPr>
      <w:rFonts w:eastAsia="Calibri"/>
      <w:b/>
      <w:sz w:val="28"/>
    </w:rPr>
  </w:style>
  <w:style w:type="paragraph" w:customStyle="1" w:styleId="Contents1">
    <w:name w:val="Contents 1"/>
    <w:basedOn w:val="Normal"/>
    <w:next w:val="Normal"/>
    <w:pPr>
      <w:tabs>
        <w:tab w:val="right" w:leader="dot" w:pos="9071"/>
      </w:tabs>
      <w:spacing w:before="60"/>
      <w:ind w:left="850" w:hanging="850"/>
      <w:jc w:val="left"/>
    </w:pPr>
    <w:rPr>
      <w:rFonts w:eastAsia="Calibri"/>
    </w:rPr>
  </w:style>
  <w:style w:type="paragraph" w:customStyle="1" w:styleId="Contents2">
    <w:name w:val="Contents 2"/>
    <w:basedOn w:val="Normal"/>
    <w:next w:val="Normal"/>
    <w:pPr>
      <w:tabs>
        <w:tab w:val="right" w:leader="dot" w:pos="9071"/>
      </w:tabs>
      <w:spacing w:before="60"/>
      <w:ind w:left="850" w:hanging="850"/>
      <w:jc w:val="left"/>
    </w:pPr>
    <w:rPr>
      <w:rFonts w:eastAsia="Calibri"/>
    </w:rPr>
  </w:style>
  <w:style w:type="paragraph" w:customStyle="1" w:styleId="Contents3">
    <w:name w:val="Contents 3"/>
    <w:basedOn w:val="Normal"/>
    <w:next w:val="Normal"/>
    <w:pPr>
      <w:tabs>
        <w:tab w:val="right" w:leader="dot" w:pos="9071"/>
      </w:tabs>
      <w:spacing w:before="60"/>
      <w:ind w:left="850" w:hanging="850"/>
      <w:jc w:val="left"/>
    </w:pPr>
    <w:rPr>
      <w:rFonts w:eastAsia="Calibri"/>
    </w:rPr>
  </w:style>
  <w:style w:type="paragraph" w:customStyle="1" w:styleId="Contents4">
    <w:name w:val="Contents 4"/>
    <w:basedOn w:val="Normal"/>
    <w:next w:val="Normal"/>
    <w:pPr>
      <w:tabs>
        <w:tab w:val="right" w:leader="dot" w:pos="9071"/>
      </w:tabs>
      <w:spacing w:before="60"/>
      <w:ind w:left="850" w:hanging="850"/>
      <w:jc w:val="left"/>
    </w:pPr>
    <w:rPr>
      <w:rFonts w:eastAsia="Calibri"/>
    </w:rPr>
  </w:style>
  <w:style w:type="paragraph" w:customStyle="1" w:styleId="Contents5">
    <w:name w:val="Contents 5"/>
    <w:basedOn w:val="Normal"/>
    <w:next w:val="Normal"/>
    <w:pPr>
      <w:tabs>
        <w:tab w:val="right" w:leader="dot" w:pos="9071"/>
      </w:tabs>
      <w:spacing w:before="300"/>
      <w:jc w:val="left"/>
    </w:pPr>
    <w:rPr>
      <w:rFonts w:eastAsia="Calibri"/>
    </w:rPr>
  </w:style>
  <w:style w:type="paragraph" w:customStyle="1" w:styleId="Contents6">
    <w:name w:val="Contents 6"/>
    <w:basedOn w:val="Normal"/>
    <w:next w:val="Normal"/>
    <w:pPr>
      <w:tabs>
        <w:tab w:val="right" w:leader="dot" w:pos="9071"/>
      </w:tabs>
      <w:spacing w:before="240"/>
      <w:jc w:val="left"/>
    </w:pPr>
    <w:rPr>
      <w:rFonts w:eastAsia="Calibri"/>
    </w:rPr>
  </w:style>
  <w:style w:type="paragraph" w:customStyle="1" w:styleId="Contents7">
    <w:name w:val="Contents 7"/>
    <w:basedOn w:val="Normal"/>
    <w:next w:val="Normal"/>
    <w:pPr>
      <w:tabs>
        <w:tab w:val="right" w:leader="dot" w:pos="9071"/>
      </w:tabs>
      <w:spacing w:before="180"/>
      <w:jc w:val="left"/>
    </w:pPr>
    <w:rPr>
      <w:rFonts w:eastAsia="Calibri"/>
    </w:rPr>
  </w:style>
  <w:style w:type="paragraph" w:customStyle="1" w:styleId="Contents8">
    <w:name w:val="Contents 8"/>
    <w:basedOn w:val="Normal"/>
    <w:next w:val="Normal"/>
    <w:pPr>
      <w:tabs>
        <w:tab w:val="right" w:leader="dot" w:pos="9071"/>
      </w:tabs>
      <w:jc w:val="left"/>
    </w:pPr>
    <w:rPr>
      <w:rFonts w:eastAsia="Calibri"/>
    </w:rPr>
  </w:style>
  <w:style w:type="paragraph" w:customStyle="1" w:styleId="Contents9">
    <w:name w:val="Contents 9"/>
    <w:basedOn w:val="Normal"/>
    <w:next w:val="Normal"/>
    <w:pPr>
      <w:tabs>
        <w:tab w:val="right" w:leader="dot" w:pos="9071"/>
      </w:tabs>
    </w:pPr>
    <w:rPr>
      <w:rFonts w:eastAsia="Calibri"/>
    </w:rPr>
  </w:style>
  <w:style w:type="paragraph" w:customStyle="1" w:styleId="Quotations">
    <w:name w:val="Quotations"/>
    <w:basedOn w:val="Normal"/>
    <w:qFormat/>
    <w:rPr>
      <w:rFonts w:eastAsia="Calibri"/>
    </w:rPr>
  </w:style>
  <w:style w:type="paragraph" w:styleId="Title">
    <w:name w:val="Title"/>
    <w:basedOn w:val="Heading"/>
    <w:link w:val="TitleChar"/>
    <w:qFormat/>
  </w:style>
  <w:style w:type="character" w:customStyle="1" w:styleId="TitleChar">
    <w:name w:val="Title Char"/>
    <w:basedOn w:val="DefaultParagraphFont"/>
    <w:link w:val="Title"/>
    <w:rPr>
      <w:rFonts w:ascii="Liberation Sans" w:eastAsia="Bitstream Vera Sans" w:hAnsi="Liberation Sans" w:cs="Bitstream Vera Sans"/>
      <w:sz w:val="28"/>
      <w:szCs w:val="28"/>
      <w:lang w:val="en-GB"/>
    </w:rPr>
  </w:style>
  <w:style w:type="paragraph" w:styleId="Subtitle">
    <w:name w:val="Subtitle"/>
    <w:basedOn w:val="Heading"/>
    <w:link w:val="SubtitleChar"/>
    <w:qFormat/>
  </w:style>
  <w:style w:type="character" w:customStyle="1" w:styleId="SubtitleChar">
    <w:name w:val="Subtitle Char"/>
    <w:basedOn w:val="DefaultParagraphFont"/>
    <w:link w:val="Subtitle"/>
    <w:rPr>
      <w:rFonts w:ascii="Liberation Sans" w:eastAsia="Bitstream Vera Sans" w:hAnsi="Liberation Sans" w:cs="Bitstream Vera Sans"/>
      <w:sz w:val="28"/>
      <w:szCs w:val="28"/>
      <w:lang w:val="en-GB"/>
    </w:rPr>
  </w:style>
  <w:style w:type="paragraph" w:customStyle="1" w:styleId="TableContents">
    <w:name w:val="Table Contents"/>
    <w:basedOn w:val="Normal"/>
    <w:qFormat/>
    <w:rPr>
      <w:rFonts w:eastAsia="Calibri"/>
    </w:rPr>
  </w:style>
  <w:style w:type="paragraph" w:styleId="BalloonText">
    <w:name w:val="Balloon Text"/>
    <w:basedOn w:val="Normal"/>
    <w:link w:val="BalloonTextChar"/>
    <w:uiPriority w:val="99"/>
    <w:semiHidden/>
    <w:unhideWhenUsed/>
    <w:pPr>
      <w:spacing w:before="0" w:after="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table of figures" w:uiPriority="0" w:qFormat="1"/>
    <w:lsdException w:name="footnote reference" w:uiPriority="0" w:qFormat="1"/>
    <w:lsdException w:name="annotation reference" w:uiPriority="0" w:qFormat="1"/>
    <w:lsdException w:name="List" w:uiPriority="0"/>
    <w:lsdException w:name="List Bullet" w:uiPriority="0" w:qFormat="1"/>
    <w:lsdException w:name="List Number" w:uiPriority="0" w:qFormat="1"/>
    <w:lsdException w:name="List Bullet 2" w:uiPriority="0" w:qFormat="1"/>
    <w:lsdException w:name="List Bullet 3" w:uiPriority="0" w:qFormat="1"/>
    <w:lsdException w:name="List Bullet 4" w:uiPriority="0" w:qFormat="1"/>
    <w:lsdException w:name="List Number 2" w:uiPriority="0" w:qFormat="1"/>
    <w:lsdException w:name="List Number 3" w:uiPriority="0" w:qFormat="1"/>
    <w:lsdException w:name="List Number 4"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qFormat/>
    <w:pPr>
      <w:spacing w:after="0"/>
    </w:pPr>
  </w:style>
  <w:style w:type="paragraph" w:styleId="ListBullet">
    <w:name w:val="List Bullet"/>
    <w:basedOn w:val="Normal"/>
    <w:unhideWhenUsed/>
    <w:qFormat/>
    <w:pPr>
      <w:numPr>
        <w:numId w:val="1"/>
      </w:numPr>
      <w:contextualSpacing/>
    </w:pPr>
  </w:style>
  <w:style w:type="paragraph" w:styleId="ListBullet2">
    <w:name w:val="List Bullet 2"/>
    <w:basedOn w:val="Normal"/>
    <w:unhideWhenUsed/>
    <w:qFormat/>
    <w:pPr>
      <w:numPr>
        <w:numId w:val="2"/>
      </w:numPr>
      <w:contextualSpacing/>
    </w:pPr>
  </w:style>
  <w:style w:type="paragraph" w:styleId="ListBullet3">
    <w:name w:val="List Bullet 3"/>
    <w:basedOn w:val="Normal"/>
    <w:unhideWhenUsed/>
    <w:qFormat/>
    <w:pPr>
      <w:numPr>
        <w:numId w:val="3"/>
      </w:numPr>
      <w:contextualSpacing/>
    </w:pPr>
  </w:style>
  <w:style w:type="paragraph" w:styleId="ListBullet4">
    <w:name w:val="List Bullet 4"/>
    <w:basedOn w:val="Normal"/>
    <w:unhideWhenUsed/>
    <w:qFormat/>
    <w:pPr>
      <w:numPr>
        <w:numId w:val="4"/>
      </w:numPr>
      <w:contextualSpacing/>
    </w:pPr>
  </w:style>
  <w:style w:type="paragraph" w:styleId="ListNumber">
    <w:name w:val="List Number"/>
    <w:basedOn w:val="Normal"/>
    <w:unhideWhenUsed/>
    <w:qFormat/>
    <w:pPr>
      <w:numPr>
        <w:numId w:val="5"/>
      </w:numPr>
      <w:contextualSpacing/>
    </w:pPr>
  </w:style>
  <w:style w:type="paragraph" w:styleId="ListNumber2">
    <w:name w:val="List Number 2"/>
    <w:basedOn w:val="Normal"/>
    <w:unhideWhenUsed/>
    <w:qFormat/>
    <w:pPr>
      <w:numPr>
        <w:numId w:val="6"/>
      </w:numPr>
      <w:contextualSpacing/>
    </w:pPr>
  </w:style>
  <w:style w:type="paragraph" w:styleId="ListNumber3">
    <w:name w:val="List Number 3"/>
    <w:basedOn w:val="Normal"/>
    <w:unhideWhenUsed/>
    <w:qFormat/>
    <w:pPr>
      <w:numPr>
        <w:numId w:val="7"/>
      </w:numPr>
      <w:contextualSpacing/>
    </w:pPr>
  </w:style>
  <w:style w:type="paragraph" w:styleId="ListNumber4">
    <w:name w:val="List Number 4"/>
    <w:basedOn w:val="Normal"/>
    <w:unhideWhenUsed/>
    <w:qFormat/>
    <w:pPr>
      <w:numPr>
        <w:numId w:val="8"/>
      </w:numPr>
      <w:contextualSpacing/>
    </w:pPr>
  </w:style>
  <w:style w:type="character" w:styleId="CommentReference">
    <w:name w:val="annotation reference"/>
    <w:basedOn w:val="DefaultParagraphFont"/>
    <w:unhideWhenUsed/>
    <w:qFormat/>
    <w:rPr>
      <w:sz w:val="16"/>
      <w:szCs w:val="16"/>
    </w:rPr>
  </w:style>
  <w:style w:type="paragraph" w:styleId="CommentText">
    <w:name w:val="annotation text"/>
    <w:basedOn w:val="Normal"/>
    <w:link w:val="CommentTextChar1"/>
    <w:unhideWhenUsed/>
    <w:qFormat/>
    <w:rPr>
      <w:sz w:val="20"/>
      <w:szCs w:val="20"/>
    </w:rPr>
  </w:style>
  <w:style w:type="character" w:customStyle="1" w:styleId="CommentTextChar1">
    <w:name w:val="Comment Text Char1"/>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1"/>
    <w:unhideWhenUsed/>
    <w:qFormat/>
    <w:rPr>
      <w:b/>
      <w:bCs/>
    </w:rPr>
  </w:style>
  <w:style w:type="character" w:customStyle="1" w:styleId="CommentSubjectChar1">
    <w:name w:val="Comment Subject Char1"/>
    <w:basedOn w:val="CommentTextChar1"/>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character" w:customStyle="1" w:styleId="HeaderChar1">
    <w:name w:val="Header Char1"/>
    <w:basedOn w:val="DefaultParagraphFont"/>
    <w:uiPriority w:val="99"/>
    <w:rPr>
      <w:rFonts w:ascii="Times New Roman" w:hAnsi="Times New Roman" w:cs="Times New Roman"/>
      <w:sz w:val="24"/>
      <w:shd w:val="clear" w:color="auto" w:fill="auto"/>
      <w:lang w:val="en-GB"/>
    </w:rPr>
  </w:style>
  <w:style w:type="character" w:customStyle="1" w:styleId="FooterChar1">
    <w:name w:val="Footer Char1"/>
    <w:basedOn w:val="DefaultParagraphFont"/>
    <w:uiPriority w:val="99"/>
    <w:rPr>
      <w:rFonts w:ascii="Times New Roman" w:hAnsi="Times New Roman" w:cs="Times New Roman"/>
      <w:sz w:val="24"/>
      <w:shd w:val="clear" w:color="auto" w:fill="auto"/>
      <w:lang w:val="en-GB"/>
    </w:rPr>
  </w:style>
  <w:style w:type="character" w:customStyle="1" w:styleId="FootnoteTextChar1">
    <w:name w:val="Footnote Text Char1"/>
    <w:basedOn w:val="DefaultParagraphFont"/>
    <w:uiPriority w:val="99"/>
    <w:semiHidden/>
    <w:rPr>
      <w:rFonts w:ascii="Times New Roman" w:hAnsi="Times New Roman" w:cs="Times New Roman"/>
      <w:sz w:val="20"/>
      <w:szCs w:val="20"/>
      <w:shd w:val="clear" w:color="auto" w:fill="auto"/>
      <w:lang w:val="en-GB"/>
    </w:rPr>
  </w:style>
  <w:style w:type="character" w:customStyle="1" w:styleId="Heading1Char1">
    <w:name w:val="Heading 1 Char1"/>
    <w:basedOn w:val="DefaultParagraphFont"/>
    <w:rPr>
      <w:rFonts w:ascii="Times New Roman" w:eastAsiaTheme="majorEastAsia" w:hAnsi="Times New Roman" w:cs="Times New Roman"/>
      <w:b/>
      <w:bCs/>
      <w:smallCaps/>
      <w:sz w:val="24"/>
      <w:szCs w:val="28"/>
      <w:lang w:val="en-GB"/>
    </w:rPr>
  </w:style>
  <w:style w:type="character" w:customStyle="1" w:styleId="Heading2Char1">
    <w:name w:val="Heading 2 Char1"/>
    <w:basedOn w:val="DefaultParagraphFont"/>
    <w:rPr>
      <w:rFonts w:ascii="Times New Roman" w:eastAsiaTheme="majorEastAsia" w:hAnsi="Times New Roman" w:cs="Times New Roman"/>
      <w:b/>
      <w:bCs/>
      <w:sz w:val="24"/>
      <w:szCs w:val="26"/>
      <w:lang w:val="en-GB"/>
    </w:rPr>
  </w:style>
  <w:style w:type="character" w:customStyle="1" w:styleId="Heading3Char1">
    <w:name w:val="Heading 3 Char1"/>
    <w:basedOn w:val="DefaultParagraphFont"/>
    <w:rPr>
      <w:rFonts w:ascii="Times New Roman" w:eastAsiaTheme="majorEastAsia" w:hAnsi="Times New Roman" w:cs="Times New Roman"/>
      <w:bCs/>
      <w:i/>
      <w:sz w:val="24"/>
      <w:lang w:val="en-GB"/>
    </w:rPr>
  </w:style>
  <w:style w:type="character" w:customStyle="1" w:styleId="Heading4Char1">
    <w:name w:val="Heading 4 Char1"/>
    <w:basedOn w:val="DefaultParagraphFont"/>
    <w:rPr>
      <w:rFonts w:ascii="Times New Roman" w:eastAsiaTheme="majorEastAsia" w:hAnsi="Times New Roman" w:cs="Times New Roman"/>
      <w:bCs/>
      <w:iCs/>
      <w:sz w:val="24"/>
      <w:lang w:val="en-GB"/>
    </w:rPr>
  </w:style>
  <w:style w:type="character" w:customStyle="1" w:styleId="CommentTextChar">
    <w:name w:val="Comment Text Char"/>
    <w:basedOn w:val="DefaultParagraphFont"/>
    <w:qFormat/>
    <w:rPr>
      <w:rFonts w:ascii="Times New Roman" w:hAnsi="Times New Roman" w:cs="Times New Roman"/>
      <w:sz w:val="20"/>
      <w:szCs w:val="20"/>
      <w:lang w:val="en-GB"/>
    </w:rPr>
  </w:style>
  <w:style w:type="character" w:customStyle="1" w:styleId="CommentSubjectChar">
    <w:name w:val="Comment Subject Char"/>
    <w:basedOn w:val="CommentTextChar"/>
    <w:qFormat/>
    <w:rPr>
      <w:rFonts w:ascii="Times New Roman" w:hAnsi="Times New Roman" w:cs="Times New Roman"/>
      <w:b/>
      <w:bCs/>
      <w:sz w:val="20"/>
      <w:szCs w:val="20"/>
      <w:lang w:val="en-GB"/>
    </w:rPr>
  </w:style>
  <w:style w:type="character" w:customStyle="1" w:styleId="InternetLink">
    <w:name w:val="Internet Link"/>
    <w:basedOn w:val="DefaultParagraphFont"/>
    <w:rPr>
      <w:color w:val="0000FF"/>
      <w:u w:val="single"/>
    </w:rPr>
  </w:style>
  <w:style w:type="paragraph" w:customStyle="1" w:styleId="Heading">
    <w:name w:val="Heading"/>
    <w:basedOn w:val="Normal"/>
    <w:next w:val="TextBody"/>
    <w:qFormat/>
    <w:pPr>
      <w:keepNext/>
      <w:spacing w:before="240"/>
    </w:pPr>
    <w:rPr>
      <w:rFonts w:ascii="Liberation Sans" w:eastAsia="Bitstream Vera Sans" w:hAnsi="Liberation Sans" w:cs="Bitstream Vera Sans"/>
      <w:sz w:val="28"/>
      <w:szCs w:val="28"/>
    </w:rPr>
  </w:style>
  <w:style w:type="paragraph" w:customStyle="1" w:styleId="TextBody">
    <w:name w:val="Text Body"/>
    <w:basedOn w:val="Normal"/>
    <w:pPr>
      <w:spacing w:before="0" w:after="140" w:line="288" w:lineRule="auto"/>
    </w:pPr>
    <w:rPr>
      <w:rFonts w:eastAsia="Calibri"/>
    </w:rPr>
  </w:style>
  <w:style w:type="paragraph" w:styleId="List">
    <w:name w:val="List"/>
    <w:basedOn w:val="TextBody"/>
  </w:style>
  <w:style w:type="paragraph" w:customStyle="1" w:styleId="Index">
    <w:name w:val="Index"/>
    <w:basedOn w:val="Normal"/>
    <w:qFormat/>
    <w:pPr>
      <w:suppressLineNumbers/>
    </w:pPr>
    <w:rPr>
      <w:rFonts w:eastAsia="Calibri"/>
    </w:rPr>
  </w:style>
  <w:style w:type="paragraph" w:customStyle="1" w:styleId="ContentsHeading">
    <w:name w:val="Contents Heading"/>
    <w:basedOn w:val="Normal"/>
    <w:next w:val="Normal"/>
    <w:pPr>
      <w:spacing w:after="240"/>
      <w:jc w:val="center"/>
    </w:pPr>
    <w:rPr>
      <w:rFonts w:eastAsia="Calibri"/>
      <w:b/>
      <w:sz w:val="28"/>
    </w:rPr>
  </w:style>
  <w:style w:type="paragraph" w:customStyle="1" w:styleId="Contents1">
    <w:name w:val="Contents 1"/>
    <w:basedOn w:val="Normal"/>
    <w:next w:val="Normal"/>
    <w:pPr>
      <w:tabs>
        <w:tab w:val="right" w:leader="dot" w:pos="9071"/>
      </w:tabs>
      <w:spacing w:before="60"/>
      <w:ind w:left="850" w:hanging="850"/>
      <w:jc w:val="left"/>
    </w:pPr>
    <w:rPr>
      <w:rFonts w:eastAsia="Calibri"/>
    </w:rPr>
  </w:style>
  <w:style w:type="paragraph" w:customStyle="1" w:styleId="Contents2">
    <w:name w:val="Contents 2"/>
    <w:basedOn w:val="Normal"/>
    <w:next w:val="Normal"/>
    <w:pPr>
      <w:tabs>
        <w:tab w:val="right" w:leader="dot" w:pos="9071"/>
      </w:tabs>
      <w:spacing w:before="60"/>
      <w:ind w:left="850" w:hanging="850"/>
      <w:jc w:val="left"/>
    </w:pPr>
    <w:rPr>
      <w:rFonts w:eastAsia="Calibri"/>
    </w:rPr>
  </w:style>
  <w:style w:type="paragraph" w:customStyle="1" w:styleId="Contents3">
    <w:name w:val="Contents 3"/>
    <w:basedOn w:val="Normal"/>
    <w:next w:val="Normal"/>
    <w:pPr>
      <w:tabs>
        <w:tab w:val="right" w:leader="dot" w:pos="9071"/>
      </w:tabs>
      <w:spacing w:before="60"/>
      <w:ind w:left="850" w:hanging="850"/>
      <w:jc w:val="left"/>
    </w:pPr>
    <w:rPr>
      <w:rFonts w:eastAsia="Calibri"/>
    </w:rPr>
  </w:style>
  <w:style w:type="paragraph" w:customStyle="1" w:styleId="Contents4">
    <w:name w:val="Contents 4"/>
    <w:basedOn w:val="Normal"/>
    <w:next w:val="Normal"/>
    <w:pPr>
      <w:tabs>
        <w:tab w:val="right" w:leader="dot" w:pos="9071"/>
      </w:tabs>
      <w:spacing w:before="60"/>
      <w:ind w:left="850" w:hanging="850"/>
      <w:jc w:val="left"/>
    </w:pPr>
    <w:rPr>
      <w:rFonts w:eastAsia="Calibri"/>
    </w:rPr>
  </w:style>
  <w:style w:type="paragraph" w:customStyle="1" w:styleId="Contents5">
    <w:name w:val="Contents 5"/>
    <w:basedOn w:val="Normal"/>
    <w:next w:val="Normal"/>
    <w:pPr>
      <w:tabs>
        <w:tab w:val="right" w:leader="dot" w:pos="9071"/>
      </w:tabs>
      <w:spacing w:before="300"/>
      <w:jc w:val="left"/>
    </w:pPr>
    <w:rPr>
      <w:rFonts w:eastAsia="Calibri"/>
    </w:rPr>
  </w:style>
  <w:style w:type="paragraph" w:customStyle="1" w:styleId="Contents6">
    <w:name w:val="Contents 6"/>
    <w:basedOn w:val="Normal"/>
    <w:next w:val="Normal"/>
    <w:pPr>
      <w:tabs>
        <w:tab w:val="right" w:leader="dot" w:pos="9071"/>
      </w:tabs>
      <w:spacing w:before="240"/>
      <w:jc w:val="left"/>
    </w:pPr>
    <w:rPr>
      <w:rFonts w:eastAsia="Calibri"/>
    </w:rPr>
  </w:style>
  <w:style w:type="paragraph" w:customStyle="1" w:styleId="Contents7">
    <w:name w:val="Contents 7"/>
    <w:basedOn w:val="Normal"/>
    <w:next w:val="Normal"/>
    <w:pPr>
      <w:tabs>
        <w:tab w:val="right" w:leader="dot" w:pos="9071"/>
      </w:tabs>
      <w:spacing w:before="180"/>
      <w:jc w:val="left"/>
    </w:pPr>
    <w:rPr>
      <w:rFonts w:eastAsia="Calibri"/>
    </w:rPr>
  </w:style>
  <w:style w:type="paragraph" w:customStyle="1" w:styleId="Contents8">
    <w:name w:val="Contents 8"/>
    <w:basedOn w:val="Normal"/>
    <w:next w:val="Normal"/>
    <w:pPr>
      <w:tabs>
        <w:tab w:val="right" w:leader="dot" w:pos="9071"/>
      </w:tabs>
      <w:jc w:val="left"/>
    </w:pPr>
    <w:rPr>
      <w:rFonts w:eastAsia="Calibri"/>
    </w:rPr>
  </w:style>
  <w:style w:type="paragraph" w:customStyle="1" w:styleId="Contents9">
    <w:name w:val="Contents 9"/>
    <w:basedOn w:val="Normal"/>
    <w:next w:val="Normal"/>
    <w:pPr>
      <w:tabs>
        <w:tab w:val="right" w:leader="dot" w:pos="9071"/>
      </w:tabs>
    </w:pPr>
    <w:rPr>
      <w:rFonts w:eastAsia="Calibri"/>
    </w:rPr>
  </w:style>
  <w:style w:type="paragraph" w:customStyle="1" w:styleId="Quotations">
    <w:name w:val="Quotations"/>
    <w:basedOn w:val="Normal"/>
    <w:qFormat/>
    <w:rPr>
      <w:rFonts w:eastAsia="Calibri"/>
    </w:rPr>
  </w:style>
  <w:style w:type="paragraph" w:styleId="Title">
    <w:name w:val="Title"/>
    <w:basedOn w:val="Heading"/>
    <w:link w:val="TitleChar"/>
    <w:qFormat/>
  </w:style>
  <w:style w:type="character" w:customStyle="1" w:styleId="TitleChar">
    <w:name w:val="Title Char"/>
    <w:basedOn w:val="DefaultParagraphFont"/>
    <w:link w:val="Title"/>
    <w:rPr>
      <w:rFonts w:ascii="Liberation Sans" w:eastAsia="Bitstream Vera Sans" w:hAnsi="Liberation Sans" w:cs="Bitstream Vera Sans"/>
      <w:sz w:val="28"/>
      <w:szCs w:val="28"/>
      <w:lang w:val="en-GB"/>
    </w:rPr>
  </w:style>
  <w:style w:type="paragraph" w:styleId="Subtitle">
    <w:name w:val="Subtitle"/>
    <w:basedOn w:val="Heading"/>
    <w:link w:val="SubtitleChar"/>
    <w:qFormat/>
  </w:style>
  <w:style w:type="character" w:customStyle="1" w:styleId="SubtitleChar">
    <w:name w:val="Subtitle Char"/>
    <w:basedOn w:val="DefaultParagraphFont"/>
    <w:link w:val="Subtitle"/>
    <w:rPr>
      <w:rFonts w:ascii="Liberation Sans" w:eastAsia="Bitstream Vera Sans" w:hAnsi="Liberation Sans" w:cs="Bitstream Vera Sans"/>
      <w:sz w:val="28"/>
      <w:szCs w:val="28"/>
      <w:lang w:val="en-GB"/>
    </w:rPr>
  </w:style>
  <w:style w:type="paragraph" w:customStyle="1" w:styleId="TableContents">
    <w:name w:val="Table Contents"/>
    <w:basedOn w:val="Normal"/>
    <w:qFormat/>
    <w:rPr>
      <w:rFonts w:eastAsia="Calibri"/>
    </w:rPr>
  </w:style>
  <w:style w:type="paragraph" w:styleId="BalloonText">
    <w:name w:val="Balloon Text"/>
    <w:basedOn w:val="Normal"/>
    <w:link w:val="BalloonTextChar"/>
    <w:uiPriority w:val="99"/>
    <w:semiHidden/>
    <w:unhideWhenUsed/>
    <w:pPr>
      <w:spacing w:before="0" w:after="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12</TotalTime>
  <Pages>28</Pages>
  <Words>9217</Words>
  <Characters>55673</Characters>
  <Application>Microsoft Office Word</Application>
  <DocSecurity>0</DocSecurity>
  <Lines>1294</Lines>
  <Paragraphs>606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MOLLER</dc:creator>
  <cp:lastModifiedBy>DIGIT/A3</cp:lastModifiedBy>
  <cp:revision>19</cp:revision>
  <dcterms:created xsi:type="dcterms:W3CDTF">2016-03-29T10:33:00Z</dcterms:created>
  <dcterms:modified xsi:type="dcterms:W3CDTF">2016-04-11T08:29:00Z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Yellow (DQC version 03)</vt:lpwstr>
  </property>
</Properties>
</file>