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FBEF65E846BE4E5CB2471D19DD68CEC1" style="width:450.8pt;height:411.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PIELIKUMS</w:t>
      </w:r>
    </w:p>
    <w:p>
      <w:pPr>
        <w:spacing w:after="240"/>
        <w:jc w:val="center"/>
        <w:rPr>
          <w:b/>
          <w:caps/>
          <w:noProof/>
        </w:rPr>
      </w:pPr>
      <w:r>
        <w:rPr>
          <w:b/>
          <w:caps/>
          <w:noProof/>
        </w:rPr>
        <w:t>Projekts</w:t>
      </w:r>
    </w:p>
    <w:p>
      <w:pPr>
        <w:jc w:val="center"/>
        <w:rPr>
          <w:b/>
          <w:caps/>
          <w:noProof/>
        </w:rPr>
      </w:pPr>
      <w:r>
        <w:rPr>
          <w:b/>
          <w:caps/>
          <w:noProof/>
        </w:rPr>
        <w:t xml:space="preserve">ES un MOLDOVAS REPUBLIKAS Sanitāro un fitosanitāro pasākumu apakškomitejas Lēmums Nr. 1/2016 </w:t>
      </w:r>
    </w:p>
    <w:p>
      <w:pPr>
        <w:jc w:val="center"/>
        <w:rPr>
          <w:b/>
          <w:noProof/>
        </w:rPr>
      </w:pPr>
      <w:r>
        <w:rPr>
          <w:b/>
          <w:noProof/>
        </w:rPr>
        <w:t xml:space="preserve">(2016. gada ..), </w:t>
      </w:r>
    </w:p>
    <w:p>
      <w:pPr>
        <w:spacing w:after="240"/>
        <w:jc w:val="center"/>
        <w:rPr>
          <w:b/>
          <w:noProof/>
          <w:szCs w:val="24"/>
        </w:rPr>
      </w:pPr>
      <w:r>
        <w:rPr>
          <w:b/>
          <w:noProof/>
        </w:rPr>
        <w:t xml:space="preserve">ar ko groza Asociācijas nolīguma XXIV-B pielikumu </w:t>
      </w:r>
    </w:p>
    <w:p>
      <w:pPr>
        <w:spacing w:line="276" w:lineRule="auto"/>
        <w:rPr>
          <w:noProof/>
        </w:rPr>
      </w:pPr>
      <w:r>
        <w:rPr>
          <w:noProof/>
        </w:rPr>
        <w:t>SANITĀRĀ UN FITOSANITĀRĀ APAKŠKOMITEJA,</w:t>
      </w:r>
    </w:p>
    <w:p>
      <w:pPr>
        <w:rPr>
          <w:noProof/>
        </w:rPr>
      </w:pPr>
      <w:r>
        <w:rPr>
          <w:noProof/>
        </w:rPr>
        <w:t>ņemot vērā 2014. gada 27. jūnijā Briselē parakstīto Asociācijas nolīgumu starp Eiropas Savienību un Eiropas Atomenerģijas kopienu un to dalībvalstīm, no vienas puses, un Moldovas Republiku, no otras puses, un jo īpaši tā 181. un 191. pantu,</w:t>
      </w:r>
    </w:p>
    <w:p>
      <w:pPr>
        <w:rPr>
          <w:noProof/>
        </w:rPr>
      </w:pPr>
      <w:r>
        <w:rPr>
          <w:noProof/>
        </w:rPr>
        <w:t>tā kā:</w:t>
      </w:r>
    </w:p>
    <w:p>
      <w:pPr>
        <w:pStyle w:val="ManualNumPar1"/>
        <w:rPr>
          <w:noProof/>
        </w:rPr>
      </w:pPr>
      <w:r>
        <w:rPr>
          <w:noProof/>
        </w:rPr>
        <w:t>(1)</w:t>
      </w:r>
      <w:r>
        <w:rPr>
          <w:noProof/>
        </w:rPr>
        <w:tab/>
        <w:t xml:space="preserve">Saskaņā ar 464. pantu Asociācijas nolīgumā starp Eiropas Savienību un Eiropas Atomenerģijas kopienu un to dalībvalstīm, no vienas puses, un Moldovas Republiku, no otras puses, (“nolīgums”) nolīguma daļas, tostarp noteikumi par sanitārajiem, fitosanitārajiem un dzīvnieku labturības pasākumiem, no 2014. gada 1. septembra tiek piemērotas provizoriski. </w:t>
      </w:r>
    </w:p>
    <w:p>
      <w:pPr>
        <w:pStyle w:val="ManualNumPar1"/>
        <w:rPr>
          <w:noProof/>
        </w:rPr>
      </w:pPr>
      <w:r>
        <w:rPr>
          <w:noProof/>
        </w:rPr>
        <w:t>(2)</w:t>
      </w:r>
      <w:r>
        <w:rPr>
          <w:noProof/>
        </w:rPr>
        <w:tab/>
        <w:t xml:space="preserve">Saskaņā ar nolīguma 181. panta 1. punktu Moldovas Republika pakāpeniski tuvina savus tiesību aktus sanitārajā un fitosanitārajā un dzīvnieku labturības jomā ES tiesību aktiem, kas noteikti nolīguma XXIV pielikumā. </w:t>
      </w:r>
    </w:p>
    <w:p>
      <w:pPr>
        <w:pStyle w:val="ManualNumPar1"/>
        <w:rPr>
          <w:noProof/>
        </w:rPr>
      </w:pPr>
      <w:r>
        <w:rPr>
          <w:noProof/>
        </w:rPr>
        <w:t>(3)</w:t>
      </w:r>
      <w:r>
        <w:rPr>
          <w:noProof/>
        </w:rPr>
        <w:tab/>
        <w:t xml:space="preserve">Saskaņā ar nolīguma 181. panta 4. punktu Moldovas Republika apņemas ne vēlāk kā trīs mēnešus pēc šā nolīguma stāšanās spēkā iesniegt sarakstu ar tiem Savienības sanitārās, fitosanitārās un dzīvnieku labturības jomas </w:t>
      </w:r>
      <w:r>
        <w:rPr>
          <w:i/>
          <w:noProof/>
        </w:rPr>
        <w:t>acquis</w:t>
      </w:r>
      <w:r>
        <w:rPr>
          <w:noProof/>
        </w:rPr>
        <w:t xml:space="preserve">, kuriem Moldovas Republika plāno tuvināt savus iekšējos tiesību aktus. Minētais tuvināšanas saraksts jāizmanto kā atsauces dokuments nolīguma V sadaļas (Tirdzniecība un ar tirdzniecību saistīti jautājumi) 4. nodaļas īstenošanai. </w:t>
      </w:r>
    </w:p>
    <w:p>
      <w:pPr>
        <w:pStyle w:val="ManualNumPar1"/>
        <w:rPr>
          <w:noProof/>
        </w:rPr>
      </w:pPr>
      <w:r>
        <w:rPr>
          <w:noProof/>
        </w:rPr>
        <w:t>(4)</w:t>
      </w:r>
      <w:r>
        <w:rPr>
          <w:noProof/>
        </w:rPr>
        <w:tab/>
        <w:t>Ar nolīguma 191. pantu izveidota Sanitāro un fitosanitāro pasākumu apakškomiteja, kas izskata visus jautājumus saistībā ar V sadaļas (Tirdzniecība un ar tirdzniecību saistīti jautājumi) 4. nodaļas īstenošanu un kas var pārskatīt un grozīt nolīguma XXIV pielikumu.</w:t>
      </w:r>
    </w:p>
    <w:p>
      <w:pPr>
        <w:pStyle w:val="ManualNumPar1"/>
        <w:rPr>
          <w:noProof/>
        </w:rPr>
      </w:pPr>
      <w:r>
        <w:rPr>
          <w:noProof/>
        </w:rPr>
        <w:t>(5)</w:t>
      </w:r>
      <w:r>
        <w:rPr>
          <w:noProof/>
        </w:rPr>
        <w:tab/>
        <w:t xml:space="preserve">Moldovas Republika 2014. gada novembrī iesniedza Eiropas Komisijai iepriekš minēto Savienības </w:t>
      </w:r>
      <w:r>
        <w:rPr>
          <w:i/>
          <w:noProof/>
        </w:rPr>
        <w:t>acquis</w:t>
      </w:r>
      <w:r>
        <w:rPr>
          <w:noProof/>
        </w:rPr>
        <w:t xml:space="preserve"> sarakstu un, apspriedusies ar Eiropas Komisiju, pabeidza sarakstu 2015. gada jūlijā. </w:t>
      </w:r>
    </w:p>
    <w:p>
      <w:pPr>
        <w:pStyle w:val="ManualNumPar1"/>
        <w:rPr>
          <w:noProof/>
        </w:rPr>
      </w:pPr>
      <w:r>
        <w:rPr>
          <w:noProof/>
        </w:rPr>
        <w:t>(6)</w:t>
      </w:r>
      <w:r>
        <w:rPr>
          <w:noProof/>
        </w:rPr>
        <w:tab/>
        <w:t>Ir lietderīgi, ka Sanitāro un fitosanitāro pasākumu apakškomiteja pieņem lēmumu grozīt nolīguma XXIV-B pielikumu, lai iekļautu tajā sarakstu, kurš ietverts šā lēmuma papildinājumā,</w:t>
      </w:r>
    </w:p>
    <w:p>
      <w:pPr>
        <w:rPr>
          <w:noProof/>
        </w:rPr>
      </w:pPr>
      <w:r>
        <w:rPr>
          <w:noProof/>
        </w:rPr>
        <w:t>IR PIEŅĒMUSI ŠO LĒMUMU.</w:t>
      </w:r>
    </w:p>
    <w:p>
      <w:pPr>
        <w:pStyle w:val="Titrearticle"/>
        <w:rPr>
          <w:noProof/>
        </w:rPr>
      </w:pPr>
      <w:r>
        <w:rPr>
          <w:noProof/>
        </w:rPr>
        <w:t>1. pants</w:t>
      </w:r>
    </w:p>
    <w:p>
      <w:pPr>
        <w:rPr>
          <w:noProof/>
        </w:rPr>
      </w:pPr>
      <w:r>
        <w:rPr>
          <w:noProof/>
        </w:rPr>
        <w:t xml:space="preserve">Ar šo, kā izklāstīts šā lēmuma papildinājumā, groza XXIV-B pielikumu Asociācijas nolīgumā starp Eiropas Savienību un Eiropas Atomenerģijas kopienu un to dalībvalstīm, no vienas puses, un Moldovas Republiku, no otras puses. </w:t>
      </w:r>
    </w:p>
    <w:p>
      <w:pPr>
        <w:pStyle w:val="Titrearticle"/>
        <w:rPr>
          <w:i w:val="0"/>
          <w:noProof/>
        </w:rPr>
      </w:pPr>
      <w:r>
        <w:rPr>
          <w:noProof/>
        </w:rPr>
        <w:lastRenderedPageBreak/>
        <w:t>2. pants</w:t>
      </w:r>
    </w:p>
    <w:p>
      <w:pPr>
        <w:pStyle w:val="ManualNumPar1"/>
        <w:rPr>
          <w:noProof/>
        </w:rPr>
      </w:pPr>
      <w:r>
        <w:rPr>
          <w:noProof/>
        </w:rPr>
        <w:t>Šis lēmums stājas spēkā tā pieņemšanas dienā.</w:t>
      </w:r>
    </w:p>
    <w:p>
      <w:pPr>
        <w:spacing w:after="360"/>
        <w:rPr>
          <w:noProof/>
        </w:rPr>
      </w:pPr>
      <w:r>
        <w:rPr>
          <w:noProof/>
        </w:rPr>
        <w:t>[Vieta, datums]</w:t>
      </w:r>
    </w:p>
    <w:tbl>
      <w:tblPr>
        <w:tblW w:w="0" w:type="auto"/>
        <w:tblLook w:val="04A0" w:firstRow="1" w:lastRow="0" w:firstColumn="1" w:lastColumn="0" w:noHBand="0" w:noVBand="1"/>
      </w:tblPr>
      <w:tblGrid>
        <w:gridCol w:w="4643"/>
        <w:gridCol w:w="4644"/>
      </w:tblGrid>
      <w:tr>
        <w:tc>
          <w:tcPr>
            <w:tcW w:w="4643" w:type="dxa"/>
            <w:shd w:val="clear" w:color="auto" w:fill="auto"/>
          </w:tcPr>
          <w:p>
            <w:pPr>
              <w:ind w:left="2160" w:firstLine="720"/>
              <w:jc w:val="center"/>
              <w:rPr>
                <w:rFonts w:eastAsia="Times New Roman"/>
                <w:noProof/>
                <w:szCs w:val="24"/>
              </w:rPr>
            </w:pPr>
          </w:p>
        </w:tc>
        <w:tc>
          <w:tcPr>
            <w:tcW w:w="4644" w:type="dxa"/>
            <w:shd w:val="clear" w:color="auto" w:fill="auto"/>
          </w:tcPr>
          <w:p>
            <w:pPr>
              <w:spacing w:before="0" w:after="0"/>
              <w:rPr>
                <w:i/>
                <w:noProof/>
              </w:rPr>
            </w:pPr>
            <w:r>
              <w:rPr>
                <w:i/>
                <w:noProof/>
              </w:rPr>
              <w:t xml:space="preserve">Sanitārās un fitosanitārās apakškomiteja vārdā — </w:t>
            </w:r>
          </w:p>
          <w:p>
            <w:pPr>
              <w:spacing w:before="0" w:after="0"/>
              <w:rPr>
                <w:i/>
                <w:noProof/>
              </w:rPr>
            </w:pPr>
          </w:p>
        </w:tc>
      </w:tr>
      <w:tr>
        <w:tc>
          <w:tcPr>
            <w:tcW w:w="4643" w:type="dxa"/>
            <w:shd w:val="clear" w:color="auto" w:fill="auto"/>
          </w:tcPr>
          <w:p>
            <w:pPr>
              <w:rPr>
                <w:rFonts w:eastAsia="Times New Roman"/>
                <w:noProof/>
                <w:szCs w:val="24"/>
              </w:rPr>
            </w:pPr>
          </w:p>
        </w:tc>
        <w:tc>
          <w:tcPr>
            <w:tcW w:w="4644" w:type="dxa"/>
            <w:shd w:val="clear" w:color="auto" w:fill="auto"/>
          </w:tcPr>
          <w:p>
            <w:pPr>
              <w:rPr>
                <w:rFonts w:eastAsia="Times New Roman"/>
                <w:i/>
                <w:noProof/>
                <w:szCs w:val="24"/>
              </w:rPr>
            </w:pPr>
            <w:r>
              <w:rPr>
                <w:i/>
                <w:noProof/>
              </w:rPr>
              <w:t>priekšsēdētājs</w:t>
            </w:r>
          </w:p>
        </w:tc>
      </w:tr>
    </w:tbl>
    <w:p>
      <w:pPr>
        <w:jc w:val="center"/>
        <w:rPr>
          <w:noProof/>
        </w:rPr>
        <w:sectPr>
          <w:footerReference w:type="default" r:id="rId15"/>
          <w:footerReference w:type="first" r:id="rId16"/>
          <w:pgSz w:w="11907" w:h="16839"/>
          <w:pgMar w:top="1134" w:right="1418" w:bottom="1134" w:left="1418" w:header="720" w:footer="720" w:gutter="0"/>
          <w:cols w:space="720"/>
          <w:docGrid w:linePitch="326"/>
        </w:sectPr>
      </w:pPr>
    </w:p>
    <w:p>
      <w:pPr>
        <w:jc w:val="right"/>
        <w:rPr>
          <w:b/>
          <w:noProof/>
          <w:u w:val="single"/>
        </w:rPr>
      </w:pPr>
      <w:r>
        <w:rPr>
          <w:b/>
          <w:noProof/>
          <w:u w:val="single"/>
        </w:rPr>
        <w:lastRenderedPageBreak/>
        <w:t>PIELIKUMS</w:t>
      </w:r>
    </w:p>
    <w:p>
      <w:pPr>
        <w:spacing w:after="360"/>
        <w:jc w:val="center"/>
        <w:rPr>
          <w:b/>
          <w:caps/>
          <w:noProof/>
        </w:rPr>
      </w:pPr>
      <w:r>
        <w:rPr>
          <w:b/>
          <w:caps/>
          <w:noProof/>
        </w:rPr>
        <w:t>Asociācijas nolīguma XXIV-B pielikuma grozījums</w:t>
      </w:r>
    </w:p>
    <w:p>
      <w:pPr>
        <w:spacing w:after="360"/>
        <w:rPr>
          <w:noProof/>
        </w:rPr>
      </w:pPr>
      <w:r>
        <w:rPr>
          <w:noProof/>
        </w:rPr>
        <w:t xml:space="preserve">Nolīguma XXIV-B pielikumu groza un formulē šādi: </w:t>
      </w:r>
    </w:p>
    <w:p>
      <w:pPr>
        <w:spacing w:after="360"/>
        <w:jc w:val="center"/>
        <w:rPr>
          <w:caps/>
          <w:noProof/>
        </w:rPr>
      </w:pPr>
      <w:r>
        <w:rPr>
          <w:caps/>
          <w:noProof/>
        </w:rPr>
        <w:t>“XXIV-B pielikums</w:t>
      </w:r>
    </w:p>
    <w:p>
      <w:pPr>
        <w:spacing w:after="360"/>
        <w:jc w:val="center"/>
        <w:rPr>
          <w:caps/>
          <w:noProof/>
        </w:rPr>
      </w:pPr>
      <w:r>
        <w:rPr>
          <w:caps/>
          <w:noProof/>
        </w:rPr>
        <w:t>Saraksts ar Savienības tiesību aktiem, kuriem Moldovas Republikai jātuvina savi tiesību akti</w:t>
      </w:r>
    </w:p>
    <w:p>
      <w:pPr>
        <w:widowControl w:val="0"/>
        <w:spacing w:before="0" w:after="0"/>
        <w:rPr>
          <w:rFonts w:eastAsia="Times New Roman"/>
          <w:noProof/>
          <w:szCs w:val="24"/>
        </w:rPr>
      </w:pPr>
      <w:r>
        <w:rPr>
          <w:noProof/>
        </w:rPr>
        <w:t>Saskaņā ar nolīguma 181. panta 4. punktu Moldovas Republika tuvina savus tiesību aktus šādiem Eiropas Savienības tiesību aktiem, ievērojot termiņus, kuri norādīti turpmāk.</w:t>
      </w:r>
    </w:p>
    <w:tbl>
      <w:tblPr>
        <w:tblW w:w="9729" w:type="dxa"/>
        <w:tblLayout w:type="fixed"/>
        <w:tblCellMar>
          <w:top w:w="15" w:type="dxa"/>
          <w:left w:w="15" w:type="dxa"/>
          <w:bottom w:w="15" w:type="dxa"/>
          <w:right w:w="15" w:type="dxa"/>
        </w:tblCellMar>
        <w:tblLook w:val="0000" w:firstRow="0" w:lastRow="0" w:firstColumn="0" w:lastColumn="0" w:noHBand="0" w:noVBand="0"/>
      </w:tblPr>
      <w:tblGrid>
        <w:gridCol w:w="7842"/>
        <w:gridCol w:w="1887"/>
      </w:tblGrid>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b/>
                <w:bCs/>
                <w:noProof/>
                <w:szCs w:val="24"/>
              </w:rPr>
            </w:pPr>
            <w:r>
              <w:rPr>
                <w:b/>
                <w:noProof/>
              </w:rPr>
              <w:t>Savienības tiesību akti</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b/>
                <w:bCs/>
                <w:noProof/>
                <w:szCs w:val="24"/>
              </w:rPr>
            </w:pPr>
          </w:p>
          <w:p>
            <w:pPr>
              <w:widowControl w:val="0"/>
              <w:spacing w:before="40" w:after="40"/>
              <w:jc w:val="center"/>
              <w:rPr>
                <w:rFonts w:eastAsia="Times New Roman"/>
                <w:b/>
                <w:bCs/>
                <w:noProof/>
                <w:szCs w:val="24"/>
              </w:rPr>
            </w:pPr>
            <w:r>
              <w:rPr>
                <w:b/>
                <w:noProof/>
              </w:rPr>
              <w:t>Tiesību aktu tuvināšanas termiņš</w:t>
            </w:r>
          </w:p>
        </w:tc>
      </w:tr>
      <w:tr>
        <w:trPr>
          <w:trHeight w:val="20"/>
        </w:trPr>
        <w:tc>
          <w:tcPr>
            <w:tcW w:w="97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jc w:val="center"/>
              <w:rPr>
                <w:rFonts w:eastAsia="Times New Roman"/>
                <w:bCs/>
                <w:noProof/>
                <w:szCs w:val="24"/>
              </w:rPr>
            </w:pPr>
            <w:r>
              <w:rPr>
                <w:b/>
                <w:noProof/>
              </w:rPr>
              <w:t>1. sadaļa. Vispārīgi noteikumi</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Eiropas Parlamenta un Padomes Regula (EK) Nr. 178/2002 (2002. gada 28. janvāris), ar ko paredz pārtikas aprites tiesību aktu vispārīgus principus un prasības, izveido Eiropas Pārtikas nekaitīguma iestādi un paredz procedūras saistībā ar pārtikas nekaitīgumu, izņemot 58., 59. un 62. pantu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Regula (EK) Nr. 1304/2003 (2003. gada 23. jūlijs) par procedūru, ko Eiropas Pārtikas nekaitīguma iestāde piemēro tai nodotajiem zinātnisko atzinumu pieprasījumiem</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Lēmums 2004/478/EK (2004. gada 29. aprīlis) par vispārēja pārtikas/barības krīzes vadības plāna pieņemšanu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Regula (ES) Nr. 16/2011 (2011. gada 10. janvāris), ar ko nosaka īstenošanas pasākumus ātrās reaģēšanas sistēmai pārtikas un barības jomā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Regula (EK) Nr. 1151/2009 (2009. gada 27. novembris), ar ko iespējama piesārņojuma ar minerāleļļu dēļ paredz īpašus nosacījumus, kuri reglamentē Ukrainas izcelsmes saulespuķu eļļas importu un saulespuķu eļļas sūtījumus no Ukrainas un atceļ Lēmumu 2008/433/EK</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strike/>
                <w:noProof/>
                <w:szCs w:val="24"/>
              </w:rPr>
            </w:pPr>
            <w:r>
              <w:rPr>
                <w:noProof/>
              </w:rPr>
              <w:t>Komisijas Īstenošanas regula (ES) Nr. 884/2014 (2014. gada 13. augusts), ar ko paredz īpašus nosacījumus, kas reglamentē konkrētas barības un pārtikas importu no konkrētām trešām valstīm saistībā ar to piesārņojuma risku ar aflatoksīniem, un atceļ Regulu (EK) Nr. 1152/2009</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(ES) Nr. 258/2010 (2010. gada 25 marts), ar ko paredz īpašus nosacījumus Indijas izcelsmes vai no Indijas sūtītu guāras sveķu importam saistībā ar piesārņojuma risku ar pentahlorfenolu un dioksīniem un atceļ </w:t>
            </w:r>
            <w:r>
              <w:rPr>
                <w:noProof/>
              </w:rPr>
              <w:lastRenderedPageBreak/>
              <w:t>Lēmumu 2000/352/EK</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lastRenderedPageBreak/>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lastRenderedPageBreak/>
              <w:t xml:space="preserve">Komisijas Īstenošanas regula (ES) Nr. 208/2013 (2013. gada 11. marts) par izsekojamības prasībām attiecībā uz dīgstiem un sēklām, no kurām paredzēts ražot dīgstus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Īstenošanas regula (ES) Nr. 931/2011 (2011. gada 19. septembris) par izsekojamības prasībām, kas ar Eiropas Parlamenta un Padomes Regulu (EK) Nr. 178/2002 noteiktas dzīvnieku izcelsmes pārtikai </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Eiropas Parlamenta un Padomes Regula (EK) Nr. 178/2002 (2002. gada 28. janvāris), ar ko paredz pārtikas aprites tiesību aktu vispārīgus principus un prasības, izveido Eiropas Pārtikas nekaitīguma iestādi un paredz procedūras saistībā ar pārtikas nekaitīgumu — 58., 59. un 62. pants</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9729" w:type="dxa"/>
            <w:gridSpan w:val="2"/>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noProof/>
                <w:szCs w:val="24"/>
              </w:rPr>
            </w:pPr>
            <w:bookmarkStart w:id="1" w:name="_Toc127327582"/>
            <w:bookmarkStart w:id="2" w:name="_Toc127327583"/>
            <w:bookmarkStart w:id="3" w:name="_Toc394585565"/>
            <w:r>
              <w:rPr>
                <w:b/>
                <w:noProof/>
              </w:rPr>
              <w:t xml:space="preserve">2. sadaļa. </w:t>
            </w:r>
            <w:bookmarkEnd w:id="1"/>
            <w:bookmarkEnd w:id="2"/>
            <w:bookmarkEnd w:id="3"/>
            <w:r>
              <w:rPr>
                <w:b/>
                <w:noProof/>
              </w:rPr>
              <w:t>Veterinārie noteikumi</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i/>
                <w:noProof/>
                <w:szCs w:val="24"/>
              </w:rPr>
            </w:pPr>
            <w:r>
              <w:rPr>
                <w:noProof/>
              </w:rPr>
              <w:t>Padomes Direktīva 2002/99/EK (2002. gada 16. decembris), ar ko paredz dzīvnieku veselības noteikumus, kuri reglamentē tādu dzīvnieku izcelsmes produktu ražošanu, pārstrādi, izplatīšanu un ievešanu, kas paredzēti lietošanai pārtikā</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2003/24/EK (2002. gada 30. decembris) par integrētas datorizētas veterinārās sistēmas izveidi</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Lēmums 2005/734/EK (2005. gada 19. oktobris), ar ko nosaka biodrošības pasākumus, lai mazinātu risku, ka ļoti patogēno putnu gripu, ko izraisa A tipa H5N1 apakštipa gripas vīruss, no savvaļas putniem varētu pārnest uz mājputniem un citiem nebrīvē turētiem putniem, un ar ko paredz agrīnas konstatācijas sistēmu īpaši apdraudētos apgabalos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2006. gada 14. jūnija Lēmums 2006/415/EK par dažiem aizsardzības pasākumiem saistībā ar augsti patogēnu H5N1 apakštipa putnu gripu Kopienas mājputniem un Lēmuma 2006/135/EK atcelšanu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Lēmums 2006/563/EK (2006. gada 11. augusts) par dažiem aizsardzības pasākumiem saistībā ar īpaši patogēnu H5N1 apakštipa putnu gripu savvaļas putnu vidū Kopienā un par Lēmuma 2006/115/EK atcelšanu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2010/57/ES (2010. gada 3. februāris), ar ko nosaka veselības garantijas attiecībā uz tādu zirgu dzimtas dzīvnieku tranzītu, kurus transportē caur teritorijām, kas uzskaitītas Padomes Direktīvas 97/78/EK I pielikumā</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Īstenošanas regula (ES) Nr. 139/2013 (2013. gada 7. janvāris), ar ko nosaka dzīvnieku veselības nosacījumus dažu putnu ievešanai Savienībā un attiecīgos karantīnas nosacījumus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Īstenošanas regula (ES) Nr. 750/2014 (2014. gada 10. jūlijs) par aizsardzības pasākumiem pret cūku epidēmisko diareju, kuri saistīti ar dzīvnieku veselības prasībām, ko piemēro, Savienībā ievedot cūkas </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Direktīva 97/78/EK (1997. gada 18. decembris), ar ko nosaka principus, kuri reglamentē veterināro pārbaužu organizēšanu attiecībā uz produktiem, ko ieved Kopienā no trešām valstīm</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78/685/EEK (1978. gada 26. jūlijs), kas nosaka epizootisko slimību sarakstu saskaņā ar Direktīvu 72/462/EEK</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560"/>
                <w:tab w:val="left" w:pos="1985"/>
                <w:tab w:val="right" w:pos="2997"/>
                <w:tab w:val="left" w:pos="3087"/>
              </w:tabs>
              <w:autoSpaceDE w:val="0"/>
              <w:autoSpaceDN w:val="0"/>
              <w:adjustRightInd w:val="0"/>
              <w:spacing w:before="0" w:after="200"/>
              <w:rPr>
                <w:rFonts w:eastAsia="Times New Roman"/>
                <w:noProof/>
                <w:szCs w:val="24"/>
              </w:rPr>
            </w:pPr>
            <w:r>
              <w:rPr>
                <w:noProof/>
              </w:rPr>
              <w:t>Padomes Direktīva 64/432/EEK (1964. gada 26. jūnijs) par dzīvnieku veselības problēmām, kas ietekmē liellopu un cūku tirdzniecību Kopienā</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Regula (EK) Nr. 494/98 (1998. gada 27. februāris), ar ko paredz sīki izstrādātas normas Padomes Regulas (EK) Nr. 820/97 īstenošanai attiecībā uz obligāto administratīvo sodu piemērošanu saskaņā ar liellopu identificēšanas un reģistrēšanas sistēmu</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2006/968/EK (2006. gada 15. decembris), ar ko īsteno Padomes Regulu (EK) Nr. 21/2004 par norādījumiem un procedūrām aitu un kazu elektroniskajai identificēšanai</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Padomes Direktīva 2009/156/EK (2009. gada 30. novembris) par dzīvnieku veselības prasībām attiecībā uz zirgu dzimtas dzīvnieku pārvadāšanu un importu no trešām valstīm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Regula (EK) Nr. 504/2008 (2008. gada 6. jūnijs), ar ko īsteno Padomes Regulas 90/426/EEK un 90/427/EEK attiecībā uz zirgu dzimtas dzīvnieku identifikāciju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Padomes Direktīva 2001/89/EK (2001. gada 23. oktobris) par Kopienas pasākumiem klasiskā cūku mēra kontrolei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2002/106/EK (2002. gada 1. februāris), ar ko apstiprina Diagnostikas rokasgrāmatu, ar kuru ievieš diagnostikas procedūras, paraugu ņemšanas metodes un laboratorisko testu kritērijus klasiskā cūku mēra apstiprināšanai</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Padomes Direktīva 2002/60/EK (2002. gada 27. jūnijs), ar ko paredz īpašus noteikumus cīņai pret Āfrikas cūku mēri un groza Direktīvu 92/119/EEK attiecībā uz Tešenas slimību un Āfrikas cūku mēri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2003/422/EK (2003. gada 26. maijs), ar ko apstiprina Āfrikas cūku mēra diagnostikas rokasgrāmatu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2006/437/EK (2006. gada 4. augusts), ar ko apstiprina Padomes Direktīvā 2005/94/EK paredzēto putnu gripas diagnostikas rokasgrāmatu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Regula (EK) Nr. 616/2009 (2009. gada 13. jūlijs), ar kuru īsteno Padomes Direktīvu 2005/94/EK attiecībā uz mājputnu nodalījumu un citu nebrīvē turētu putnu nodalījumu apstiprināšanu, kas attiecas uz putnu gripu un preventīviem bioloģiskās drošības papildu pasākumiem šādos nodalījumos</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Direktīva 92/66/EEK (1992. gada 14. jūlijs), ar ko ievieš Kopienas pasākumus Ņūkāslas slimības kontrolei</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Direktīva 2000/75/EK (2000. gada 20. novembris), ar ko paredz īpašus noteikumus infekciozā katarāla drudža kontrolei un apkarošanai</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Regula (EK) Nr. 1266/2007 (2007. gada 26. oktobris) par Padomes Direktīvas 2000/75/EK īstenošanas noteikumiem dažu uzņēmīgu sugu dzīvnieku kontrolei, monitoringam, uzraudzībai un pārvietošanās ierobežojumiem saistībā ar infekciozo katarālo drudzi</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Eiropas Parlamenta un Padomes Regula (EK) Nr. 999/2001 (2001. gada 22. maijs), ar ko paredz noteikumus dažu transmisīvo sūkļveida encefalopātiju profilaksei, kontrolei un apkarošanai</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2007/843/EK (2007. gada 11. decembris) par to, ka saskaņā ar Eiropas Parlamenta un Padomes regulu (EK) Nr. 2160/2003 dažu trešu valstu Gallus gallus sugas vaislas saimēm apstiprina salmonellu kontroles programmas un groza Lēmumu 2006/696/EK attiecībā uz dažām mājputnu un inkubējamu olu importa sabiedrības veselības prasībām</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Lēmums 2007/848/EK (2007. gada 11. decembris), ar ko apstiprina konkrētas valstu programmas salmonellas izplatības kontrolei </w:t>
            </w:r>
            <w:r>
              <w:rPr>
                <w:i/>
                <w:noProof/>
              </w:rPr>
              <w:t>Gallus gallus</w:t>
            </w:r>
            <w:r>
              <w:rPr>
                <w:noProof/>
              </w:rPr>
              <w:t xml:space="preserve"> sugas dējējvistu saimēs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2008/815/EK (2008. gada 20. oktobris), ar ko apstiprina konkrētas valstu programmas salmonellas izplatības kontrolei Gallus gallus sugas broileru saimēs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2009/771/EK (2009. gada 20. oktobris), ar ko apstiprina konkrētas valstu programmas salmonellas izplatības kontrolei tītariem</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Direktīva 92/119/EEK (1992. gada 17. decembris), ar ko ievieš vispārīgus Kopienas pasākumus noteiktu dzīvnieku slimību kontrolei un īpašus pasākumus saistībā ar cūku vezikulāro slimību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2004/226/EK (2004. gada 4. marts), ar ko apstiprina testus, lai noteiktu antivielas pret liellopu brucelozi saskaņā ar Padomes Direktīvu 64/432/EEK</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direktīva 91/68/EEK (1991. gada 28. janvāris) par dzīvnieku veselības prasībām, kas ietekmē aitu un kazu tirdzniecību Kopienā</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Lēmums 95/329/EK (1995. gada 25. jūlijs), kas nosaka vīriešu dzimuma zirgu dzimtas dzīvnieku kategorijas, uz kurām attiecas prasības par vīrusarterītu, kas noteiktas Padomes Direktīvas 90/426/EEK 15. panta b) apakšpunkta ii) daļā </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2001/183/EK (2001. gada 22. februāris), ar ko nosaka paraugu ņemšanas plānus un diagnostikas metodes dažu zivju slimību atklāšanai un apstiprināšanai un ar ko atceļ Lēmumu 92/532/EEK</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Direktīva 90/429/EEK (1990. gada 26. jūnijs), ar ko nosaka dzīvnieku veselības prasības, kas piemērojamas Kopienas iekšējā tirdzniecībā ar cūku sugu mājdzīvnieku spermu un tās importu</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Direktīva 92/65/EEK (1992. gada 13. jūlijs), ar ko paredz dzīvnieku veselības prasības attiecībā uz tādu dzīvnieku, spermas, olšūnu un embriju tirdzniecību un importu Kopienā, uz kuriem neattiecas dzīvnieku veselības prasības, kas paredzētas īpašos Kopienas noteikumos, kuri minēti Direktīvas 90/425/EEK A(I) pielikumā</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Direktīva 96/22/EK (1996. gada 29. aprīlis) par noteiktu hormonālas vai tireostatiskas iedarbības vielu un beta-agonistu lietošanas aizliegumu lopkopībā un par Direktīvu 81/602/EEK, 88/146/EEK un 88/299/EEK atcelšanu</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Lēmums 1999/879/EK (1999. gada 17. decembris) par liellopu somatotropīna (LST) laišanu tirgū un lietošanu, ar ko atceļ Lēmumu 90/218/EEK</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Lēmums 97/747/EK (1997. gada 27. oktobris), ar ko nosaka, cik daudz un cik bieži ņem paraugus, kas paredzēti ar Padomes Direktīvu 96/23/EK, lai kontrolētu noteiktas vielas un to atliekas dzīvos dzīvniekos un dzīvnieku izcelsmes produktos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Lēmums 98/179/EK (1998. gada 23. februāris), ar ko paredz sīki izstrādātus noteikumus par paraugu oficiālu ņemšanu konkrētu vielu un to atlieku kontrolei dzīvos dzīvniekos un dzīvnieku produktos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Padomes Direktīva 2006/88/EK (2006. gada 24. oktobris) par akvakultūras dzīvniekiem un to produktiem izvirzītajām dzīvnieku veselības prasībām, kā arī par konkrētu ūdensdzīvnieku slimību profilaksi un kontroli</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2002/657/EK (2002. gada 14. augusts), ar ko īsteno Padomes Direktīvu 96/23/EK par analīzes metožu veiktspēju un rezultātu interpretēšanu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92/260/EEK (1992. gada 10. aprīlis), kas nosaka apstiprināšanas vai atzīšanas kritērijus organizācijām un apvienībām, kas ved vai veido reģistrēto zirgu dzimtas dzīvnieku ciltsgrāmatas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2008/946/EK (2008. gada 12. decembris), ar ko īsteno Padomes Direktīvu 2006/88/EK attiecībā uz prasībām akvakultūras dzīvnieku karantīnai</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Eiropas Parlamenta un Padomes Direktīva 2004/41/EK (2004. gada 21. aprīlis), ar ko atceļ dažas direktīvas par pārtikas higiēnu un dzīvnieku veselības nosacījumiem attiecībā uz dažu lietošanai pārtikā paredzētu dzīvnieku izcelsmes produktu ražošanu un laišanu tirgū un groza Padomes Direktīvas 89/622/EEK un 92/118/EK un Padomes Lēmumu 95/408/EK</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Lēmums 2006/778/EK (2006. gada 14. novembris) par obligātajām prasībām informācijas vākšanai to ražotavu pārbaužu laikā, kurās audzē lauksaimniecībā izmantojamos dzīvniekus </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Padomes Direktīva 2008/119/EK (2008. gada 18. decembris), ar ko nosaka obligātos standartus teļu aizsardzībai</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Padomes Direktīva 2008/120/EK (2008. gada 18. decembris), ar kuru nosaka minimālos standartus cūku aizsardzībai</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Īstenošanas lēmums 2013/188/ES (2013. gada 18. aprīlis) par gada pārskatiem attiecībā uz nediskriminējošām pārbaudēm, kas veiktas atbilstīgi Padomes Regulai (EK) Nr. 1/2005 par dzīvnieku aizsardzību pārvadāšanas un saistīto darbību laikā un grozījumu izdarīšanu Direktīvās 64/432/EEK un 93/119/EK un Regulā (EK) Nr. 1255/97</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Padomes Regula (EK) Nr. 1255/97 (1997. gada 25. jūnijs), ar ko nosaka Kopienas kritērijus pārbaudes punktiem, kā arī groza pārvadājuma plānu, kas minēts Direktīvas 91/628/EEK pielikumā</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Direktīva 2009/157/EK (2009. gada 30. novembris) par liellopu sugu tīršķirnes vaisliniekiem</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84/247/EEK (1984. gada 27. aprīlis), ar ko nosaka kritērijus to šķirnes dzīvnieku audzētāju organizāciju un apvienību atzīšanai, kuras uztur vai veido ciltsgrāmatas tīršķirnes liellopu vaisliniekiem</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84/419/EEK (1984. gada 19. jūlijs), ar ko nosaka kritērijus liellopu ierakstīšanai ciltsgrāmatās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i/>
                <w:noProof/>
                <w:szCs w:val="24"/>
              </w:rPr>
            </w:pPr>
            <w:r>
              <w:rPr>
                <w:noProof/>
              </w:rPr>
              <w:t>Padomes Direktīva 87/328/EEK (1987. gada 18. jūnijs) par tīršķirnes vaislas liellopu atzīšanu par derīgiem vairošanai</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Lēmums 96/463/EK (1996. gada 23. jūlijs), ar ko nosaka references struktūru, kas atbild par sadarbību liellopu sugas tīršķirnes vaislas dzīvnieku testēšanas metožu un rezultātu novērtējuma unificēšanā</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2005/379/EK (2005. gada 17. maijs) par ģenealoģijas sertifikātiem un datiem par tīršķirnes vaislas liellopiem, to spermu, olšūnām un embrijiem</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2006/427/EK (2006. gada 20. jūnijs), ar ko nosaka kopējās vērtības pārbaudes metodes un metodes liellopu tīršķirnes vaislas liellopu ciltsvērtības novērtēšanai</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Padomes direktīva 88/661/EEK (1988. gada 19. decembris) par zootehniskajiem standartiem, kas piemērojami tīršķirnes vaislas cūkām</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Lēmums 89/501/EEK (1989. gada 18. jūlijs), ar ko nosaka apstiprināšanas un uzraudzības kritērijus šķirnes dzīvnieku audzētāju apvienībām un ciltsdarba organizācijām, kuras izveido vai ved tīršķirnes vaislas cūku ciltsgrāmatas</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Lēmums 89/502/EEK (1989. gada 18. jūlijs) par kritērijiem, kas reglamentē tīršķirnes vaislas cūku ierakstīšanu ciltsgrāmatās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Lēmums 89/503/EEK (1989. gada 18. jūlijs), kas nosaka tīršķirnes vaislas cūku, to spermas, olšūnu un embriju sertifikātu</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Lēmums 89/504/EEK (1989. gada 18. jūlijs), ar ko paredz apstiprināšanas un uzraudzīšanas kritērijus tām šķirnes dzīvnieku audzētāju apvienībām, ciltsdarba organizācijām un privātiem uzņēmumiem, kuri izveido vai kārto reģistrus hibrīdu vaislas cūkām</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Lēmums 89/505/EEK (1989. gada 18. jūlijs) par kritērijiem, kas reglamentē vaislas hibrīdcūku ierakstīšanu reģistros</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Lēmums 89/506/EEK (1989. gada 18. jūlijs), kas nosaka vaislas cūku hibrīdu, to spermas, olšūnu un embriju sertifikātu</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Lēmums 89/507/EEK (1989. gada 18. jūlijs), ar ko nosaka metodes kopējās vērtības pārbaudei un tīršķirnes vaislas cūku un vaislas hibrīdcūku ciltsvērtības novērtēšanai</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Padomes Direktīva 90/118/EEK (1990. gada 5. marts) par tīršķirnes vaislas cūku atzīšanu par derīgām vaislai</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Padomes Direktīva 90/119/EEK (1990. gada 5. marts) par vaislas cūku hibrīdiem vaislai</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Padomes Direktīva 89/361/EEK (1989. gada 30. maijs) par tīršķirnes vaislas aitām un kazām</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Lēmums 90/254/EEK (1990. gada 10. maijs), ar ko paredz kritērijus tīršķirnes vaislas aitu un kazu ierakstīšanai ciltsgrāmatā</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Lēmums 90/255/EEK (1990. gada 10. maijs) par tīršķirnes vaislas aitu un kazu, to spermas, olšūnu un embriju zootehniskajiem sertifikātiem</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Direktīva 90/258/EEK (1990. gada 10. maijs) par tīršķirnes vaislas cūku atzīšanu par derīgām vaislai</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lēmums 92/353/EEK (1992. gada 11. jūnijs), kas nosaka apstiprināšanas vai atzīšanas kritērijus organizācijām un apvienībām, kas ved vai veido reģistrēto zirgu dzimtas dzīvnieku ciltsgrāmatas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lēmums 92/354/EEK (1992. gada 11. jūnijs), kas izklāsta konkrētus noteikumus, lai nodrošinātu koordināciju starp organizācijām un apvienībām, kas ved vai veido reģistrēto zirgu dzimtas dzīvnieku ciltsgrāmatas</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Lēmums 96/78/EK (1996. gada 12. janvāris), ar ko nosaka reģistrētu zirgu dzimtas dzīvnieku spermas, olšūnu un embriju zootehniskos sertifikātus </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Lēmums 96/79/EK (1996. gada 12. janvāris), ar ko nosaka reģistrētu zirgu dzimtas dzīvnieku spermas, olšūnu un embriju zootehniskos sertifikātus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63"/>
              </w:tabs>
              <w:autoSpaceDE w:val="0"/>
              <w:autoSpaceDN w:val="0"/>
              <w:adjustRightInd w:val="0"/>
              <w:spacing w:before="0" w:after="200"/>
              <w:rPr>
                <w:rFonts w:eastAsia="Times New Roman"/>
                <w:noProof/>
                <w:szCs w:val="24"/>
              </w:rPr>
            </w:pPr>
            <w:r>
              <w:rPr>
                <w:noProof/>
              </w:rPr>
              <w:t>Komisijas Regula (EK) Nr. 504/2008 (2008. gada 6. jūnijs), ar ko īsteno Padomes Regulas 90/426/EEK un 90/427/EEK attiecībā uz zirgu dzimtas dzīvnieku identifikāciju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Padomes Direktīva 90/428/EEK (1990. gada 26. jūnijs) par tirdzniecību ar zirgu dzimtas dzīvniekiem, kas paredzēti sacensībām, un par piedalīšanās nosacījumiem sacensībās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lēmums 92/216/EEK (1992. gada 26. marts) par datu vākšanu attiecībā uz zirgu sacīkstēm, kā minēts Padomes Direktīvas 90/428/EEK 4. panta 2. punktā</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Direktīva 91/174/EEK (1991. gada 25. marts), ar ko nosaka zootehnikas un ğenealoğijas prasības tīršķirnes dzīvnieku pārdošanai un ar ko izdara grozījumus Direktīvās 77/504/EEK un 90/425/EEK</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9729" w:type="dxa"/>
            <w:gridSpan w:val="2"/>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noProof/>
                <w:szCs w:val="24"/>
              </w:rPr>
            </w:pPr>
            <w:r>
              <w:rPr>
                <w:b/>
                <w:noProof/>
              </w:rPr>
              <w:t>3. sadaļa. Pārtikas, dzīvnieku barības un dzīvnieku izcelsmes blakusproduktu laišana tirgū</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jc w:val="left"/>
              <w:rPr>
                <w:i/>
                <w:noProof/>
                <w:szCs w:val="24"/>
              </w:rPr>
            </w:pPr>
            <w:r>
              <w:rPr>
                <w:noProof/>
              </w:rPr>
              <w:t>Eiropas Parlamenta un Padomes Regula (EK) Nr. 852/2004 (2004. gada 29. aprīlis) par pārtikas produktu higiēnu</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jc w:val="left"/>
              <w:rPr>
                <w:i/>
                <w:noProof/>
                <w:szCs w:val="24"/>
              </w:rPr>
            </w:pPr>
            <w:r>
              <w:rPr>
                <w:noProof/>
              </w:rPr>
              <w:t>Eiropas Parlamenta un Padomes Regula (EK) Nr. 853/2004 (2004. gada 29. aprīlis), ar ko nosaka īpašus higiēnas noteikumus attiecībā uz dzīvnieku izcelsmes pārtiku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Regula (EK) Nr. 2074/2005 (2005. gada 5. decembris), ar ko nosaka ieviešanas pasākumus noteiktiem produktiem saskaņā ar Regulu (EK) Nr. 853/2004 un oficiālās kontroles organizēšanu saskaņā ar Regulu (EK) Nr. 854/2004 un (EK) Nr. 882/2004, izņēmumus Regulai (EK) Nr. 852/2004 un groza Regulu (EK) Nr. 853/2004 un (EK) Nr. 854/2004</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Īstenošanas regula (ES) Nr. 208/2013 (2013. gada 11. marts) par izsekojamības prasībām attiecībā uz dīgstiem un sēklām, no kurām paredzēts ražot dīgstus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Regula (ES) Nr. 210/2013 (2013. gada 11. marts) par dīgstus ražojošu uzņēmumu apstiprināšanu saskaņā ar Eiropas Parlamenta un Padomes Regulu (EK) Nr. 852/2004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Regula (ES) Nr. 211/2013 (2013. gada 11. marts) par sertifikācijas prasībām attiecībā uz dīgstu un sēklu, no kurām paredzēts ražot dīgstus, importu Savienībā </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Regula (ES) Nr. 579/2014 (2014. gada 28. maijs), ar ko piešķir atkāpi no dažiem Eiropas Parlamenta un Padomes Regulas (EK) Nr. 852/2004 II pielikuma noteikumiem attiecībā uz šķidro tauku un eļļu pārvadāšanu pa jūru </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Direktīva 92/118/EEK (1992. gada 17. decembris), ar ko paredz dzīvnieku veselības un sabiedrības veselības prasības attiecībā uz tādu produktu tirdzniecību un ievešanu Kopienā, uz kuriem neattiecas šādas prasības, kas paredzētas īpašos Kopienas noteikumos, kuri minēti Direktīvas 89/662/EEK A pielikuma I daļā, un – attiecībā uz slimību izraisītājiem – īpašos Kopienas noteikumos, kuri minēti Direktīvā 90/425/EEK</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Regula (ES) Nr. 101/2013 (2013. gada 4. februāris) par pienskābes izmantošanu, lai samazinātu mikrobioloģisko virsmas piesārņojumu uz liellopu liemeņiem </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Īstenošanas regula (ES) Nr. 636/2014 (2014. gada 13. jūnijs) par nenodīrātu lielo medījamo dzīvnieku tirdzniecības sertifikāta paraugu </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Lēmums 2006/677/EK (2006. gada 29. septembris), ar ko izklāsta pamatnostādnes, ar kurām nosaka kritērijus revīzijas veikšanai saskaņā ar Eiropas Parlamenta un Padomes Regulu (EK) Nr. 882/2004 par oficiālo kontroli, ko veic, lai nodrošinātu atbilstības pārbaudi saistībā ar dzīvnieku barības un pārtikas aprites tiesību aktiem un dzīvnieku veselības un dzīvnieku labturības noteikumiem</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2007/363/EK (2007. gada 21. maijs) par pamatnostādnēm, kas paredzētas, lai dalībvalstīm sniegtu palīdzību vienota integrēta daudzgadu valsts kontroles plāna izstrādē atbilstīgi Eiropas Parlamenta un Padomes Regulai (EK) Nr. 882/2004</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Regula (EK) Nr. 152/2009 (2009. gada 27. janvāris), ar ko nosaka paraugu ņemšanas un analīzes metodes barības oficiālajai kontrolei</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Regula (EK) Nr. 669/2009 (2009. gada 24. jūlijs), ar ko īsteno Eiropas Parlamenta un Padomes Regulu (EK) Nr. 882/2004 saistībā ar dzīvnieku barības un pārtikas, kas nav dzīvnieku izcelsmes barība un pārtika, pastiprinātu importa oficiālo kontroli un groza Lēmumu 2006/504/EK</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2008/654/EK (2008. gada 24. jūlijs) par pamatnostādnēm, kas paredzētas, lai dalībvalstīm sniegtu palīdzību vienota integrēta daudzgadu valsts kontroles plāna izstrādē atbilstīgi Eiropas Parlamenta un Padomes Regulai (EK) Nr. 882/2004</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Īstenošanas regula (ES) Nr. 702/2013 (2013. gada 22. jūlijs), ar ko nosaka pārejas pasākumus Eiropas Parlamenta un Padomes Regulas (EK) Nr. 882/2004 piemērošanai attiecībā uz tādu oficiālu laboratoriju akreditāciju, kuras veic oficiālus Trichinella noteikšanas testus, un ar ko groza Komisijas Regulu (EK) Nr. 1162/2009 </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Eiropas Parlamenta un Padomes Regula (EK) Nr. 854/2004 (2004. gada 29. aprīlis), ar ko paredz īpašus noteikumus par lietošanai pārtikā paredzētu dzīvnieku izcelsmes produktu oficiālās kontroles organizēšanu</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Eiropas Parlamenta un Padomes Direktīva 2004/41/EK (2004. gada 21. aprīlis), ar ko atceļ dažas direktīvas par pārtikas higiēnu un dzīvnieku veselības nosacījumiem attiecībā uz dažu lietošanai pārtikā paredzētu dzīvnieku izcelsmes produktu ražošanu un laišanu tirgū un groza Padomes Direktīvas 89/622/EEK un 92/118/EEK un Padomes Lēmumu 95/408/EK</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Eiropas Parlamenta un Padomes Regula (EK) Nr. 470/2009 (2009. gada 6. maijs), ar ko nosaka Kopienas procedūras farmakoloģiski aktīvo vielu atlieku pieļaujamo daudzumu noteikšanai dzīvnieku izcelsmes pārtikas produktos, ar ko atceļ Padomes Regulu (EEK) Nr. 2377/90 un groza Eiropas Parlamenta un Padomes Direktīvu 2001/82/EK un Eiropas Parlamenta un Padomes Regulu (EK) Nr. 726/2004</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strike/>
                <w:noProof/>
                <w:szCs w:val="24"/>
              </w:rPr>
            </w:pPr>
            <w:r>
              <w:rPr>
                <w:noProof/>
              </w:rPr>
              <w:t>Komisijas Regula (EK) Nr. 2075/2005 (2005. gada 5. decembris), ar ko nosaka īpašus noteikumus oficiālām Trichinella pārbaudēm gaļā</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Padomes Lēmums 92/608/EEK (1992. gada 14. novembris), ar ko nosaka tiešam patēriņam cilvēku pārtikā paredzēta termiski apstrādāta piena analīzes un pārbaudes metodes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Lēmums 2002/226/EK (2002. gada 15. marts), ar ko nosaka īpašas veselības pārbaudes konkrētu gliemeņu novākšanai un apstrādei ar tādu amnēziskās gliemeņu indes (</w:t>
            </w:r>
            <w:r>
              <w:rPr>
                <w:i/>
                <w:noProof/>
              </w:rPr>
              <w:t>ASP</w:t>
            </w:r>
            <w:r>
              <w:rPr>
                <w:noProof/>
              </w:rPr>
              <w:t>) koncentrāciju, kas pārsniedz Padomes Direktīvā 91/492/EEK noteikto ierobežojumu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Īstenošanas regula (ES) Nr. 702/2013 (2013. gada 22. jūlijs), ar ko nosaka pārejas pasākumus Eiropas Parlamenta un Padomes Regulas (EK) Nr. 882/2004 piemērošanai attiecībā uz tādu oficiālu laboratoriju akreditāciju, kuras veic oficiālus Trichinella noteikšanas testus, un ar ko groza Komisijas Regulu (EK) Nr. 1162/2009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Eiropas Parlamenta un Padomes Regula (EK) Nr. 1069/2009 (2009. gada 21. oktobris), ar ko nosaka veselības aizsardzības noteikumus attiecībā uz dzīvnieku izcelsmes blakusproduktiem un atvasinātajiem produktiem, kuri nav paredzēti cilvēku patēriņam, un ar ko atceļ Regulu (EK) Nr. 1774/2002</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Regula (ES) Nr. 142/2011 (2011. gada 25. februāris),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Eiropas Parlamenta un Padomes Regula (EK) Nr. 882/2004 (2004. gada 29. aprīlis) par oficiālo kontroli, ko veic, lai nodrošinātu atbilstības pārbaudi saistībā ar dzīvnieku barības un pārtikas aprites tiesību aktiem un dzīvnieku veselības un dzīvnieku labturības noteikumiem</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Eiropas Parlamenta un Padomes Regula (EK) Nr. 183/2005 (2005. gada 12. janvāris), ar ko paredz barības higiēnas prasības</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Regula (EK) Nr. 141/2007 (2007. gada 14. februāris) par Eiropas Parlamenta un Padomes Regulā (EK) Nr. 183/2005 noteikto apstiprināšanas prasību barības nozares uzņēmumiem, kuri izgatavo vai laiž tirgū barības piedevas, kas pieder pie kategorijas Kokcidiostati un histomonostati</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9729" w:type="dxa"/>
            <w:gridSpan w:val="2"/>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noProof/>
                <w:szCs w:val="24"/>
              </w:rPr>
            </w:pPr>
            <w:bookmarkStart w:id="4" w:name="_Toc394585665"/>
            <w:r>
              <w:rPr>
                <w:b/>
                <w:noProof/>
              </w:rPr>
              <w:t>4. sadaļa. Pārtikas nekaitīguma noteikumi</w:t>
            </w:r>
            <w:bookmarkEnd w:id="4"/>
          </w:p>
        </w:tc>
      </w:tr>
      <w:tr>
        <w:trPr>
          <w:trHeight w:val="20"/>
        </w:trPr>
        <w:tc>
          <w:tcPr>
            <w:tcW w:w="7842"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i/>
                <w:noProof/>
                <w:szCs w:val="24"/>
              </w:rPr>
            </w:pPr>
            <w:r>
              <w:rPr>
                <w:noProof/>
              </w:rPr>
              <w:t>Eiropas Parlamenta un Padomes Regula (ES) Nr. 1169/2011 (2011. gada 25. oktobris)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w:t>
            </w:r>
          </w:p>
        </w:tc>
        <w:tc>
          <w:tcPr>
            <w:tcW w:w="1887"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Eiropas Parlamenta un Padomes Regulu (EK) Nr. 1924/2006 (2006. gada 20. decembris.) par uzturvērtības un veselīguma norādēm uz pārtikas produktiem</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Eiropas Parlamenta un Padomes Direktīva 2011/91/ES (2011. gada 13. decembris) par norādēm vai zīmēm, kas identificē pārtikas produkta partiju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Regula (ES) Nr. 432/2012 (2012. gada 16. maijs), ar ko izveido sarakstu ar atļautajām veselīguma norādēm uz pārtikas produktiem, kuras neattiecas uz slimības riska samazināšanu un uz bērnu attīstību un veselību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Regula (ES) Nr. 1047/2012 (2012. gada 8. novembris), ar ko groza Regulu (EK) Nr. 1924/2006 attiecībā uz uzturvērtības norāžu sarakstu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Īstenošanas lēmums 2013/63/ES (2013. gada 24. janvāris), ar ko pieņem pamatnostādnes par to, kā īstenojami īpaši nosacījumi attiecībā uz veselīguma norādēm, kas izklāstīti Eiropas Parlamenta un Padomes Regulas (EK) Nr. 1924/2006 10. pantā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(ES) Nr. 851/2013 (2013. gada 3. septembris), ar ko atļauj noteiktas veselīguma norādes uz pārtikas produktiem, kuras neattiecas uz slimības riska samazināšanu un uz bērnu attīstību un veselību, un ar ko groza Regulu (ES) Nr. 432/2012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Regula (ES) Nr. 40/2014 (2014. gada 17. janvāris), ar ko atļauj konkrētu veselīguma norādi uz pārtikas produktiem, kas neattiecas uz slimības riska samazināšanu un uz bērnu attīstību un veselību, un ar ko groza Regulu (ES) Nr. 432/2012 </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Eiropas Parlamenta un Padomes regula (EK) Nr. 1925/2006 (2006. gada 20. decembris) par vitamīnu un minerālvielu, un dažu citu vielu pievienošanu pārtikai</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(EK) Nr. 1170/2009 (2009. gada 30. novembris), ar ko groza Eiropas Parlamenta un Padomes Direktīvu 2002/46/EK un Eiropas Parlamenta un Padomes Regulu (EK) Nr. 1925/2006 attiecībā uz sarakstiem ar vitamīniem un minerālvielām, kā arī to veidiem, ko drīkst pievienot pārtikas produktiem, tostarp uztura bagātinātājiem </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Eiropas Parlamenta un Padomes Regula (EK) Nr. 1331/2008 (2008. gada 16. decembris), ar ko nosaka vienotu atļauju piešķiršanas procedūru attiecībā uz pārtikas piedevām, fermentiem un aromatizētājiem </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Regula (ES) Nr. 234/2011 (2011. gada 10. marts), ar kuru īsteno Eiropas Parlamenta un Padomes Regulu (EK) Nr. 1331/2008, ar ko nosaka vienotu atļauju piešķiršanas procedūru attiecībā uz pārtikas piedevām, fermentiem un aromatizētājiem </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Eiropas Parlamenta un Padomes Regula (EK) Nr. 1332/2008 (2008. gada 16. decembris) par pārtikas fermentiem un par grozījumiem Padomes Direktīvā 83/417/EEK, Padomes Regulā (EK) Nr. 1493/1999, Direktīvā 2000/13/EK, Padomes Direktīvā 2001/112/EK un Regulā (EK) Nr. 258/97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Eiropas Parlamenta un Padomes Direktīva 2009/32/EK (2009. gada 23. aprīlis) par dalībvalstu tiesību aktu tuvināšanu attiecībā uz ekstrakcijas šķīdinātājiem, ko izmanto pārtikas produktu un pārtikas sastāvdaļu ražošanā</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Eiropas Parlamenta un Padomes Regula (EK) Nr. 2232/96 (1996. gada 28. oktobris), ar ko nosaka Kopienas procedūru attiecībā uz garšvielām, kuras lieto vai kuras paredzētas lietošanai pārtikas produktu sastāvā vai to dekorēšanai — 1. pants, 2. pants, 3. panta 1. un 2. punkts, kā paredzēts Komisijas Īstenošanas regulas (ES) Nr. 872/2012 (2012. gada 1. oktobris) 6. panta 2. punktā</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Eiropas parlamenta un padomes regula (EK) Nr. 2065/2003 (2003. gada 10. novembris) par kūpināšanas aromatizētājiem, ko izmanto vai kas ir paredzēti izmantošanai pārtikas produktos vai uz tiem</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Eiropas Parlamenta un Padomes Regula (EK) Nr. 1334/2008 (2008. gada 16. decembris) par aromatizētājiem un dažām pārtikas sastāvdaļām ar aromatizētāju īpašībām izmantošanai pārtikā un uz tās un par grozījumiem Padomes Regulā (EEK) Nr. 1601/91, Regulās (EK) Nr. 2232/96 un (EK) Nr. 110/2008 un Direktīvā 2000/13/EK </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Īstenošanas regula (ES) Nr. 872/2012 (2012. gada 1. oktobris), ar ko pieņem Eiropas Parlamenta un Padomes Regulā (EK) Nr. 2232/96 paredzēto aromatizējošo vielu sarakstu, iekļauj to Eiropas Parlamenta un Padomes Regulas (EK) Nr. 1334/2008 I pielikumā un atceļ Komisijas Regulu (EK) Nr. 1565/2000 un Komisijas Lēmumu 1999/217/EK </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ab/>
              <w:t xml:space="preserve">Komisijas Regula (ES) Nr. 873/2012 (2012. gada 1. oktobris) par pārejas pasākumiem attiecībā uz Savienības sarakstu ar aromatizētājiem un izejmateriāliem, kas noteikts Eiropas Parlamenta un Padomes Regulas (EK) Nr. 1334/2008 I pielikumā </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Īstenošanas regula (ES) Nr. 1321/2013 (2013. gada 10. decembris), ar ko izveido Savienības sarakstu ar atļautiem kūpināšanas aromatizētāju pirmapstrādes produktiem, kurus izmanto pārtikas produktos vai uz tiem un/vai gatavo kūpināšanas aromatizētāju ražošanā </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Padomes Direktīva 82/711/EEK (1982. gada 18. oktobris), ar ko nosaka pamatnoteikumus, kuri ir nepieciešami, lai pārbaudītu tādu plastmasas materiālu un izstrādājumu sastāvdaļu migrāciju, kas paredzēti saskarei ar pārtikas produktiem</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Regula (ES) Nr. 10/2011 (2011. gada 14. janvāris) par plastmasas materiāliem un izstrādājumiem, kas paredzēti saskarei ar pārtiku </w:t>
            </w:r>
          </w:p>
        </w:tc>
        <w:tc>
          <w:tcPr>
            <w:tcW w:w="1887"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Padomes Direktīva 84/500/EEK (1984. gada 15. oktobris) par dalībvalstu tiesību aktu tuvināšanu attiecībā uz keramikas izstrādājumiem, kuri paredzēti saskarei ar pārtikas produktiem</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Direktīva 2007/42/EK (2007. gada 29. jūnijs) par reģenerētas celulozes plēves materiāliem un izstrādājumiem, kas paredzēti saskarei ar pārtikas produktiem</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ab/>
              <w:t>Padomes Direktīva 78/142/EEK (1978. gada 30. janvāris) par dalībvalstu tiesību aktu tuvināšanu attiecībā uz materiāliem un izstrādājumiem, kuri satur vinilhlorīda monomēru un kuri paredzēti saskarei ar pārtikas produktiem</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 xml:space="preserve">2017 </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Direktīva 93/11/EEK (1993. gada 15. marts) par to, kā no elastomēra vai gumijas pupiem un knupjiem atbrīvojas N-nitrozoamīni un N-nitrozējamas vielas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 xml:space="preserve">2017 </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(EK) Nr. 1895/2005 (2005. gada 18. novembris) par dažu epoksiatvasinājumu lietošanas ierobežojumiem materiālos un izstrādājumos, kas paredzēti saskarei ar pārtikas produktiem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(EK) Nr. 450/2009 (2009. gada 29. maijs) par aktīvajiem un viedajiem materiāliem un izstrādājumiem, kas paredzēti saskarei ar pārtikas produktiem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Regula (ES) Nr. 284/2011 (2011. gada 22. marts), ar ko paredz īpašus nosacījumus un sīki izstrādātas procedūras, lai importētu poliamīda un melamīna plastmasas virtuves piederumus, kuru izcelsmes vai nosūtīšanas vieta ir Ķīnas Tautas Republika un Honkongas īpašās pārvaldes apgabals Ķīnā</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Īstenošanas regula (ES) Nr. 321/2011 (2011. gada 1. aprīlis), ar ko groza Regulu (ES) Nr. 10/2011 attiecībā uz bisfenola A izmantošanas ierobežojumiem zīdaiņu ēdināšanai paredzētās plastmasas pudelītēs </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spacing w:before="0" w:after="200"/>
              <w:rPr>
                <w:noProof/>
                <w:szCs w:val="24"/>
              </w:rPr>
            </w:pPr>
            <w:r>
              <w:rPr>
                <w:noProof/>
              </w:rPr>
              <w:t xml:space="preserve">Komisijas Regula (EK) Nr. 282/2008 (2008. gada 27. marts) par pārstrādātiem plastmasas materiāliem un izstrādājumiem, kas paredzēti saskarei ar pārtiku, un ar ko groza Regulu (EK) Nr. 2023/2006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2015</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Eiropas Parlamenta un Padomes Direktīva 2002/46/EK (2002. gada 10. jūnijs) par dalībvalstu tiesību aktu tuvināšanu attiecībā uz uztura bagātinātājiem </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Eiropas Parlamenta un Padomes Regula (ES) Nr. 609/2013 (2013. gada 12. jūnijs) par zīdaiņiem un maziem bērniem paredzētu pārtiku, īpašiem medicīniskiem nolūkiem paredzētu pārtiku un par pilnīgiem uztura aizstājējiem svara kontrolei, un ar ko atceļ Padomes Direktīvu 92/52/EEK, Komisijas Direktīvas 96/8/EK, 1999/21/EK, 2006/125/EK un 2006/141/EK, Eiropas Parlamenta un Padomes Direktīvu 2009/39/EK un Komisijas Regulas (EK) Nr. 41/2009 un (EK) Nr. 953/2009</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Direktīva 2006/141/EK (2006. gada 22. decembris) par mākslīgajiem maisījumiem zīdaiņiem un mākslīgajiem papildu ēdināšanas maisījumiem zīdaiņiem, un ar ko groza Direktīvu 1999/21/EK </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(EK) Nr. 41/2009 (2009. gada 20. janvāris) par tādu pārtikas produktu sastāvu un marķēšanu, kas piemēroti cilvēkiem, kuri nepanes lipekli </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(EK) Nr. 953/2009 (2009. gada 13. oktobris) par vielām, ko īpašu uztura apsvērumu dēļ var pievienot īpašas diētas pārtikas produktiem </w:t>
            </w:r>
          </w:p>
        </w:tc>
        <w:tc>
          <w:tcPr>
            <w:tcW w:w="1887"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Direktīva 92/2/EEK (1992. gada 13. janvāris), ar ko nosaka paraugu ņemšanas kārtību un Kopienas analīžu metodi, veicot cilvēku patēriņam paredzētu paātrināti sasaldētu pārtikas produktu temperatūras oficiālu kontroli</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(EK) Nr. 37/2005 (2005. gada 12. janvāris) par temperatūras kontroli lietošanai pārtikā paredzētu ātri sasaldētu pārtikas produktu transporta līdzekļos, tirdzniecības bāzēs un noliktavās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i/>
                <w:noProof/>
                <w:szCs w:val="24"/>
              </w:rPr>
            </w:pPr>
            <w:r>
              <w:rPr>
                <w:noProof/>
              </w:rPr>
              <w:t>Padomes Regula (EEK) Nr. 315/93 (1993. gada 8. februāris), ar ko nosaka Kopienas procedūras attiecībā uz piesārņotājiem pārtikā</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Komisijas Ieteikums 2006/794/EK (2006. gada 16. novembris) par dioksīnu, dioksīnu tipa PCB un no dioksīniem atšķirīga tipa PCB fona līmeņu uzraudzību pārtikas produktos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Regula (EK) Nr. 1881/2006 (2006. gada 19. decembris), ar ko nosaka konkrētu piesārņotāju maksimāli pieļaujamo koncentrāciju pārtikas produktos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rFonts w:eastAsia="Times New Roman"/>
                <w:noProof/>
                <w:szCs w:val="24"/>
              </w:rPr>
              <w:t>Komisijas Regula (EK) Nr. 333/2007 (2007. gada 28. marts ), ar ko nosaka paraugu ņemšanas un analīzes metodes svina, kadmija, dzīvsudraba, neorganiskās alvas, 3-MHPD un policiklisko aromātisko ogļūdeņražu koncentrācijas oficiālajai kontrolei pārtikas produktos</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Ieteikums 2011/516/ES (2011. gada 23. augusts) par dioksīnu, furānu un polihlorbifenilu (PHB) klātbūtnes samazināšanu dzīvnieku barībā un pārtikā </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(ES) Nr. 589/2014 (2014. gada 2. jūnijs), ar ko nosaka paraugu ņemšanas un analīzes metodes dioksīnu un dioksīniem līdzīgu polihlorbifenilu (PCB) un PCB , kuri nav līdzīgi dioksīniem, koncentrācijas kontrolei konkrētos pārtikas produktos un atceļ Regulu (ES) Nr. 252/2012 </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 xml:space="preserve">Komisijas Ieteikums 2013/165/ES (2013. gada 27. marts) par T-2 un HT-2 toksīnu klātbūtni labībā un graudaugu produktos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i/>
                <w:noProof/>
                <w:szCs w:val="24"/>
              </w:rPr>
            </w:pPr>
            <w:r>
              <w:rPr>
                <w:noProof/>
              </w:rPr>
              <w:t>Eiropas Parlamenta un Padomes Regula (EEK) Nr. 258/97 (1997. gada 27. janvāris), kas attiecas uz jauniem pārtikas produktiem un jaunām pārtikas produktu sastāvdaļām</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Eiropas Palamenta un Padomes Direktīva 1999/2/EK (1999. gada 22. februāris) par dalībvalstu tiesību aktu tuvināšanu attiecībā uz pārtiku un pārtikas sastāvdaļām, kas ir apstrādātas ar jonizējošo radiāciju</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Eiropas Parlamenta un Padomes Direktīva 1999/3/EK (1999. gada 22. februāris) par Kopienas pārtikas produktu un sastāvdaļu, ko apstrādā ar jonizējošo starojumu, saraksta izveidi</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Eiropas Parlamenta un Padomes Direktīva 2009/54/EK (2009. gada 18. jūnijs) par dabīgo minerālūdeņu ieguvi un tirdzniecību</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Direktīva 2003/40/EK (2003. gada 16. maijs), ar ko izveido dabīgo minerālūdeņu sastāvdaļu sarakstu, nosaka to koncentrācijas robežvērtības un marķēšanas prasības un paredz nosacījumus ar ozonu bagātināta gaisa izmantošanai dabīgo minerālūdeņu un avota ūdens apstrādei</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(ES) Nr. 115/2010 (2010. gada 9. februāris), ar ko nosaka aktivēta alumīnija oksīda lietošanas noteikumus dabīgā minerālūdens un avota ūdens attīrīšanai no fluorīdiem </w:t>
            </w:r>
          </w:p>
        </w:tc>
        <w:tc>
          <w:tcPr>
            <w:tcW w:w="1887"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9729" w:type="dxa"/>
            <w:gridSpan w:val="2"/>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noProof/>
                <w:szCs w:val="24"/>
              </w:rPr>
            </w:pPr>
            <w:bookmarkStart w:id="5" w:name="_Toc394585681"/>
            <w:r>
              <w:rPr>
                <w:b/>
                <w:noProof/>
              </w:rPr>
              <w:t>5. sadaļa. Īpašie noteikumi par dzīvnieku barību</w:t>
            </w:r>
            <w:bookmarkEnd w:id="5"/>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Eiropas Parlamenta un Padomes Regula (EK) Nr. 767/2009 (2009. gada 13. jūlijs) par barības laišanu tirgū un lietošanu un ar ko groza Eiropas Parlamenta un Padomes Regulu (EK) Nr. 1831/2003 un atceļ Padomes Direktīvu 79/373/EEK, Komisijas Direktīvu 80/511/EEK, Padomes Direktīvas 82/471/EEK, 83/228/EEK, 93/74/EEK, 93/113/EK un 96/25/EK un Komisijas Lēmumu 2004/217/EK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Direktīva 82/475/EEK (1982. gada 23. jūnijs), ar ko nosaka barības sastāvdaļu kategorijas, kuras var izmantot lolojumdzīvnieku barības maisījumu marķēšanai</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Direktīva 2008/38/EK (2008. gada 5. marts), ar ko izveido tādas dzīvnieku barības paredzēto lietojumu sarakstu, kas paredzēta īpašiem barošanas mērķiem (Kodificēta versija) </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Ieteikums 2011/25/ES (2011. gada 14. janvāris), ar ko izveido pamatnostādnes, lai nošķirtu barības sastāvdaļas, barības piedevas, biocīdos produktus un veterinārās zāles </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Regula (ES) Nr. 68/2013 (2013. gada 16. janvāris), ar ko izveido barības sastāvdaļu reģistru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(EK) Nr. 1876/2006 (2006. gada 18. decembris) par pagaidu un pastāvīgu atļauju izmantot dažas dzīvnieku barības piedevas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(EK) Nr. 429/2008 (2008. gada 25. aprīlis), ar ko paredz sīki izstrādātus noteikumus, lai piemērotu Eiropas Parlamenta un Padomes Regulu (EK) Nr. 1831/2003 attiecībā uz pieteikumu sagatavošanu un noformēšanu un barības piedevu novērtēšanu un apstiprināšanu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(ES) Nr. 1270/2009 (2009. gada 21. decembris) par pastāvīgu atļauju izmantot dažas dzīvnieku barības piedevas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Regula (ES) Nr. 892/2010 (2010. gada 8. oktobris) par konkrētu produktu statusu attiecībā uz barības piedevām Eiropas Parlamenta un Padomes Regulas (EK) Nr. 1831/2003 darbības jomā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i/>
                <w:noProof/>
                <w:szCs w:val="24"/>
              </w:rPr>
            </w:pPr>
            <w:r>
              <w:rPr>
                <w:noProof/>
              </w:rPr>
              <w:t>Komisijas Ieteikums 2004/704/EK (2004. gada 11. oktobris) par dioksīnu un dioksīnu tipa polihlordifenilu (PCB) fona līmeņu kontroli dzīvnieku barībā</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9729" w:type="dxa"/>
            <w:gridSpan w:val="2"/>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b/>
                <w:noProof/>
                <w:szCs w:val="24"/>
              </w:rPr>
            </w:pPr>
            <w:bookmarkStart w:id="6" w:name="_Toc127327624"/>
            <w:bookmarkStart w:id="7" w:name="_Toc303008844"/>
            <w:r>
              <w:rPr>
                <w:b/>
                <w:noProof/>
              </w:rPr>
              <w:t>6. sadaļa. Fitosanitārie noteikumi</w:t>
            </w:r>
            <w:bookmarkEnd w:id="6"/>
            <w:bookmarkEnd w:id="7"/>
            <w:r>
              <w:rPr>
                <w:b/>
                <w:i/>
                <w:noProof/>
              </w:rPr>
              <w:t xml:space="preserve"> </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Padomes Direktīva 2000/29/EK (2000. gada 8. maijs) par aizsardzības pasākumiem pret tādu organismu ievešanu, kas kaitīgi augiem vai augu produktiem, un pret to izplatību Kopienā</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Regula (EK) Nr. 1756/2004 (2004. gada 11. oktobris), ar ko paredz sīki izstrādātus nosacījumus attiecībā uz vajadzīgajiem pierādījumiem un kritērijiem, pēc kuriem nosaka, kādā veidā un cik lielā mērā samazināt augu veselības pārbaudes augiem, augu produktiem vai citiem izstrādājumiem, kas uzskaitīti Padomes Direktīvas 2000/29/EK V pielikuma B daļā</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Direktīva 2004/103/EK (2004. gada 7. oktobris) par Padomes Direktīvas 2000/29/EK V pielikuma B daļā minēto augu, augu produktu un citu priekšmetu identitātes un augu veselības pārbaudēm, ko var veikt vietā, kas nav punkts ievešanai Kopienā, vai vietā tā tuvumā, un ar kuru paredz ar šīm pārbaudēm saistītos nosacījumus</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Īstenošanas direktīva 2014/78/ES (2014. gada 17. jūnijs), ar ko groza I, II, III, IV un V pielikumu Padomes Direktīvai 2000/29/EK par aizsardzības pasākumiem pret tādu organismu ievešanu, kas kaitīgi augiem vai augu produktiem, un pret to izplatību Kopienā</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Īstenošanas direktīva 2014/83/ES (2014. gada 25. jūnijs), ar ko groza I, II, III, IV un V pielikumu Padomes Direktīvā 2000/29/EK par aizsardzības pasākumiem pret tādu organismu ievešanu, kas kaitīgi augiem vai augu produktiem, un pret to izplatību Kopienā</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Padomes Direktīva 74/647/EEK (1974. gada 9. decembris) par neļķu tinēja apkarošanu</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Īstenošanas lēmums 2014/497/ES (2014. gada 23. jūlijs) par ārkārtas pasākumiem, kas veicami, lai novērstu </w:t>
            </w:r>
            <w:r>
              <w:rPr>
                <w:i/>
                <w:noProof/>
              </w:rPr>
              <w:t>Xylella fastidiosa</w:t>
            </w:r>
            <w:r>
              <w:rPr>
                <w:noProof/>
              </w:rPr>
              <w:t xml:space="preserve"> (Well un Raju) ievešanu un izplatīšanos Savienībā</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Lēmums 2002/757/EK (2002. gada 19. septembris) par pagaidu neatliekamiem fitosanitāriem pasākumiem, lai novērstu </w:t>
            </w:r>
            <w:r>
              <w:rPr>
                <w:i/>
                <w:noProof/>
              </w:rPr>
              <w:t>Phytophthora ramorum Werres</w:t>
            </w:r>
            <w:r>
              <w:rPr>
                <w:noProof/>
              </w:rPr>
              <w:t xml:space="preserve">, </w:t>
            </w:r>
            <w:r>
              <w:rPr>
                <w:i/>
                <w:noProof/>
              </w:rPr>
              <w:t>De Cock &amp; Man in ‘t Veld sp. nov</w:t>
            </w:r>
            <w:r>
              <w:rPr>
                <w:noProof/>
              </w:rPr>
              <w:t>. ievešanu un izplatību Kopienā</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Lēmums 2006/464/EK (2006. gada 27. jūnijs) par provizoriskiem ārkārtas pasākumiem, kas vajadzīgi, lai novērstu </w:t>
            </w:r>
            <w:r>
              <w:rPr>
                <w:i/>
                <w:noProof/>
              </w:rPr>
              <w:t>Dryocosmus kuriphilus Yasumatsu</w:t>
            </w:r>
            <w:r>
              <w:rPr>
                <w:noProof/>
              </w:rPr>
              <w:t xml:space="preserve"> ievešanu un izplatīšanos Kopienā</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0"/>
              <w:rPr>
                <w:rFonts w:eastAsia="Times New Roman"/>
                <w:noProof/>
                <w:szCs w:val="24"/>
              </w:rPr>
            </w:pPr>
            <w:r>
              <w:rPr>
                <w:noProof/>
              </w:rPr>
              <w:t xml:space="preserve">Komisijas Lēmums 2003/766/EK (2003. gada 24. oktobris) par ārkārtas pasākumiem, lai novērstu </w:t>
            </w:r>
            <w:r>
              <w:rPr>
                <w:i/>
                <w:noProof/>
              </w:rPr>
              <w:t>Diabrotica virgifera Le Conte</w:t>
            </w:r>
            <w:r>
              <w:rPr>
                <w:noProof/>
              </w:rPr>
              <w:t xml:space="preserve"> izplatību Kopienā</w:t>
            </w:r>
          </w:p>
          <w:p>
            <w:pPr>
              <w:widowControl w:val="0"/>
              <w:tabs>
                <w:tab w:val="center" w:pos="1418"/>
                <w:tab w:val="left" w:pos="1985"/>
                <w:tab w:val="right" w:pos="2997"/>
                <w:tab w:val="left" w:pos="3087"/>
              </w:tabs>
              <w:autoSpaceDE w:val="0"/>
              <w:autoSpaceDN w:val="0"/>
              <w:adjustRightInd w:val="0"/>
              <w:spacing w:before="0" w:after="0"/>
              <w:rPr>
                <w:rFonts w:eastAsia="Times New Roman"/>
                <w:noProof/>
                <w:szCs w:val="24"/>
              </w:rPr>
            </w:pP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Īstenošanas direktīva 2014/19/ES (2014. gada 6. februāris), ar ko groza I pielikumu Padomes Direktīvai 2000/29/EK par aizsardzības pasākumiem pret tādu organismu ievešanu, kas kaitīgi augiem vai augu produktiem, un pret to izplatību Kopienā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Īstenošanas lēmums (ES) 2015/749 (2015. gada 7. maijs), ar ko atceļ Lēmumu 2007/410/EK par pasākumiem, kas vajadzīgi, lai novērstu kartupeļu vārpstveida bumbuļu viroīda ievešanu un izplatību Kopienā</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Lēmums 2008/840/EK (2008. gada 7. novembris) par ārkārtas pasākumiem, lai novērstu </w:t>
            </w:r>
            <w:r>
              <w:rPr>
                <w:i/>
                <w:noProof/>
              </w:rPr>
              <w:t>Anoplophora chinensis</w:t>
            </w:r>
            <w:r>
              <w:rPr>
                <w:noProof/>
              </w:rPr>
              <w:t xml:space="preserve"> (</w:t>
            </w:r>
            <w:r>
              <w:rPr>
                <w:i/>
                <w:noProof/>
              </w:rPr>
              <w:t>Forster</w:t>
            </w:r>
            <w:r>
              <w:rPr>
                <w:noProof/>
              </w:rPr>
              <w:t>) ievešanu un izplatīšanos Kopienā</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Īstenošanas lēmums 2012/270/ES (2012. gada 16. maijs) attiecībā uz ārkārtas pasākumiem, lai novērstu </w:t>
            </w:r>
            <w:r>
              <w:rPr>
                <w:i/>
                <w:noProof/>
              </w:rPr>
              <w:t>Epitrix cucumeris</w:t>
            </w:r>
            <w:r>
              <w:rPr>
                <w:noProof/>
              </w:rPr>
              <w:t xml:space="preserve"> (Harris), </w:t>
            </w:r>
            <w:r>
              <w:rPr>
                <w:i/>
                <w:noProof/>
              </w:rPr>
              <w:t>Epitrix similaris</w:t>
            </w:r>
            <w:r>
              <w:rPr>
                <w:noProof/>
              </w:rPr>
              <w:t xml:space="preserve"> (Gentner), </w:t>
            </w:r>
            <w:r>
              <w:rPr>
                <w:i/>
                <w:noProof/>
              </w:rPr>
              <w:t>Epitrix subcrinita</w:t>
            </w:r>
            <w:r>
              <w:rPr>
                <w:noProof/>
              </w:rPr>
              <w:t xml:space="preserve"> (Lec.) un </w:t>
            </w:r>
            <w:r>
              <w:rPr>
                <w:i/>
                <w:noProof/>
              </w:rPr>
              <w:t>Epitrix tuberis</w:t>
            </w:r>
            <w:r>
              <w:rPr>
                <w:noProof/>
              </w:rPr>
              <w:t xml:space="preserve"> (Gentner) ievešanu un izplatīšanos Savienībā</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Lēmums 2006/133/EK (2006. gada 13. februāris), ar ko dalībvalstīm pieprasa veikt īslaicīgus papildu pasākumus pret </w:t>
            </w:r>
            <w:r>
              <w:rPr>
                <w:i/>
                <w:noProof/>
              </w:rPr>
              <w:t>Bursaphelenchus xylophilus</w:t>
            </w:r>
            <w:r>
              <w:rPr>
                <w:noProof/>
              </w:rPr>
              <w:t xml:space="preserve"> (</w:t>
            </w:r>
            <w:r>
              <w:rPr>
                <w:i/>
                <w:noProof/>
              </w:rPr>
              <w:t>Steiner et Buhrer</w:t>
            </w:r>
            <w:r>
              <w:rPr>
                <w:noProof/>
              </w:rPr>
              <w:t xml:space="preserve">) </w:t>
            </w:r>
            <w:r>
              <w:rPr>
                <w:i/>
                <w:noProof/>
              </w:rPr>
              <w:t>Nickle et al</w:t>
            </w:r>
            <w:r>
              <w:rPr>
                <w:noProof/>
              </w:rPr>
              <w:t>. (priedes koksnes nematode) izplatību tajās Portugāles teritorijās, kurās iespējama tās izplatība</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Īstenošanas lēmums 2012/535/ES (2012. gada 26. septembris) par ārkārtas pasākumiem, lai novērstu </w:t>
            </w:r>
            <w:r>
              <w:rPr>
                <w:i/>
                <w:noProof/>
              </w:rPr>
              <w:t>Bursaphelenchus xylophilus</w:t>
            </w:r>
            <w:r>
              <w:rPr>
                <w:noProof/>
              </w:rPr>
              <w:t xml:space="preserve"> (Steiner et Buhrer) Nickle </w:t>
            </w:r>
            <w:r>
              <w:rPr>
                <w:i/>
                <w:noProof/>
              </w:rPr>
              <w:t>et al.</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Īstenošanas lēmums 2012/138/ES (2012. gada 1. marts) par ārkārtas pasākumiem, kas veicami, lai novērstu </w:t>
            </w:r>
            <w:r>
              <w:rPr>
                <w:i/>
                <w:noProof/>
              </w:rPr>
              <w:t>Anoplophora chinensis</w:t>
            </w:r>
            <w:r>
              <w:rPr>
                <w:noProof/>
              </w:rPr>
              <w:t xml:space="preserve"> (Forster) ievešanu un izplatīšanos Savienībā</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Regula (EK) Nr. 690/2008 (2008. gada 4. jūlijs), ar ko atzīst aizsargājamās zonas, kuras Kopienā pakļautas konkrētiem augu veselības apdraudējumiem</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Direktīva 93/50/EEK (1993. gada 24. jūnijs), ar ko precizēti daži augi, kuri nav uzskaitīti Padomes Direktīvas 77/93/EEK A daļas V pielikumā un kuru audzētāji vai šādu augu audzēšanas zonās izvietotās noliktavas, izplatīšanas centri ir uzskaitīti oficiālajā reģistrā</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Lēmums 2004/416/EK (2004. gada 29. aprīlis) par ārkārtas pasākumiem attiecībā uz noteiktiem Brazīlijas izcelsmes citrusaugļiem</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Lēmums 2006/473/EK (2006. gada 5. jūlijs), ar ko dažas trešās valstis un dažas trešo valstu teritorijas atzīst par tādām, kurās nav sastopams </w:t>
            </w:r>
            <w:r>
              <w:rPr>
                <w:i/>
                <w:noProof/>
              </w:rPr>
              <w:t>Xanthomonas campestris</w:t>
            </w:r>
            <w:r>
              <w:rPr>
                <w:noProof/>
              </w:rPr>
              <w:t xml:space="preserve"> (visi celmi, kas ir patogēni </w:t>
            </w:r>
            <w:r>
              <w:rPr>
                <w:i/>
                <w:noProof/>
              </w:rPr>
              <w:t>Citrus</w:t>
            </w:r>
            <w:r>
              <w:rPr>
                <w:noProof/>
              </w:rPr>
              <w:t xml:space="preserve"> ģints augiem), </w:t>
            </w:r>
            <w:r>
              <w:rPr>
                <w:i/>
                <w:noProof/>
              </w:rPr>
              <w:t>Cercospora angolensis Carv</w:t>
            </w:r>
            <w:r>
              <w:rPr>
                <w:noProof/>
              </w:rPr>
              <w:t xml:space="preserve">. un </w:t>
            </w:r>
            <w:r>
              <w:rPr>
                <w:i/>
                <w:noProof/>
              </w:rPr>
              <w:t>Mendes</w:t>
            </w:r>
            <w:r>
              <w:rPr>
                <w:noProof/>
              </w:rPr>
              <w:t xml:space="preserve"> un </w:t>
            </w:r>
            <w:r>
              <w:rPr>
                <w:i/>
                <w:noProof/>
              </w:rPr>
              <w:t>Guignardia citricarpa Kiely</w:t>
            </w:r>
            <w:r>
              <w:rPr>
                <w:noProof/>
              </w:rPr>
              <w:t xml:space="preserve"> (visi celmi, kas ir patogēni </w:t>
            </w:r>
            <w:r>
              <w:rPr>
                <w:i/>
                <w:noProof/>
              </w:rPr>
              <w:t>Citrus</w:t>
            </w:r>
            <w:r>
              <w:rPr>
                <w:noProof/>
              </w:rPr>
              <w:t xml:space="preserve"> ģints augiem)</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Īstenošanas lēmums 2012/756/ES (2012. gada 5. decembris) attiecībā uz pasākumiem, lai novērstu </w:t>
            </w:r>
            <w:r>
              <w:rPr>
                <w:i/>
                <w:noProof/>
              </w:rPr>
              <w:t>Pseudomonas syringae</w:t>
            </w:r>
            <w:r>
              <w:rPr>
                <w:noProof/>
              </w:rPr>
              <w:t xml:space="preserve"> pv. </w:t>
            </w:r>
            <w:r>
              <w:rPr>
                <w:i/>
                <w:noProof/>
              </w:rPr>
              <w:t>actinidiae</w:t>
            </w:r>
            <w:r>
              <w:rPr>
                <w:noProof/>
              </w:rPr>
              <w:t xml:space="preserve"> Takikawa, Serizawa, Ichikawa, Tsuyumu un Goto ievešanu un izplatību Savienībā</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Īstenošanas lēmums 2013/92/ES (2013. gada 18. februāris) par uzraudzību, augu veselības pārbaudēm un pasākumiem, kas jāveic attiecībā uz koksnes iepakojuma materiālu, ko pašlaik izmanto, pārvadājot konkrētas Ķīnas izcelsmes preces</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Īstenošanas lēmums 2014/237/ES (2014. gada 24. aprīlis) par pasākumiem, kas vajadzīgi, lai novērstu kaitīgu organismu ievešanu un izplatīšanos Savienībā, attiecībā uz konkrētiem augļiem un dārzeņiem, kuru izcelsmes valsts ir Indija</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Īstenošanas lēmums 2014/422/ES (2014. gada 2. jūlijs), ar ko nosaka pasākumus attiecībā uz atsevišķiem Dienvidāfrikas izcelsmes citrusaugļiem, lai novērstu </w:t>
            </w:r>
            <w:r>
              <w:rPr>
                <w:i/>
                <w:noProof/>
              </w:rPr>
              <w:t>Phyllosticta citricarpa</w:t>
            </w:r>
            <w:r>
              <w:rPr>
                <w:noProof/>
              </w:rPr>
              <w:t xml:space="preserve"> (McAlpine) Van der Aa ievešanu un izplatīšanos Savienībā</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Direktīva 98/22/EK (1998. gada 15. aprīlis), kas nosaka obligātos nosacījumus augu veselības pārbaužu veikšanai Kopienā pārbaudes vietās, kas nav galamērķa pārbaudes vietas, augiem, augu izcelsmes produktiem vai citiem objektiem no trešām valstīm</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Direktīva 2008/61/EK (2008. gada 17. jūnijs), ar ko ievieš nosacījumus, kurus ievērojot dažus kaitīgus organismus, augus, augu produktus un citus Padomes Direktīvas 2000/29/EK I līdz V pielikumā uzskaitītos objektus drīkst ievest vai pārvietot Kopienā vai dažās tās aizsargātās zonās izmēģinājumu vai zinātniskiem mērķiem un šķirņu selekcijas vajadzībām (Kodificēta versija)</w:t>
            </w:r>
          </w:p>
        </w:tc>
        <w:tc>
          <w:tcPr>
            <w:tcW w:w="1887"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2016</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Eiropas Parlamenta un Padomes Regula (EK) Nr. 1107/2009 (2009. gada 21. oktobris) par augu aizsardzības līdzekļu laišanu tirgū, ar ko atceļ Padomes Direktīvas 79/117/EEK un 91/414/EEK</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2020</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Īstenošanas regula (ES) Nr. 540/2011 (2011. gada 25. maijs), ar ko īsteno Eiropas Parlamenta un Padomes Regulu (EK) Nr. 1107/2009 attiecībā uz darbīgo vielu sarakstu </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Regula (ES) Nr. 544/2011 (2011. gada 10. jūnijs), ar ko īsteno Eiropas Parlamenta un Padomes Regulu (EK) Nr. 1107/2009 attiecībā uz darbīgo vielu datu prasībām </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 xml:space="preserve">Komisijas Regula (ES) Nr. 545/2011 (2011. gada 10. jūnijs), ar ko īsteno Eiropas Parlamenta un Padomes Regulu (EK) Nr. 1107/2009 attiecībā uz augu aizsardzības līdzekļu datu prasībām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Regula (ES) Nr. 546/2011 (2011. gada 10. jūnijs) par Eiropas Parlamenta un Padomes Regulas (EK) Nr. 1107/2009 īstenošanu attiecībā uz vienotajiem principiem augu aizsardzības līdzekļu novērtēšanai un atļauju piešķiršanai</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Regula (ES) Nr. 547/2011 (2011. gada 8. jūnijs), ar ko īsteno Eiropas Parlamenta un Padomes Regulu (EK) Nr. 1107/2009 attiecībā uz augu aizsardzības līdzekļu marķēšanas prasībām</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Eiropas Parlamenta un Padomes Direktīva 2009/128/EK (2009. gada 21. oktobris), ar kuru nosaka Kopienas sistēmu pesticīdu ilgtspējīgas lietošanas nodrošināšanai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Padomes Lēmums 2005/834/EK (2005. gada 8. novembris) par šķirņu uzturēšanas prakses pārbaužu līdzvērtību dažās trešās valstīs un par Lēmuma 2003/17/EK grozījumiem</w:t>
            </w:r>
          </w:p>
        </w:tc>
        <w:tc>
          <w:tcPr>
            <w:tcW w:w="1887"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Direktīva 2004/29/EK (2004. gada 4. marts), ar ko nosaka vīnogulāju šķirņu pārbaudāmās īpašības un minimālos pārbaužu nosacījumus</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Padomes Direktīva 1999/105/EK (1999. gada 22. decembris) par meža reproduktīvā materiāla tirdzniecību</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ab/>
              <w:t>Komisijas Regula (EK) Nr. 1597/2002 (2002. gada 6. septembris), ar kuru nosaka sīki izstrādātus noteikumus par to, kā piemērot Padomes Direktīvu 1999/105/EK attiecībā uz valsts sarakstu formātu meža reproduktīvā materiāla ieguves avotam</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Regula (EK) Nr. 2301/2002 (2002. gada 20. decembris), ar ko paredz sīki izstrādātus noteikumus Padomes Direktīvas 1999/105/EK piemērošanai attiecībā uz nelielu sēklu daudzumu definēšanu</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ab/>
              <w:t>Komisijas Regula (EK) Nr. 69/2004 (2004. gada 15. janvāris), ar kuru atļauj atkāpes no dažiem Padomes Direktīvas 1999/105/EK noteikumiem attiecībā uz tirdzniecību ar meža reproduktīvo materiālu, kas iegūts no konkrēta meža reproduktīvā materiāla ieguves avota</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Padomes Lēmums 2008/971/EK (2008. gada 16. decembris) par tāda meža reproduktīvā materiāla līdzvērtīgumu, kas ražots trešās valstīs</w:t>
            </w:r>
          </w:p>
        </w:tc>
        <w:tc>
          <w:tcPr>
            <w:tcW w:w="1887" w:type="dxa"/>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Lēmums 2008/989/EK (2008. gada 23. decembris), ar ko saskaņā ar Padomes Direktīvu 1999/105/EK pilnvaro dalībvalstis pieņemt lēmumus par tāda meža reproduktīvā materiāla sniegto garantiju ekvivalenci, kas jāimportē no dažām trešām valstīm</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Komisijas Ieteikums 2012/90/ES (2012. gada 14. februāris) par meža reproduktīvā materiāla partiju identificēšanai norādāmās un piegādātāja etiķetē vai dokumentā uzrādāmās informācijas sniegšanas pamatnostādnēm</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Direktīva 2003/91/EK (2003. gada 6. oktobris), kurā izklāstīti īstenošanas noteikumi, ar ko piemēro 7. pantu Padomes Direktīvā 2002/55/EK attiecībā uz raksturīgajām pazīmēm, kas obligāti jāaptver pārbaudē, un obligātajiem nosacījumiem dažādu dārzeņu sugu šķirņu pārbaudei </w:t>
            </w:r>
          </w:p>
        </w:tc>
        <w:tc>
          <w:tcPr>
            <w:tcW w:w="18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Īstenošanas direktīva 2014/20/ES (2014. gada 6. februāris), ar ko nosaka Savienības kategorijas bāzes un sertificētiem sēklas kartupeļiem un šīm kategorijām piemērojamos nosacījumus un apzīmējumus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Īstenošanas direktīva 2014/21/ES (2014. gada 6. februāris), ar ko nosaka minimālos nosacījumus un Savienības kategorijas attiecībā uz pirmsbāzes sēklas kartupeļiem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Direktīva 2008/62/EK (2008. gada 20. jūnijs), ar ko paredz atsevišķas atkāpes saistībā ar to lauksaimniecības savvaļas sugu un šķirņu, atzīšanu, kuras ir dabiskā veidā pielāgotas vietējiem un reģionālajiem apstākļiem un ko apdraud ģenētiska erozija, un minēto savvaļas sugu un šķirņu sēklu un sēklas kartupeļu tirdzniecību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tabs>
                <w:tab w:val="center" w:pos="1418"/>
                <w:tab w:val="left" w:pos="1985"/>
                <w:tab w:val="right" w:pos="2997"/>
                <w:tab w:val="left" w:pos="3087"/>
              </w:tabs>
              <w:autoSpaceDE w:val="0"/>
              <w:autoSpaceDN w:val="0"/>
              <w:adjustRightInd w:val="0"/>
              <w:spacing w:before="0" w:after="200"/>
              <w:rPr>
                <w:rFonts w:eastAsia="Times New Roman"/>
                <w:noProof/>
                <w:szCs w:val="24"/>
              </w:rPr>
            </w:pPr>
            <w:r>
              <w:rPr>
                <w:noProof/>
              </w:rPr>
              <w:t xml:space="preserve">Komisijas Direktīva 2009/145/EK (2009. gada 26. novembris), ar ko paredz dažas atkāpes attiecībā uz tādu dārzeņu savvaļas sugu un šķirņu atzīšanu, kas ir tradicionāli audzētas noteiktos apvidos un reģionos un ko apdraud ģenētiskā erozija, un tādu dārzeņu šķirņu atzīšanu, kam nav būtiskas vērtības attiecībā uz komerciālu augkopību, bet kas ir izveidotas audzēšanai noteiktos apstākļos un šo savvaļas sugu un šķirņu sēklu tirdzniecībai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9729" w:type="dxa"/>
            <w:gridSpan w:val="2"/>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b/>
                <w:noProof/>
                <w:szCs w:val="24"/>
              </w:rPr>
            </w:pPr>
            <w:r>
              <w:rPr>
                <w:b/>
                <w:noProof/>
              </w:rPr>
              <w:t>7. sadaļa. Ģenētiski modificēti organismi</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noProof/>
                <w:szCs w:val="24"/>
              </w:rPr>
            </w:pPr>
            <w:r>
              <w:rPr>
                <w:noProof/>
              </w:rPr>
              <w:t>Eiropas Parlamenta un Padomes Direktīva 2001/18/EK (2001. gada 12. marts) par ģenētiski modificētu organismu apzinātu izplatīšanu vidē un Padomes Direktīvas 90/220/EEK atcelšanu</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Kā norādīts XVI pielikumā</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noProof/>
                <w:szCs w:val="24"/>
              </w:rPr>
            </w:pPr>
            <w:r>
              <w:rPr>
                <w:noProof/>
              </w:rPr>
              <w:t>Padomes Lēmums 2002/811/EK (2002. gada 3. oktobris) par metodiskām norādēm, ar ko papildina VII pielikumu Eiropas Parlamenta un Padomes Direktīvai 2001/18/EK par ģenētiski modificētu organismu apzinātu izplatīšanu vidē un Padomes Direktīvas 90/220/EEK atcelšanu</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noProof/>
                <w:szCs w:val="24"/>
              </w:rPr>
            </w:pPr>
            <w:r>
              <w:rPr>
                <w:noProof/>
              </w:rPr>
              <w:t>Padomes Lēmums 2002/812/EK (2002. gada 3. oktobris) par tās informācijas kopsavilkuma formāta ieviešanu atbilstīgi Eiropas Parlamenta un Padomes Direktīvai 2001/18/EK, kura attiecas uz tādu produktu laišanu tirgū, kas satur ģenētiski modificētus organismus vai sastāv no tiem</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noProof/>
                <w:szCs w:val="24"/>
              </w:rPr>
            </w:pPr>
            <w:r>
              <w:rPr>
                <w:noProof/>
              </w:rPr>
              <w:t>Eiropas Parlamenta un padomes Regula (EK) Nr. 1946/2003 (2003. gada 15. jūlijs) par ģenētiski modificētu organismu pārvietošanu pāri robežām</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2017</w:t>
            </w:r>
          </w:p>
        </w:tc>
      </w:tr>
      <w:tr>
        <w:trPr>
          <w:trHeight w:val="20"/>
        </w:trPr>
        <w:tc>
          <w:tcPr>
            <w:tcW w:w="7842"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noProof/>
                <w:szCs w:val="24"/>
              </w:rPr>
            </w:pPr>
            <w:r>
              <w:rPr>
                <w:noProof/>
              </w:rPr>
              <w:t xml:space="preserve">Eiropas Parlamenta un padomes Regula (EK) Nr. 1829/2003 (2003. gada 22. septembris) par ģenētiski modificētu pārtiku un barību </w:t>
            </w:r>
          </w:p>
        </w:tc>
        <w:tc>
          <w:tcPr>
            <w:tcW w:w="1887"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noProof/>
                <w:szCs w:val="24"/>
              </w:rPr>
            </w:pPr>
            <w:r>
              <w:rPr>
                <w:noProof/>
              </w:rPr>
              <w:t xml:space="preserve">Komisijas Regula (EK) Nr. 641/2004 (2004. gada 6. aprīlis) par sīki izstrādātiem Eiropas Parlamenta un Padomes Regulas (EK) Nr. 1829/2003 īstenošanas noteikumiem attiecībā uz jaunas ģenētiski modificētas pārtikas un barības atļauju pieteikumiem, paziņošanu par esošajiem produktiem un tāda ģenētiski modificēta materiāla nejaušu vai tehniski nenovēršamu klātbūtni, par ko saņemts labvēlīgs riska novērtējums </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noProof/>
                <w:szCs w:val="24"/>
              </w:rPr>
            </w:pPr>
            <w:r>
              <w:rPr>
                <w:noProof/>
              </w:rPr>
              <w:t>Eiropas Parlamenta un Padomes Regula (EK) Nr. 1830/2003 (2003. gada 22. septembris), kas attiecas uz ģenētiski modificētu organismu izsekojamību un marķēšanu, kā arī no ģenētiski modificētiem organismiem ražotu pārtikas un lopbarības produktu izsekojamību, un ar ko groza Direktīvu 2001/18/EK</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noProof/>
                <w:szCs w:val="24"/>
              </w:rPr>
            </w:pPr>
            <w:r>
              <w:rPr>
                <w:noProof/>
              </w:rPr>
              <w:t>Komisijas Ieteikums 2010/C 200/01 (2010. gada 13. jūlijs) par pamatnostādnēm, kā izstrādāt valsts līdzāspastāvēšanas pasākumus, kas vajadzīgi, lai izvairītos no netīšas ĢMO klātbūtnes parastajās un bioloģiskajās kultūrās</w:t>
            </w:r>
          </w:p>
        </w:tc>
        <w:tc>
          <w:tcPr>
            <w:tcW w:w="1887"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highlight w:val="yellow"/>
              </w:rPr>
            </w:pPr>
            <w:r>
              <w:rPr>
                <w:noProof/>
              </w:rPr>
              <w:t>Eiropas Parlamenta un Padomes Direktīva 2009/41/EK (2009. gada 6. maijs) par ģenētiski modificētu mikroorganismu ierobežotu izmantošanu (pārstrādāta versija)</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highlight w:val="yellow"/>
              </w:rPr>
            </w:pPr>
            <w:r>
              <w:rPr>
                <w:noProof/>
              </w:rPr>
              <w:t>Kā norādīts XVI pielikumā</w:t>
            </w:r>
            <w:r>
              <w:rPr>
                <w:noProof/>
                <w:highlight w:val="yellow"/>
              </w:rPr>
              <w:t xml:space="preserve"> </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rPr>
            </w:pPr>
            <w:r>
              <w:rPr>
                <w:noProof/>
              </w:rPr>
              <w:t>Komisijas Lēmums 2009/770/EK (2009. gada 13. oktobris), ar ko atbilstīgi Eiropas Parlamenta un Padomes Direktīvai 2001/18/EK nosaka standarta ziņojuma paraugus monitoringa rezultātu paziņošanai par to ģenētiski modificētu organismu apzinātu izplatīšanu vidē, kas ir produkti vai iekļauti produktos ar mērķi tos laist tirgū</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2018</w:t>
            </w:r>
          </w:p>
        </w:tc>
      </w:tr>
      <w:tr>
        <w:trPr>
          <w:trHeight w:val="20"/>
        </w:trPr>
        <w:tc>
          <w:tcPr>
            <w:tcW w:w="9729" w:type="dxa"/>
            <w:gridSpan w:val="2"/>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0"/>
              <w:jc w:val="center"/>
              <w:rPr>
                <w:rFonts w:eastAsia="Times New Roman"/>
                <w:noProof/>
                <w:szCs w:val="24"/>
              </w:rPr>
            </w:pPr>
            <w:r>
              <w:rPr>
                <w:b/>
                <w:noProof/>
              </w:rPr>
              <w:t>8. sadaļa. Veterinārās zāles</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bCs/>
                <w:noProof/>
                <w:szCs w:val="24"/>
                <w:bdr w:val="none" w:sz="0" w:space="0" w:color="auto" w:frame="1"/>
                <w:shd w:val="clear" w:color="auto" w:fill="FFFFFF"/>
              </w:rPr>
            </w:pPr>
            <w:r>
              <w:rPr>
                <w:noProof/>
              </w:rPr>
              <w:t>Eiropas Parlamenta un Padomes Direktīva 2001/82/EK (2001. gada 6. novembris) par Kopienas kodeksu, kas attiecas uz veterinārajām zālēm</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highlight w:val="yellow"/>
              </w:rPr>
            </w:pPr>
            <w:r>
              <w:rPr>
                <w:noProof/>
              </w:rPr>
              <w:t>Kā norādīts XVI pielikumā</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bCs/>
                <w:noProof/>
                <w:szCs w:val="24"/>
                <w:bdr w:val="none" w:sz="0" w:space="0" w:color="auto" w:frame="1"/>
                <w:shd w:val="clear" w:color="auto" w:fill="FFFFFF"/>
              </w:rPr>
            </w:pPr>
            <w:r>
              <w:rPr>
                <w:noProof/>
              </w:rPr>
              <w:t xml:space="preserve">Eiropas Parlamenta un Padomes Direktīva 2004/28/EK (2004. gada 31. marts), ar kuru groza Direktīvu 2001/82/EK par Kopienas kodeksu, kas attiecas uz veterinārajām zālēm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rPr>
            </w:pPr>
            <w:r>
              <w:rPr>
                <w:noProof/>
              </w:rPr>
              <w:t>2019</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bCs/>
                <w:noProof/>
                <w:szCs w:val="24"/>
                <w:highlight w:val="yellow"/>
                <w:bdr w:val="none" w:sz="0" w:space="0" w:color="auto" w:frame="1"/>
                <w:shd w:val="clear" w:color="auto" w:fill="FFFFFF"/>
              </w:rPr>
            </w:pPr>
            <w:r>
              <w:rPr>
                <w:noProof/>
              </w:rPr>
              <w:t xml:space="preserve">Komisijas Regula (ES) Nr. 37/2010 (2009. gada 22. decembris) par farmakoloģiski aktīvajām vielām un to klasifikāciju pēc to atlieku maksimāli pieļaujamā satura </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highlight w:val="yellow"/>
              </w:rPr>
            </w:pPr>
            <w:r>
              <w:rPr>
                <w:noProof/>
              </w:rPr>
              <w:t>2018</w:t>
            </w:r>
          </w:p>
        </w:tc>
      </w:tr>
      <w:tr>
        <w:trPr>
          <w:trHeight w:val="20"/>
        </w:trPr>
        <w:tc>
          <w:tcPr>
            <w:tcW w:w="7842"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shd w:val="clear" w:color="auto" w:fill="FFFFFF"/>
              </w:rPr>
            </w:pPr>
            <w:r>
              <w:rPr>
                <w:noProof/>
              </w:rPr>
              <w:t>Komisijas Direktīva 2006/130/EK (2006. gada 11. decembris), ar ko īsteno Eiropas Parlamenta un Padomes Direktīvu 2001/82/EK attiecībā uz kritēriju noteikšanu dažu produktīvajiem dzīvniekiem domāto veterināro zāļu atbrīvošanai no veterinārārsta receptes prasības</w:t>
            </w:r>
          </w:p>
        </w:tc>
        <w:tc>
          <w:tcPr>
            <w:tcW w:w="1887"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highlight w:val="yellow"/>
              </w:rPr>
            </w:pPr>
            <w:r>
              <w:rPr>
                <w:noProof/>
              </w:rPr>
              <w:t>Kā norādīts XVI pielikumā</w:t>
            </w:r>
          </w:p>
        </w:tc>
      </w:tr>
      <w:tr>
        <w:trPr>
          <w:trHeight w:val="20"/>
        </w:trPr>
        <w:tc>
          <w:tcPr>
            <w:tcW w:w="7842"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0" w:after="200"/>
              <w:rPr>
                <w:rFonts w:eastAsia="Times New Roman"/>
                <w:noProof/>
                <w:szCs w:val="24"/>
                <w:shd w:val="clear" w:color="auto" w:fill="FFFFFF"/>
              </w:rPr>
            </w:pPr>
            <w:r>
              <w:rPr>
                <w:noProof/>
              </w:rPr>
              <w:t>Komisijas Regula (EK) Nr. 1662/95 (1995. gada 7. jūlijs), ar ko paredz dažus sīki izstrādātus noteikumus par Kopienas lēmumu pieņemšanas procedūru īstenošanu attiecībā uz cilvēkiem paredzētu zāļu un veterināro zāļu tirdzniecības atļaujām </w:t>
            </w:r>
          </w:p>
        </w:tc>
        <w:tc>
          <w:tcPr>
            <w:tcW w:w="1887"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highlight w:val="yellow"/>
              </w:rPr>
            </w:pPr>
            <w:r>
              <w:rPr>
                <w:noProof/>
              </w:rPr>
              <w:t>Kā norādīts XVI pielikumā</w:t>
            </w:r>
          </w:p>
        </w:tc>
      </w:tr>
      <w:tr>
        <w:trPr>
          <w:trHeight w:val="20"/>
        </w:trPr>
        <w:tc>
          <w:tcPr>
            <w:tcW w:w="784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0" w:after="200"/>
              <w:rPr>
                <w:rFonts w:eastAsia="Times New Roman"/>
                <w:bCs/>
                <w:noProof/>
                <w:szCs w:val="24"/>
                <w:bdr w:val="none" w:sz="0" w:space="0" w:color="auto" w:frame="1"/>
                <w:shd w:val="clear" w:color="auto" w:fill="FFFFFF"/>
              </w:rPr>
            </w:pPr>
            <w:r>
              <w:rPr>
                <w:noProof/>
              </w:rPr>
              <w:t>Eiropas Parlamenta un Padomes Regula (EK) Nr. 469/2009 (2009. gada 6. maijs) par papildu aizsardzības sertifikātu zālēm (Kodificēta versija)</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pPr>
              <w:widowControl w:val="0"/>
              <w:spacing w:before="40" w:after="40"/>
              <w:jc w:val="center"/>
              <w:rPr>
                <w:rFonts w:eastAsia="Times New Roman"/>
                <w:noProof/>
                <w:szCs w:val="24"/>
                <w:highlight w:val="yellow"/>
              </w:rPr>
            </w:pPr>
            <w:r>
              <w:rPr>
                <w:noProof/>
              </w:rPr>
              <w:t>Kā norādīts XVI pielikumā</w:t>
            </w:r>
          </w:p>
        </w:tc>
      </w:tr>
    </w:tbl>
    <w:p>
      <w:pPr>
        <w:widowControl w:val="0"/>
        <w:spacing w:before="0" w:after="0" w:line="360" w:lineRule="auto"/>
        <w:jc w:val="left"/>
        <w:rPr>
          <w:caps/>
          <w:noProof/>
        </w:rPr>
      </w:pPr>
      <w:r>
        <w:rPr>
          <w:noProof/>
        </w:rP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3418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B022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489B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D012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1C280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08AA6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3E8CCE"/>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0DE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1 10:29: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CONFIDENCE" w:val=" "/>
    <w:docVar w:name="LW_CONST_RESTREINT_UE" w:val="RESTREINT UE"/>
    <w:docVar w:name="LW_CORRIGENDUM" w:val="&lt;UNUSED&gt;"/>
    <w:docVar w:name="LW_COVERPAGE_GUID" w:val="FBEF65E846BE4E5CB2471D19DD68CEC1"/>
    <w:docVar w:name="LW_CROSSREFERENCE" w:val="&lt;UNUSED&gt;"/>
    <w:docVar w:name="LW_DocType" w:val="ANNEX"/>
    <w:docVar w:name="LW_EMISSION" w:val="18.4.2016"/>
    <w:docVar w:name="LW_EMISSION_ISODATE" w:val="2016-04-18"/>
    <w:docVar w:name="LW_EMISSION_LOCATION" w:val="BRX"/>
    <w:docVar w:name="LW_EMISSION_PREFIX" w:val="Brisel\u275?, "/>
    <w:docVar w:name="LW_EMISSION_SUFFIX" w:val="."/>
    <w:docVar w:name="LW_ID_DOCSTRUCTURE" w:val="COM/ANNEX"/>
    <w:docVar w:name="LW_ID_DOCTYPE" w:val="SG-017"/>
    <w:docVar w:name="LW_LANGUE" w:val="LV"/>
    <w:docVar w:name="LW_MARKING" w:val="&lt;UNUSED&gt;"/>
    <w:docVar w:name="LW_NOM.INST" w:val="EIROPAS KOMISIJA"/>
    <w:docVar w:name="LW_NOM.INST_JOINTDOC" w:val="&lt;EMPTY&gt;"/>
    <w:docVar w:name="LW_OBJETACTEPRINCIPAL" w:val="par nost\u257?ju, kas Eiropas Savien\u299?bas v\u257?rd\u257? j\u257?pie\u326?em Sanit\u257?ro un fitosanit\u257?ro pas\u257?kumu apak\u353?komitej\u257?, kura izveidota ar Asoci\u257?cijas nol\u299?gumu starp Eiropas Savien\u299?bu un Eiropas Atomener\u291?ijas kopienu un to dal\u299?bvalst\u299?m, no vienas puses, un Moldovas Republiku, no otras puses "/>
    <w:docVar w:name="LW_OBJETACTEPRINCIPAL.CP" w:val="par nost\u257?ju, kas Eiropas Savien\u299?bas v\u257?rd\u257? j\u257?pie\u326?em Sanit\u257?ro un fitosanit\u257?ro pas\u257?kumu apak\u353?komitej\u257?, kura izveidota ar Asoci\u257?cijas nol\u299?gumu starp Eiropas Savien\u299?bu un Eiropas Atomener\u291?ijas kopienu un to dal\u299?bvalst\u299?m, no vienas puses, un Moldovas Republiku, no otras puses "/>
    <w:docVar w:name="LW_PART_NBR" w:val="1"/>
    <w:docVar w:name="LW_PART_NBR_TOTAL" w:val="1"/>
    <w:docVar w:name="LW_REF.INST.NEW" w:val="COM"/>
    <w:docVar w:name="LW_REF.INST.NEW_ADOPTED" w:val="final"/>
    <w:docVar w:name="LW_REF.INST.NEW_TEXT" w:val="(2016) 211"/>
    <w:docVar w:name="LW_REF.INTERNE" w:val="&lt;UNUSED&gt;"/>
    <w:docVar w:name="LW_SUPERTITRE" w:val="&lt;UNUSED&gt;"/>
    <w:docVar w:name="LW_TITRE.OBJ.CP" w:val="&lt;UNUSED&gt;"/>
    <w:docVar w:name="LW_TYPE.DOC" w:val="PIELIKUMS"/>
    <w:docVar w:name="LW_TYPE.DOC.CP" w:val="PIELIKUMS"/>
    <w:docVar w:name="LW_TYPEACTEPRINCIPAL" w:val="Priek\u353?likums Padomes l\u275?mumam"/>
    <w:docVar w:name="LW_TYPEACTEPRINCIPAL.CP" w:val="Priek\u353?likums Padomes l\u275?mumam"/>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25</Pages>
  <Words>7465</Words>
  <Characters>48156</Characters>
  <Application>Microsoft Office Word</Application>
  <DocSecurity>0</DocSecurity>
  <Lines>1146</Lines>
  <Paragraphs>604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MOLLER</dc:creator>
  <cp:lastModifiedBy>DIGIT/A3</cp:lastModifiedBy>
  <cp:revision>7</cp:revision>
  <dcterms:created xsi:type="dcterms:W3CDTF">2016-04-04T08:17:00Z</dcterms:created>
  <dcterms:modified xsi:type="dcterms:W3CDTF">2016-04-11T08:29:00Z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