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25F6D1FF4935401ABB329D3882784867"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ANEXO</w:t>
      </w:r>
    </w:p>
    <w:p>
      <w:pPr>
        <w:spacing w:after="240"/>
        <w:jc w:val="center"/>
        <w:rPr>
          <w:b/>
          <w:caps/>
          <w:noProof/>
        </w:rPr>
      </w:pPr>
      <w:r>
        <w:rPr>
          <w:b/>
          <w:caps/>
          <w:noProof/>
        </w:rPr>
        <w:t>Projeto</w:t>
      </w:r>
    </w:p>
    <w:p>
      <w:pPr>
        <w:jc w:val="center"/>
        <w:rPr>
          <w:b/>
          <w:caps/>
          <w:noProof/>
        </w:rPr>
      </w:pPr>
      <w:r>
        <w:rPr>
          <w:b/>
          <w:caps/>
          <w:noProof/>
        </w:rPr>
        <w:t xml:space="preserve">Decisão n.º 1/2016 do Subcomité Sanitário e Fitossanitário UE-República da Moldávia </w:t>
      </w:r>
    </w:p>
    <w:p>
      <w:pPr>
        <w:jc w:val="center"/>
        <w:rPr>
          <w:b/>
          <w:noProof/>
        </w:rPr>
      </w:pPr>
      <w:r>
        <w:rPr>
          <w:b/>
          <w:noProof/>
        </w:rPr>
        <w:t xml:space="preserve">de ... 2016 </w:t>
      </w:r>
    </w:p>
    <w:p>
      <w:pPr>
        <w:spacing w:after="240"/>
        <w:jc w:val="center"/>
        <w:rPr>
          <w:b/>
          <w:noProof/>
          <w:szCs w:val="24"/>
        </w:rPr>
      </w:pPr>
      <w:r>
        <w:rPr>
          <w:b/>
          <w:noProof/>
        </w:rPr>
        <w:t xml:space="preserve">que altera o anexo XXIV-B do Acordo de Associação </w:t>
      </w:r>
    </w:p>
    <w:p>
      <w:pPr>
        <w:spacing w:line="276" w:lineRule="auto"/>
        <w:rPr>
          <w:noProof/>
        </w:rPr>
      </w:pPr>
      <w:r>
        <w:rPr>
          <w:noProof/>
        </w:rPr>
        <w:t>O SUBCOMITÉ SANITÁRIO E FITOSSANITÁRIO</w:t>
      </w:r>
    </w:p>
    <w:p>
      <w:pPr>
        <w:rPr>
          <w:noProof/>
        </w:rPr>
      </w:pPr>
      <w:r>
        <w:rPr>
          <w:noProof/>
        </w:rPr>
        <w:t>Tendo em conta o Acordo de Associação entre a União Europeia e a Comunidade Europeia da Energia Atómica, e os seus Estados-Membros, por um lado, e a República da Moldávia, por outro, assinado em Bruxelas, em 27 de junho de 2014, nomeadamente o artigo 181.º e o artigo 191.º,</w:t>
      </w:r>
    </w:p>
    <w:p>
      <w:pPr>
        <w:rPr>
          <w:noProof/>
        </w:rPr>
      </w:pPr>
      <w:r>
        <w:rPr>
          <w:noProof/>
        </w:rPr>
        <w:t>Considerando o seguinte:</w:t>
      </w:r>
    </w:p>
    <w:p>
      <w:pPr>
        <w:pStyle w:val="ManualNumPar1"/>
        <w:rPr>
          <w:noProof/>
          <w:color w:val="000000"/>
        </w:rPr>
      </w:pPr>
      <w:r>
        <w:rPr>
          <w:noProof/>
        </w:rPr>
        <w:t>(1)</w:t>
      </w:r>
      <w:r>
        <w:rPr>
          <w:noProof/>
        </w:rPr>
        <w:tab/>
        <w:t>Em conformidade com o artigo 464.º do Acordo de Associação entre a União Europeia e a Comunidade Europeia da Energia Atómica e os seus Estados-Membros, por um lado, e a República da Moldávia, por outro («Acordo»), partes do Acordo, incluindo as disposições em matéria de medidas sanitárias e fitossanitárias, são aplicadas a título provisório a partir de 1 de setembro de 2014.</w:t>
      </w:r>
    </w:p>
    <w:p>
      <w:pPr>
        <w:pStyle w:val="ManualNumPar1"/>
        <w:rPr>
          <w:noProof/>
        </w:rPr>
      </w:pPr>
      <w:r>
        <w:rPr>
          <w:noProof/>
        </w:rPr>
        <w:t>(2)</w:t>
      </w:r>
      <w:r>
        <w:rPr>
          <w:noProof/>
        </w:rPr>
        <w:tab/>
        <w:t>O artigo 181.º, n.º 1, do Acordo prevê que a República da Moldávia aproxime gradualmente a sua legislação sanitária, fitossanitária e em matéria de bem-estar dos animais à legislação da União, tal como previsto no anexo XXIV do referido Acordo.</w:t>
      </w:r>
    </w:p>
    <w:p>
      <w:pPr>
        <w:pStyle w:val="ManualNumPar1"/>
        <w:rPr>
          <w:noProof/>
        </w:rPr>
      </w:pPr>
      <w:r>
        <w:rPr>
          <w:noProof/>
        </w:rPr>
        <w:t>(3)</w:t>
      </w:r>
      <w:r>
        <w:rPr>
          <w:noProof/>
        </w:rPr>
        <w:tab/>
        <w:t>O artigo 181.º, n.º 4, do Acordo estabelece que a República da Moldávia deve apresentar uma lista do acervo da União em matéria sanitária, fitossanitária e de bem-estar dos animais a que pretende aproximar a sua legislação interna, o mais tardar três meses após a entrada em vigor do Acordo. Essa lista deve servir de documento de referência para a execução do capítulo 4 do título V (Comércio e matérias conexas) do Acordo.</w:t>
      </w:r>
    </w:p>
    <w:p>
      <w:pPr>
        <w:pStyle w:val="ManualNumPar1"/>
        <w:rPr>
          <w:noProof/>
        </w:rPr>
      </w:pPr>
      <w:r>
        <w:rPr>
          <w:noProof/>
        </w:rPr>
        <w:t>(4)</w:t>
      </w:r>
      <w:r>
        <w:rPr>
          <w:noProof/>
        </w:rPr>
        <w:tab/>
        <w:t>O artigo 191.º do Acordo criou o Subcomité Sanitário e Fitossanitário que deve examinar todas as questões relacionadas com o capítulo 4 do título V (Comércio e matérias conexas), incluindo a sua execução, e pode rever e alterar o anexo XXIV do Acordo.</w:t>
      </w:r>
    </w:p>
    <w:p>
      <w:pPr>
        <w:pStyle w:val="ManualNumPar1"/>
        <w:rPr>
          <w:noProof/>
        </w:rPr>
      </w:pPr>
      <w:r>
        <w:rPr>
          <w:noProof/>
        </w:rPr>
        <w:t>(5)</w:t>
      </w:r>
      <w:r>
        <w:rPr>
          <w:noProof/>
        </w:rPr>
        <w:tab/>
        <w:t>A República da Moldávia apresentou a referida lista do acervo da União à Comissão Europeia em novembro de 2014, e concluiu-a em julho de 2015, em consulta com a Comissão Europeia.</w:t>
      </w:r>
    </w:p>
    <w:p>
      <w:pPr>
        <w:pStyle w:val="ManualNumPar1"/>
        <w:rPr>
          <w:noProof/>
        </w:rPr>
      </w:pPr>
      <w:r>
        <w:rPr>
          <w:noProof/>
        </w:rPr>
        <w:t>(6)</w:t>
      </w:r>
      <w:r>
        <w:rPr>
          <w:noProof/>
        </w:rPr>
        <w:tab/>
        <w:t>É oportuno que o Subcomité Sanitário e Fitossanitário tome a decisão de alterar o anexo XXIV do Acordo, de modo a incluir a lista tal como consta do anexo da presente decisão,</w:t>
      </w:r>
    </w:p>
    <w:p>
      <w:pPr>
        <w:pStyle w:val="ManualConsidrant"/>
        <w:rPr>
          <w:noProof/>
        </w:rPr>
      </w:pPr>
      <w:r>
        <w:rPr>
          <w:noProof/>
        </w:rPr>
        <w:t>ADOTOU A PRESENTE DECISÃO:</w:t>
      </w:r>
    </w:p>
    <w:p>
      <w:pPr>
        <w:pStyle w:val="Titrearticle"/>
        <w:rPr>
          <w:noProof/>
        </w:rPr>
      </w:pPr>
      <w:r>
        <w:rPr>
          <w:noProof/>
        </w:rPr>
        <w:lastRenderedPageBreak/>
        <w:t>Artigo 1.º</w:t>
      </w:r>
    </w:p>
    <w:p>
      <w:pPr>
        <w:rPr>
          <w:noProof/>
        </w:rPr>
      </w:pPr>
      <w:r>
        <w:rPr>
          <w:noProof/>
        </w:rPr>
        <w:t xml:space="preserve">O anexo XXIV-B do Acordo de Associação entre a União Europeia e a Comunidade Europeia da Energia Atómica e os seus Estados-Membros, por um lado, e a República da Moldávia, por outro, é alterado como estabelecido no anexo da presente decisão. </w:t>
      </w:r>
    </w:p>
    <w:p>
      <w:pPr>
        <w:pStyle w:val="Titrearticle"/>
        <w:rPr>
          <w:i w:val="0"/>
          <w:noProof/>
        </w:rPr>
      </w:pPr>
      <w:r>
        <w:rPr>
          <w:noProof/>
        </w:rPr>
        <w:t>Artigo 2.º</w:t>
      </w:r>
    </w:p>
    <w:p>
      <w:pPr>
        <w:pStyle w:val="ManualNumPar1"/>
        <w:rPr>
          <w:noProof/>
        </w:rPr>
      </w:pPr>
      <w:r>
        <w:rPr>
          <w:noProof/>
        </w:rPr>
        <w:t>A presente decisão entra em vigor no dia da sua adoção.</w:t>
      </w:r>
    </w:p>
    <w:p>
      <w:pPr>
        <w:spacing w:after="360"/>
        <w:rPr>
          <w:noProof/>
        </w:rPr>
      </w:pPr>
      <w:r>
        <w:rPr>
          <w:noProof/>
        </w:rPr>
        <w:t>Feito em …, em …</w:t>
      </w:r>
    </w:p>
    <w:tbl>
      <w:tblPr>
        <w:tblW w:w="0" w:type="auto"/>
        <w:tblLook w:val="04A0" w:firstRow="1" w:lastRow="0" w:firstColumn="1" w:lastColumn="0" w:noHBand="0" w:noVBand="1"/>
      </w:tblPr>
      <w:tblGrid>
        <w:gridCol w:w="4643"/>
        <w:gridCol w:w="4644"/>
      </w:tblGrid>
      <w:tr>
        <w:tc>
          <w:tcPr>
            <w:tcW w:w="4643" w:type="dxa"/>
            <w:shd w:val="clear" w:color="auto" w:fill="auto"/>
          </w:tcPr>
          <w:p>
            <w:pPr>
              <w:ind w:left="2160" w:firstLine="720"/>
              <w:jc w:val="center"/>
              <w:rPr>
                <w:rFonts w:eastAsia="Times New Roman"/>
                <w:noProof/>
                <w:szCs w:val="24"/>
              </w:rPr>
            </w:pPr>
          </w:p>
        </w:tc>
        <w:tc>
          <w:tcPr>
            <w:tcW w:w="4644" w:type="dxa"/>
            <w:shd w:val="clear" w:color="auto" w:fill="auto"/>
          </w:tcPr>
          <w:p>
            <w:pPr>
              <w:spacing w:before="0" w:after="0"/>
              <w:rPr>
                <w:i/>
                <w:noProof/>
              </w:rPr>
            </w:pPr>
            <w:r>
              <w:rPr>
                <w:i/>
                <w:noProof/>
              </w:rPr>
              <w:t xml:space="preserve">Pelo Subcomité Sanitário e Fitossanitário </w:t>
            </w:r>
          </w:p>
          <w:p>
            <w:pPr>
              <w:spacing w:before="0" w:after="0"/>
              <w:rPr>
                <w:i/>
                <w:noProof/>
              </w:rPr>
            </w:pPr>
          </w:p>
        </w:tc>
      </w:tr>
      <w:tr>
        <w:tc>
          <w:tcPr>
            <w:tcW w:w="4643" w:type="dxa"/>
            <w:shd w:val="clear" w:color="auto" w:fill="auto"/>
          </w:tcPr>
          <w:p>
            <w:pPr>
              <w:rPr>
                <w:rFonts w:eastAsia="Times New Roman"/>
                <w:noProof/>
                <w:szCs w:val="24"/>
              </w:rPr>
            </w:pPr>
          </w:p>
        </w:tc>
        <w:tc>
          <w:tcPr>
            <w:tcW w:w="4644" w:type="dxa"/>
            <w:shd w:val="clear" w:color="auto" w:fill="auto"/>
          </w:tcPr>
          <w:p>
            <w:pPr>
              <w:rPr>
                <w:rFonts w:eastAsia="Times New Roman"/>
                <w:i/>
                <w:noProof/>
                <w:szCs w:val="24"/>
              </w:rPr>
            </w:pPr>
            <w:r>
              <w:rPr>
                <w:i/>
                <w:noProof/>
              </w:rPr>
              <w:t>O Presidente</w:t>
            </w:r>
          </w:p>
        </w:tc>
      </w:tr>
    </w:tbl>
    <w:p>
      <w:pPr>
        <w:jc w:val="center"/>
        <w:rPr>
          <w:noProof/>
        </w:rPr>
        <w:sectPr>
          <w:footerReference w:type="default" r:id="rId15"/>
          <w:footerReference w:type="first" r:id="rId16"/>
          <w:pgSz w:w="11907" w:h="16839"/>
          <w:pgMar w:top="1134" w:right="1418" w:bottom="1134" w:left="1418" w:header="720" w:footer="720" w:gutter="0"/>
          <w:cols w:space="720"/>
          <w:docGrid w:linePitch="326"/>
        </w:sectPr>
      </w:pPr>
    </w:p>
    <w:p>
      <w:pPr>
        <w:jc w:val="right"/>
        <w:rPr>
          <w:b/>
          <w:noProof/>
          <w:u w:val="single"/>
        </w:rPr>
      </w:pPr>
      <w:r>
        <w:rPr>
          <w:b/>
          <w:noProof/>
          <w:u w:val="single"/>
        </w:rPr>
        <w:lastRenderedPageBreak/>
        <w:t>ANEXO</w:t>
      </w:r>
    </w:p>
    <w:p>
      <w:pPr>
        <w:spacing w:after="360"/>
        <w:jc w:val="center"/>
        <w:rPr>
          <w:b/>
          <w:caps/>
          <w:noProof/>
        </w:rPr>
      </w:pPr>
      <w:r>
        <w:rPr>
          <w:b/>
          <w:caps/>
          <w:noProof/>
        </w:rPr>
        <w:t>Alteração do anexo XXIV-B do Acordo de Associação</w:t>
      </w:r>
    </w:p>
    <w:p>
      <w:pPr>
        <w:spacing w:after="360"/>
        <w:rPr>
          <w:noProof/>
        </w:rPr>
      </w:pPr>
      <w:r>
        <w:rPr>
          <w:noProof/>
        </w:rPr>
        <w:t xml:space="preserve">O anexo XXIV-B do Acordo é alterado e passa a ter a seguinte redação: </w:t>
      </w:r>
    </w:p>
    <w:p>
      <w:pPr>
        <w:spacing w:after="360"/>
        <w:jc w:val="center"/>
        <w:rPr>
          <w:caps/>
          <w:noProof/>
        </w:rPr>
      </w:pPr>
      <w:r>
        <w:rPr>
          <w:caps/>
          <w:noProof/>
        </w:rPr>
        <w:t>«Anexo XXIV-B</w:t>
      </w:r>
    </w:p>
    <w:p>
      <w:pPr>
        <w:spacing w:after="360"/>
        <w:jc w:val="center"/>
        <w:rPr>
          <w:caps/>
          <w:noProof/>
        </w:rPr>
      </w:pPr>
      <w:r>
        <w:rPr>
          <w:caps/>
          <w:noProof/>
        </w:rPr>
        <w:t>Lista da legislação da União a Aproximar pela República da Moldávia</w:t>
      </w:r>
    </w:p>
    <w:p>
      <w:pPr>
        <w:widowControl w:val="0"/>
        <w:spacing w:before="0" w:after="0"/>
        <w:rPr>
          <w:rFonts w:eastAsia="Times New Roman"/>
          <w:noProof/>
          <w:szCs w:val="24"/>
        </w:rPr>
      </w:pPr>
      <w:r>
        <w:rPr>
          <w:noProof/>
        </w:rPr>
        <w:t>Nos termos do artigo 181.º, n.º 4, do presente Acordo, a República da Moldávia deve aproximar a sua legislação à seguinte legislação da União nos prazos a seguir indicados.</w:t>
      </w:r>
    </w:p>
    <w:tbl>
      <w:tblPr>
        <w:tblW w:w="9729" w:type="dxa"/>
        <w:tblLayout w:type="fixed"/>
        <w:tblCellMar>
          <w:top w:w="15" w:type="dxa"/>
          <w:left w:w="15" w:type="dxa"/>
          <w:bottom w:w="15" w:type="dxa"/>
          <w:right w:w="15" w:type="dxa"/>
        </w:tblCellMar>
        <w:tblLook w:val="0000" w:firstRow="0" w:lastRow="0" w:firstColumn="0" w:lastColumn="0" w:noHBand="0" w:noVBand="0"/>
      </w:tblPr>
      <w:tblGrid>
        <w:gridCol w:w="7842"/>
        <w:gridCol w:w="1887"/>
      </w:tblGrid>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b/>
                <w:bCs/>
                <w:noProof/>
                <w:szCs w:val="24"/>
              </w:rPr>
            </w:pPr>
            <w:r>
              <w:rPr>
                <w:b/>
                <w:bCs/>
                <w:noProof/>
              </w:rPr>
              <w:t>Legislação da União</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b/>
                <w:bCs/>
                <w:noProof/>
                <w:szCs w:val="24"/>
              </w:rPr>
            </w:pPr>
          </w:p>
          <w:p>
            <w:pPr>
              <w:widowControl w:val="0"/>
              <w:spacing w:before="40" w:after="40"/>
              <w:jc w:val="center"/>
              <w:rPr>
                <w:rFonts w:eastAsia="Times New Roman"/>
                <w:b/>
                <w:bCs/>
                <w:noProof/>
                <w:szCs w:val="24"/>
              </w:rPr>
            </w:pPr>
            <w:r>
              <w:rPr>
                <w:b/>
                <w:bCs/>
                <w:noProof/>
              </w:rPr>
              <w:t>Prazo para a aproximação</w:t>
            </w:r>
          </w:p>
        </w:tc>
      </w:tr>
      <w:tr>
        <w:trPr>
          <w:trHeight w:val="20"/>
        </w:trPr>
        <w:tc>
          <w:tcPr>
            <w:tcW w:w="97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jc w:val="center"/>
              <w:rPr>
                <w:rFonts w:eastAsia="Times New Roman"/>
                <w:bCs/>
                <w:noProof/>
                <w:szCs w:val="24"/>
              </w:rPr>
            </w:pPr>
            <w:r>
              <w:rPr>
                <w:b/>
                <w:noProof/>
              </w:rPr>
              <w:t>Secção 1 – Disposições gerais</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(CE) n.º 178/2002 do Parlamento Europeu e do Conselho, de 28 de janeiro de 2002, que determina os princípios e normas gerais da legislação alimentar, cria a Autoridade Europeia para a Segurança dos Alimentos e estabelece procedimentos em matéria de segurança dos géneros alimentícios. com exceção dos artigos 58.º, 59.º e 62.º</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(CE) n.º 1304/2003 da Comissão, de 23 de julho de 2003, relativo ao procedimento aplicado pela Autoridade Europeia para a Segurança dos Alimentos em relação aos pedidos de pareceres científicos que lhe são apresentados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Decisão 2004/478/CE da Comissão, de 29 de abril de 2004, relativa à adoção de um plano geral de gestão de crises no domínio dos géneros alimentícios e dos alimentos para animais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(UE) n.º 16/2011 da Comissão, de 10 de janeiro de 2011, que estabelece medidas de execução relativas ao sistema de alerta rápido para os géneros alimentícios e alimentos para animais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(CE) n.º 1151/2009 da Comissão, de 27 de novembro de 2009, que impõe condições especiais à importação de óleo de girassol originário ou expedido da Ucrânia devido a riscos de contaminação com óleo mineral e que revoga a Decisão 2008/433/CE</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strike/>
                <w:noProof/>
                <w:szCs w:val="24"/>
              </w:rPr>
            </w:pPr>
            <w:r>
              <w:rPr>
                <w:bCs/>
                <w:noProof/>
                <w:bdr w:val="none" w:sz="0" w:space="0" w:color="auto" w:frame="1"/>
                <w:shd w:val="clear" w:color="auto" w:fill="FFFFFF"/>
              </w:rPr>
              <w:t xml:space="preserve">Regulamento de Execução (UE) n.º 884/2014 da Comissão, de 13 de agosto de 2014, que impõe condições especiais aplicáveis à importação de determinados géneros alimentícios e alimentos para animais provenientes de certos países terceiros devido ao risco de contaminação por aflatoxinas e que revoga o Regulamento (CE) n.º 1152/2009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(UE) n.º 258/2010 da Comissão, de 25 de março de 2010, que impõe condições especiais às importações de goma de guar originária ou expedida da Índia devido ao risco de contaminação por pentaclorofenol e dioxinas e revoga a Decisão 2008/352/CE</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de Execução (UE) n.º 208/2013 da Comissão, de 11 de março de 2013, relativo aos requisitos de rastreabilidade dos rebentos e das sementes destinadas à produção de rebentos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de Execução (UE) n.º 931/2011 da Comissão, de 19 de setembro de 2011, relativo aos requisitos de rastreabilidade estabelecidos pelo Regulamento (CE) n.º 178/2002 do Parlamento Europeu e do Conselho para os géneros alimentícios de origem animal</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(CE) n.º 178/2002 do Parlamento Europeu e do Conselho, de 28 de janeiro de 2002, que determina os princípios e normas gerais da legislação alimentar, cria a Autoridade Europeia para a Segurança dos Alimentos e estabelece procedimentos em matéria de segurança dos géneros alimentícios - artigos 58.º, 59.º e 62.º</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9729" w:type="dxa"/>
            <w:gridSpan w:val="2"/>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noProof/>
                <w:szCs w:val="24"/>
              </w:rPr>
            </w:pPr>
            <w:r>
              <w:rPr>
                <w:b/>
                <w:noProof/>
              </w:rPr>
              <w:t>Secção 2 — Domínio veterinário</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i/>
                <w:noProof/>
                <w:szCs w:val="24"/>
              </w:rPr>
            </w:pPr>
            <w:r>
              <w:rPr>
                <w:noProof/>
              </w:rPr>
              <w:t>Diretiva 2002/99/CE do Conselho, de 16 de dezembro de 2002, que estabelece as regras de polícia sanitária aplicáveis à produção, transformação, distribuição e introdução de produtos de origem animal destinados ao consumo humano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2003/24/CE da Comissão, de 30 de dezembro de 2002, relativa ao desenvolvimento de um sistema informático veterinário integrado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Decisão 2005/734/CE da Comissão, de 19 de outubro de 2005, que estabelece medidas de biossegurança destinadas a reduzir o risco de transmissão da gripe aviária de alta patogenicidade provocada pelo vírus da gripe do tipo A, subtipo H5N1, de aves em meio selvagem para aves de capoeira e outras aves em cativeiro e que prevê um sistema de deteção precoce em zonas de risco especial</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Decisão 2006/415/CE da Comissão, de 14 de junho de 2006, relativa a determinadas medidas de proteção respeitantes à gripe aviária de alta patogenicidade do subtipo H5N1 em aves de capoeira na Comunidade e que revoga a Decisão 2006/135/CE</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Decisão 2006/563/CE da Comissão, de 11 de agosto de 2006, relativa a determinadas medidas de proteção respeitantes à gripe aviária de alta patogenicidade do subtipo H5N1 em aves selvagens na Comunidade e que revoga a Decisão 2006/115/CE</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2010/57/UE da Comissão, de 3 de fevereiro de 2010, que estabelece garantias sanitárias para o trânsito de equídeos transportados através dos territórios enumerados no anexo I da Diretiva 97/78/CE do Conselho.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de Execução (UE) n.º 139/2013 da Comissão, de 7 de janeiro de 2013, que estabelece condições de sanidade animal aplicáveis às importações para a União de certas aves e as respetivas condições de quarentena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de Execução (UE) n.º 750/2014 da Comissão, de 10 de julho de 2014, relativo a medidas de proteção em relação à diarreia epidémica dos suínos no que diz respeito aos requisitos de saúde animal aplicáveis à introdução de suínos na União</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97/78/CE do Conselho, de 18 de dezembro de 1997, que fixa os princípios relativos à organização dos controlos veterinários dos produtos provenientes de países terceiros introduzidos na Comunidade</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78/685/CEE da Comissão, de 26 de julho de 1978, que estabelece a fixação de uma lista de doenças epizoóticas de acordo com as disposições da Diretiva 72/462/CEE</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560"/>
                <w:tab w:val="left" w:pos="1985"/>
                <w:tab w:val="right" w:pos="2997"/>
                <w:tab w:val="left" w:pos="3087"/>
              </w:tabs>
              <w:autoSpaceDE w:val="0"/>
              <w:autoSpaceDN w:val="0"/>
              <w:adjustRightInd w:val="0"/>
              <w:spacing w:before="0" w:after="200"/>
              <w:rPr>
                <w:rFonts w:eastAsia="Times New Roman"/>
                <w:noProof/>
                <w:szCs w:val="24"/>
              </w:rPr>
            </w:pPr>
            <w:r>
              <w:rPr>
                <w:noProof/>
              </w:rPr>
              <w:t>Diretiva 64/432/CEE do Conselho, de 26 de junho de 1964, relativa a problemas de fiscalização sanitária em matéria de comércio intracomunitário de animais das espécies bovina e suína</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494/98 da Comissão, de 27 de fevereiro de 1998, que estabelece normas de execução do Regulamento (CE) n.º 820/97 do Conselho no que respeita à aplicação de sanções administrativas mínimas no âmbito do regime de identificação e registo dos bovinos</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da Comissão 2006/968/CE, de 15 de dezembro de 2006, que dá execução ao Regulamento (CE) n.º 21/2004 do Conselho no que diz respeito às orientações e aos procedimentos relativos à identificação eletrónica dos ovinos e caprinos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2009/156/CEE do Conselho, de 30 novembro 2009, relativa às condições de polícia sanitária que regem a circulação de equídeos e as importações de equídeos provenientes de países terceiros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504/2008 da Comissão, de 6 de junho de 2008, que aplica as Diretivas 90/426/CEE e 90/427/CEE do Conselho no que respeita a métodos para identificação de equídeos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2001/89/CE do Conselho, de 23 de outubro de 2001, relativa a medidas comunitárias de luta contra a peste suína clássica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2002/106/CE da Comissão, de 1 de fevereiro de 2002, que aprova um Manual Diagnóstico que estabelece procedimentos diagnósticos, métodos de amostragem e critérios de avaliação dos testes laboratoriais de confirmação da peste suína clássica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2002/60/CE do Conselho, de 27 de junho de 2002, que estabelece disposições específicas em relação à luta contra a peste suína africana e que altera a Diretiva 92/119/CEE no que respeita à doença de Teschen e à peste suína africana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2003/422/CE da Comissão, de 26 de maio de 2003, que aprova um manual de diagnóstico da peste suína africana.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2006/437/CE da Comissão, de 4 de agosto de 2006, que aprova um manual de diagnóstico da gripe aviária, conforme previsto na Diretiva 2005/94/CE do Conselho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616/2009 da Comissão, de 13 de julho de 2009, relativo à aplicação da Diretiva 2005/94/CE do Conselho no que se refere à aprovação de setores de criação de aves de capoeira e de setores de criação de outras aves em cativeiro no que diz respeito à gripe aviária e a medidas de biossegurança preventiva adicionais nesses setores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92/66/CEE do Conselho, de 14 de julho de 1992, que estabelece medidas comunitárias de luta contra a doença de Newcastle</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2000/75/CE do Conselho, de 20 de novembro de 2000, que aprova disposições específicas relativas às medidas de luta e de erradicação da febre catarral ovina ou língua azul</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1266/2007 da Comissão, de 26 de outubro de 2007, que estabelece normas de execução da Diretiva 2000/75/CE do Conselho no que se refere ao controlo, acompanhamento, vigilância e restrições às deslocações de determinados animais de espécies sensíveis, relativamente à febre catarral ovina</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999/2001 do Parlamento Europeu e do Conselho, de 22 de maio de 2001, que estabelece regras para a prevenção, o controlo e a erradicação de determinadas encefalopatias espongiformes transmissíveis</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Decisão 2007/843/CE da Comissão, de 11 de dezembro de 2007, relativa à aprovação de programas de controlo de salmonelas em bandos de reprodução de </w:t>
            </w:r>
            <w:r>
              <w:rPr>
                <w:i/>
                <w:noProof/>
              </w:rPr>
              <w:t>Gallus gallus</w:t>
            </w:r>
            <w:r>
              <w:rPr>
                <w:noProof/>
              </w:rPr>
              <w:t xml:space="preserve"> em determinados países terceiros, em conformidade com o Regulamento (CE) n.° 2160/2003 do Parlamento Europeu e do Conselho, e que altera a Decisão 2006/696/CE no que se refere a certos requisitos de saúde pública na importação de aves de capoeira e ovos para incubação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Decisão 2007/848/CE da Comissão, de 11 de dezembro de 2007, que aprova determinados programas nacionais de controlo de salmonelas em bandos de galinhas poedeiras de </w:t>
            </w:r>
            <w:r>
              <w:rPr>
                <w:i/>
                <w:iCs/>
                <w:noProof/>
              </w:rPr>
              <w:t>Gallus gallus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Decisão 2008/815/CE da Comissão, de 20 de outubro de 2008, que aprova determinados programas nacionais de controlo de salmonelas em bandos de frangos de </w:t>
            </w:r>
            <w:r>
              <w:rPr>
                <w:i/>
                <w:iCs/>
                <w:noProof/>
              </w:rPr>
              <w:t>Gallus gallus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2009/771/CE da Comissão, de 20 de outubro de 2009, que aprova determinados programas nacionais de controlo de salmonelas em perus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92/119/CEE do Conselho, de 17 de dezembro de 1992, que estabelece medidas comunitárias gerais de luta contra certas doenças animais, bem como medidas específicas respeitantes à doença vesiculosa do suíno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2004/226/CE da Comissão, de 4 de março de 2004, que aprova testes de deteção de anticorpos da brucelose bovina no âmbito da Diretiva 64/432/CEE do Conselho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91/68/CEE do Conselho, de 28 de janeiro de 1991, relativa às condições de polícia sanitária que regem as trocas comerciais intracomunitárias de ovinos e caprinos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95/329/CE da Comissão, de 25 de julho de 1995, que fixa as categorias de equídeos machos aos quais é aplicável a exigência relativa à arterite viral prevista na alínea b), subalínea ii), do artigo 15.º da Diretiva 90/426/CEE do Conselho</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2001/183/CE da Comissão, de 22 de fevereiro de 2001, que estabelece os planos de amostragem e os métodos de diagnóstico para deteção e confirmação de certas doenças dos peixes e revoga a Decisão 92/532/CEE</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90/429/CEE do Conselho, de 26 de junho de 1990, que fixa as exigências de polícia sanitária aplicáveis às trocas comerciais intracomunitárias e às importações de sémen de animais da espécie suína</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92/65/CEE do Conselho, de 13 de julho de 1992, que define as condições de polícia sanitária que regem o comércio e as importações na Comunidade de animais, sémenes, óvulos e embriões não sujeitos, no que se refere às condições de polícia sanitária, às regulamentações comunitárias específicas referidas na secção I do anexo A da Diretiva 90/425/CEE</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96/22/CE, de 29 de abril de 1996, relativa à proibição de utilização de certas substâncias</w:t>
            </w:r>
            <w:r>
              <w:rPr>
                <w:noProof/>
              </w:rPr>
              <w:tab/>
              <w:t>com efeitos hormonais ou tireostáticos e de substâncias β-agonistas em produção animal e que revoga as Diretivas 81/602/CEE, 88/146/CEE e 88/299/CEE</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1999/879/CE do Conselho, de 17 de dezembro de 1999, relativa à colocação no mercado e à administração de somatotrofina bovina (BST) e que revoga a Decisão 90/218/CEE</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97/747/CE da Comissão, de 27 de outubro de 1997, que fixa o nível e a frequência de amostragem previstos pela Diretiva 96/23/CE do Conselho para a pesquisa de determinadas substâncias e seus resíduos em certos produtos de origem animal</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98/179/CE da Comissão, de 23 de fevereiro de 1998, que estabelece regras para a colheita das amostras oficiais a utilizar na pesquisa de determinadas substâncias e seus resíduos nos animais vivos e respetivos produtos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2006/88/CE do Conselho, de 24 de outubro de 2006, relativa aos requisitos zoossanitários aplicáveis aos animais de aquicultura e produtos derivados, assim como à prevenção e à luta contra certas doenças dos animais aquáticos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2002/657/CE da Comissão, de 14 de agosto de 2002, que dá execução ao disposto na Diretiva 96/23/CE do Conselho relativamente ao desempenho de métodos analíticos e à interpretação de resultados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92/260/CEE da Comissão, de 10 de abril de 1992, relativa às condições sanitárias e à certificação sanitária requeridas para a admissão temporária</w:t>
            </w:r>
            <w:r>
              <w:rPr>
                <w:noProof/>
              </w:rPr>
              <w:tab/>
              <w:t>de cavalos registados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2008/946/CE da Comissão, de 12 de dezembro de 2008, que aplica a Diretiva 2006/88/CE do Conselho no que se refere aos requisitos de quarentena dos animais de aquicultura</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2004/41/CE do Parlamento Europeu e do Conselho, de 21 de abril de 2004, que revoga certas diretivas relativas à higiene dos géneros alimentícios e às regras sanitárias aplicáveis à produção e à comercialização de determinados produtos de origem animal destinados ao consumo humano e altera as Diretivas 89/662/CEE e 92/118/CEE do Conselho e a Decisão 95/408/CE do Conselho</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Decisão 2006/778/CE da Comissão, de 14 de novembro de 2006, relativa a requisitos mínimos para a recolha de informação durante as inspeções de locais de produção onde são mantidos animais para fins de criação</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2008/119/CE do Conselho, de 18 de dezembro de 2008, relativa às normas mínimas de proteção dos vitelos</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2008/120/CE do Conselho, de 18 de dezembro de 2008, relativa às normas mínimas de proteção de suínos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Decisão de Execução 2013/188/UE da Comissão, de 18 de abril de 2013, relativa aos relatórios anuais sobre inspeções não discriminatórias realizadas ao abrigo do Regulamento (CE) n.º 1/2005 do Conselho relativo à proteção dos animais durante o transporte e operações afins e que altera as Diretivas 64/432/CEE e 93/119/CE e o Regulamento (CE) n.º 1255/97</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szCs w:val="20"/>
              </w:rPr>
              <w:t>Regulamento (CE) Nº 1255/97 do Conselho, de 25 de junho de 1997, relativo aos critérios comunitários exigidos nos postos de controlo e que adapta a guia de marcha prevista no anexo da Diretiva 91/628/CEE</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2009/157/CE do Conselho, de 30 de novembro de 2009, relativa aos animais da espécie bovina reprodutores de raça pura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84/247/CEE da Comissão, de 27 de abril de 1984, que determina os critérios de reconhecimento das organizações e associações de criadores que criem ou mantenham livros genealógicos para bovinos reprodutores de raça pura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84/419/CEE da Comissão, de 19 de julho de 1984, que determina os critérios de inscrição dos bovinos nos livros genealógicos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i/>
                <w:noProof/>
                <w:szCs w:val="24"/>
              </w:rPr>
            </w:pPr>
            <w:r>
              <w:rPr>
                <w:noProof/>
              </w:rPr>
              <w:t>Diretiva 87/328/CEE do Conselho, de 18 de junho de 1987, relativa à admissão à reprodução de bovinos reprodutores de raça pura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96/463/CE do Conselho, de 23 de julho de 1996, que designa o organismo de referência encarregado de colaborar na uniformização dos métodos de testagem e de avaliação dos resultados dos bovinos reprodutores de raça pura,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2005/379/CE da Comissão, de 17 de maio de 2005, relativa aos certificados genealógicos e às informações deles constantes para bovinos reprodutores de raça pura e respetivos sémen, óvulos e embriões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2006/427/CE da Comissão, de 20 de junho de 2006, que fixa os métodos de controlo do rendimento e de apreciação do valor genético dos reprodutores de raça pura da espécie bovina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88/661/CEE do Conselho, de 19 de dezembro de 1988, relativa às normas zootécnicas aplicáveis aos animais reprodutores da espécie suína</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89/501/CEE da Comissão, de 18 de julho de 1989, que determina os critérios de reconhecimento e de fiscalização das associações de criadores e das organizações de criação que mantêm ou estabelecem livros genealógicos relativamente aos reprodutores suínos de raça pura</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89/502/CEE da Comissão, de 18 de julho de 1989, que determina os critérios de inscrição nos livros genealógicos dos suínos reprodutores de raça pura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89/503/CEE da Comissão, de 18 de Julho de 1989, que estabelece o certificado dos suínos reprodutores de raça pura, bem como dos respetivos sémen, óvulos e embriões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89/504/CEE da Comissão, de 18 de julho de 1989, que determina os critérios de reconhecimento e de fiscalização</w:t>
            </w:r>
            <w:r>
              <w:rPr>
                <w:noProof/>
              </w:rPr>
              <w:tab/>
              <w:t>das associações de criadores, das organizações de criação e empresas privadas que mantêm ou estabelecem registos relativos aos reprodutores suínos híbridos</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89/505/CEE da Comissão, de 18 de julho de 1989, que determina os critérios de inscrição nos registos dos suínos reprodutores híbridos</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89/506/CEE da Comissão, de 18 de Julho de 1989, que estabelece o certificado dos suínos reprodutores híbridos, bem como dos respetivos sémen, óvulos e embriões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89/507/CEE da Comissão, de 18 de julho de 1989, que fixa os métodos de controlo das performances e de apreciação do valor genético dos animais reprodutores de raça pura e reprodutores híbridos da espécie suína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90/118/CEE do Conselho, de 5 de março de 1990, relativa à admissão à reprodução de suínos reprodutores de raça pura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90/119/CEE do Conselho, de 5 de março de 1990, relativa à admissão à reprodução de suínos reprodutores de raça híbrida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89/361/CEE do Conselho, de 30 de maio de 1989, relativa aos animais reprodutores de raça pura das espécies ovina e caprina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90/254/CEE da Comissão, de 10 de maio de 1990, que determina os critérios de aprovação das organizações e associações de criadores que mantêm ou estabelecem livros genealógicos relativamente aos ovinos e caprinos reprodutores de raça pura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90/225/CEE, de 10 de maio de 1990, que determina os critérios de inscrição nos livros genealógicos dos ovinos e caprinos reprodutores de raça pura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90/258/CEE da Comissão, de 10 de maio de 1990, que fixa o certificado zootécnico dos ovinos e caprinos reprodutores de raça pura, bem como dos respetivos sémenes, óvulos e embriões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92/353/CEE da Comissão, de 11 de junho de 1992, que determina os critérios de aprovação ou de reconhecimento das organizações ou associações que mantêm ou criam livros genealógicos dos equídeos registados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92/354/CEE da Comissão, de 11 de junho de 1992, que fixa certas regras destinadas a assegurar a coordenação entre organizações ou associações que mantêm ou criam livros genealógicos dos equídeos registados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96/78/CE da Comissão, de 10 de janeiro de 1996, que determina os critérios de inscrição e registo de equídeos em livros genealógicos para fins de reprodução</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96/79/CE da Comissão, de 12 de janeiro de 1996, que fixa os certificados zootécnicos relativos ao sémen, óvulos e embriões de equídeos registados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63"/>
              </w:tabs>
              <w:autoSpaceDE w:val="0"/>
              <w:autoSpaceDN w:val="0"/>
              <w:adjustRightInd w:val="0"/>
              <w:spacing w:before="0" w:after="200"/>
              <w:rPr>
                <w:rFonts w:eastAsia="Times New Roman"/>
                <w:noProof/>
                <w:szCs w:val="24"/>
              </w:rPr>
            </w:pPr>
            <w:r>
              <w:rPr>
                <w:noProof/>
              </w:rPr>
              <w:t>Regulamento (CE) n.º 504/2008 da Comissão, de 6 de junho de 2008, que aplica as Diretivas 90/426/CEE e 90/427/CEE do Conselho no que respeita a métodos para identificação de equídeos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90/428/CEE do Conselho, de 26 de junho de 1990, relativa às trocas de equídeos destinados a concursos e que estabelece as condições de participação nesses concursos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92/216/CEE da Comissão, de 26 de março de 1992, relativa à recolha de dados respeitantes aos concursos de equídeos referidos no n.º 2 do artigo 4.º da Diretiva 90/428/CEE do Conselho</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91/174/CEE do Conselho, de 25 de março de 1991, relativa às condições zootécnicas e genealógicas que regem a comercialização de animais de raça e que altera as Diretivas 77/504/CEE e 90/425/CEE</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9729" w:type="dxa"/>
            <w:gridSpan w:val="2"/>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noProof/>
                <w:szCs w:val="24"/>
              </w:rPr>
            </w:pPr>
            <w:r>
              <w:rPr>
                <w:b/>
                <w:noProof/>
              </w:rPr>
              <w:t>Secção 3 — Colocação no mercado de géneros alimentícios, alimentos para animais e subprodutos animais</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jc w:val="left"/>
              <w:rPr>
                <w:i/>
                <w:noProof/>
                <w:szCs w:val="24"/>
              </w:rPr>
            </w:pPr>
            <w:r>
              <w:rPr>
                <w:noProof/>
              </w:rPr>
              <w:t>Regulamento (CE) n.º 852/2004 do Parlamento Europeu e do Conselho, de 29 de abril de 2004, relativo à higiene dos géneros alimentícios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jc w:val="left"/>
              <w:rPr>
                <w:i/>
                <w:noProof/>
                <w:szCs w:val="24"/>
              </w:rPr>
            </w:pPr>
            <w:r>
              <w:rPr>
                <w:noProof/>
              </w:rPr>
              <w:t>Regulamento (CE) n.º 853/2004 do Parlamento Europeu e do Conselho, de 29 de abril de 2004, que estabelece regras específicas de higiene aplicáveis aos géneros alimentícios de origem animal</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2074/2005 da Comissão, de 5 de dezembro de 2005, que estabelece medidas de execução para determinados produtos ao abrigo do Regulamento (CE) n.º 853/2004 do Parlamento Europeu e do Conselho e para a organização de controlos oficiais ao abrigo dos Regulamentos (CE) n.º 854/2004 do Parlamento Europeu e do Conselho e n.º 882/2004 do Parlamento Europeu e do Conselho, que derroga o Regulamento (CE) n.º 852/2004 do Parlamento Europeu e do Conselho e altera os Regulamentos (CE) n.º 853/2004 e (CE) n.º 854/2004</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de Execução (UE) n.º 208/2013 da Comissão, de 11 de março de 2013, relativo aos requisitos de rastreabilidade dos rebentos e das sementes destinadas à produção de rebentos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(UE) n.º 210/2013 da Comissão, de 11 de março de 2013, relativo à aprovação de estabelecimentos que produzem rebentos, nos termos do Regulamento (CE) n.º 852/2004 do Parlamento Europeu e do Conselho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(UE) n.º 211/2013 da Comissão, de 11 de março de 2013, relativo aos requisitos de certificação aplicáveis às importações na União de rebentos e de sementes destinadas à produção de rebentos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(UE) n.º 579/2014 da Comissão, de 28 de maio de 2014, que concede uma derrogação a certas disposições do anexo II do Regulamento (CE) n.º 852/2004 do Parlamento Europeu e do Conselho, no que respeita ao transporte marítimo de óleos e gorduras líquidos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92/118/CEE do Conselho, de 17 de dezembro de 1992, que define as condições sanitárias e de polícia sanitária que regem o comércio e as importações na Comunidade de produtos não sujeitos, no que respeita às referidas condições, às regulamentações comunitárias específicas referidas no capítulo I do anexo A da Diretiva 89/662/CEE e, no que respeita aos agentes patogénicos, da Diretiva 90/425/CEE</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(UE) n.º 101/2013 da Comissão, de 4 de fevereiro de 2013, relativo à utilização do ácido láctico para reduzir a contaminação superficial microbiológica das carcaças de bovinos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de Execução (UE) n.º 636/2014 da Comissão, de 13 de junho de 2014, relativo a um modelo de certificado para o comércio de caça grossa selvagem não esfolada</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Decisão 2006/677/CE da Comissão, de 29 de setembro de 2006, relativa ao estabelecimento de orientações que definem critérios para a realização de auditorias nos termos do Regulamento (CE) n.º 882/2004 do Parlamento Europeu e do Conselho relativo aos controlos oficiais realizados para assegurar a verificação do cumprimento da legislação relativa aos alimentos para animais e aos géneros alimentícios e das normas relativas à saúde e ao bem-estar dos animais.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2007/363/CE da Comissão, de 21 de maio de 2007, relativa a orientações destinadas a auxiliar os Estados-Membros na preparação do plano nacional de controlo plurianual integrado único previsto no Regulamento (CE) n.º 882/2004 do Parlamento Europeu e do Conselho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152/2009 da Comissão, de 27 de janeiro de 2009, que estabelece os métodos de amostragem e análise para o controlo oficial dos alimentos para animais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(CE) n.º 669/2009 da Comissão, de 24 de julho de 2009, que dá execução ao Regulamento (CE) n.º 882/2004 do Parlamento Europeu e do Conselho no que respeita aos controlos oficiais reforçados na importação de certos alimentos para animais e géneros alimentícios de origem não animal e que altera a Decisão 2006/504/CE</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2008/654/CE da Comissão, de 24 de julho de 2008, relativa a orientações destinadas a auxiliar os Estados-Membros na elaboração do relatório anual sobre o plano nacional de controlo plurianual integrado único previsto no Regulamento (CE) n.º 882/2004 do Parlamento Europeu e do Conselho</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de Execução (UE) n.º 702/2013 da Comissão, de 22 de julho de 2013, relativo a medidas transitórias para a aplicação do Regulamento (CE) n.º 882/2004 do Parlamento Europeu e do Conselho no que se refere à acreditação dos laboratórios oficiais que efetuam testes oficiais à Trichinella e que altera o Regulamento (CE) n.º 1162/2009 da Comissão</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854/2004 do Parlamento Europeu e do Conselho, de 29 de abril de 2004, que estabelece regras específicas de organização dos controlos oficiais de produtos de origem animal destinados ao consumo humano</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2004/41/CE do Parlamento Europeu e do Conselho, de 21 de abril de 2004, que revoga certas diretivas relativas à higiene dos géneros alimentícios e às regras sanitárias aplicáveis à produção e à comercialização de determinados produtos de origem animal destinados ao consumo humano e altera as Diretivas 89/662/CEE e 92/118/CEE do Conselho e a Decisão 95/408/CE do Conselho</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470/2009 do Parlamento Europeu e do Conselho, de 6 de maio de 2009, que prevê procedimentos comunitários para o estabelecimento de limites máximos de resíduos de substâncias farmacologicamente ativas nos alimentos de origem animal, que revoga o Regulamento (CEE) n.º 2377/90 do Conselho e que altera a Diretiva 2001/82/CE do Parlamento Europeu e do Conselho e o Regulamento (CE) n.º 726/2004 do Parlamento Europeu e do Conselho</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strike/>
                <w:noProof/>
                <w:szCs w:val="24"/>
              </w:rPr>
            </w:pPr>
            <w:r>
              <w:rPr>
                <w:noProof/>
              </w:rPr>
              <w:t>Regulamento (CE) n.º 2075/2005 da Comissão, de 5 de dezembro de 2005, que estabelece regras específicas para os controlos oficiais de deteção de triquinas na carne</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Decisão 92/608/CEE do Conselho, de 14 de novembro de 1992, que adota determinados métodos de análise e testes para o leite termicamente destinado ao consumo humano direto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2002/226/CE da Comissão, de 15 de março de 2002, que estabelece controlos sanitários especiais para a colheita e transformação de determinados moluscos bivalves com um nível de toxina ASP que ultrapassa o limite estabelecido na Diretiva 91/492/CEE do Conselho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Regulamento de Execução (UE) n.º 702/2013 da Comissão, de 22 de julho de 2013, relativo a medidas transitórias para a aplicação do Regulamento (CE) n.º 882/2004 do Parlamento Europeu e do Conselho no que se refere à acreditação dos laboratórios oficiais que efetuam testes oficiais à </w:t>
            </w:r>
            <w:r>
              <w:rPr>
                <w:i/>
                <w:noProof/>
              </w:rPr>
              <w:t>Trichinella</w:t>
            </w:r>
            <w:r>
              <w:rPr>
                <w:noProof/>
              </w:rPr>
              <w:t xml:space="preserve"> e que altera o Regulamento (CE) n.º 1162/2009 da Comissão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1069/2009 do Parlamento Europeu e do Conselho, de 21 de outubro de 2009, que define regras sanitárias relativas a subprodutos animais e produtos derivados não destinados ao consumo humano e que revoga o Regulamento (CE) n.º 1774/2002</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(UE) n.º 142/2011 da Comissão, de 25 de fevereiro de 2011, que aplica o Regulamento (CE) n.º 1069/2009 do Parlamento Europeu e do Conselho que define regras sanitárias relativas a subprodutos animais e produtos derivados não destinados ao consumo humano e que aplica a Diretiva 97/78/CE do Conselho no que se refere a certas amostras e certos artigos isentos de controlos veterinários nas fronteiras ao abrigo da referida diretiva</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882/2004 do Parlamento Europeu e do Conselho, de 29 de abril de 2004, relativo aos controlos oficiais realizados para assegurar a verificação do cumprimento da legislação relativa aos alimentos para animais e aos géneros alimentícios e das normas relativas à saúde e ao bem-estar dos animais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183/2005 do Parlamento Europeu e do Conselho, de 12 de janeiro de 2005, que estabelece requisitos de higiene dos alimentos para animais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141/2007 da Comissão de 14 de fevereiro de 2007 relativo ao requisito de aprovação aplicável, nos termos do Regulamento (CE) n.º 183/2005 do Parlamento Europeu e do Conselho, aos estabelecimentos do setor dos alimentos para animais que fabricam ou colocam no mercado aditivos da categoria “coccidiostáticos e histomonostáticos”</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9729" w:type="dxa"/>
            <w:gridSpan w:val="2"/>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noProof/>
                <w:szCs w:val="24"/>
              </w:rPr>
            </w:pPr>
            <w:bookmarkStart w:id="1" w:name="_Toc394585665"/>
            <w:r>
              <w:rPr>
                <w:b/>
                <w:noProof/>
              </w:rPr>
              <w:t>Secção 4 — Regras em matéria de segurança dos alimentos</w:t>
            </w:r>
            <w:bookmarkEnd w:id="1"/>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i/>
                <w:noProof/>
                <w:szCs w:val="24"/>
              </w:rPr>
            </w:pPr>
            <w:r>
              <w:rPr>
                <w:noProof/>
              </w:rPr>
              <w:t xml:space="preserve">Regulamento (UE) n.º 1169/2011 do Parlamento Europeu e do Conselho, de 25 de outubro de 2011, relativo à prestação de informação aos consumidores sobre os géneros alimentícios, que altera os Regulamentos (CE) n.º 1924/2006 e (CE) n.º 1925/2006 do Parlamento Europeu e do Conselho e revoga as Diretivas 87/250/CEE da Comissão, 90/496/CEE do Conselho, 1999/10/CE da Comissão, 2000/13/CE do Parlamento Europeu e do Conselho, 2002/67/CE e 2008/5/CE da Comissão e o Regulamento (CE) n.º 608/2004 da Comissão </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1924/2006 do Parlamento Europeu e do Conselho, de 20 de dezembro de 2006, relativo às alegações nutricionais e de saúde sobre os alimentos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2011/91/UE do Parlamento Europeu e do Conselho, de 13 de dezembro de 2011, relativa às menções ou marcas que permitem identificar o lote ao qual pertence um género alimentício</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(UE) n.º 432/2012 da Comissão, de 16 de maio de 2012, que estabelece uma lista de alegações de saúde permitidas relativas a alimentos que não referem a redução de um risco de doença ou o desenvolvimento e a saúde das crianças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(UE) n.º 1047/2012 da Comissão, de 8 de novembro de 2012, que altera o Regulamento (CE) n.º 1924/2006 no que se refere à lista de alegações nutricionais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de Execução 2013/63/UE da Comissão, de 24 de janeiro de 2013, que adota orientações para a execução das condições específicas das alegações de saúde previstas no artigo 10.º do Regulamento (CE) n. 1924/2006 do Parlamento Europeu e do Conselho</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(UE) n.º 851/2013 da Comissão, de 3 de setembro de 2013, que autoriza determinadas alegações de saúde relativas a alimentos que não referem a redução de um risco de doença ou o desenvolvimento e a saúde das crianças e que altera o Regulamento (UE) n.º 432/2012</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(UE) n.º 40/2014 da Comissão, de 17 de janeiro de 2014, que autoriza uma alegação de saúde relativa a alimentos que não referem a redução de um risco de doença ou o desenvolvimento e a saúde das crianças e que altera o Regulamento (UE) n.º 432/2012</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1925/2006 do Parlamento Europeu e do Conselho, de 20 de dezembro de 2006, relativo à adição de vitaminas, minerais e determinadas outras substâncias aos alimentos</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1170/2009 da Comissão, de 30 de novembro de 2009, que altera a Diretiva 2002/46/CE do Parlamento Europeu e do Conselho e o Regulamento (CE) n.º 1925/2006 do Parlamento Europeu e do Conselho no que se refere às listas de vitaminas, minerais e respetivas formas em que podem ser adicionados aos alimentos, incluindo suplementos alimentares</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1331/2008 do Parlamento Europeu e do Conselho, de 16 de dezembro de 2008, que estabelece um procedimento de autorização comum aplicável a aditivos alimentares, enzimas alimentares e aromas alimentares</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iCs/>
                <w:noProof/>
              </w:rPr>
              <w:t>Regulamento (UE) n.º 234/2011 da Comissão, de 10 de março de 2011, que executa o Regulamento (CE) n.º 1331/2008 do Parlamento Europeu e do Conselho que estabelece um procedimento de autorização comum aplicável a aditivos alimentares, enzimas alimentares e aromas alimentares</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1332/2008 do Parlamento Europeu e do Conselho, de 16 de dezembro de 2008, relativo às enzimas alimentares e que altera a Diretiva 83/417/CEE do Conselho, o Regulamento (CE) n.º 1493/1999 do Conselho, a Diretiva 2000/13/CE, a Diretiva 2001/112/CE do Conselho e o Regulamento (CE) n.º 258/97</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2009/32/CE do Parlamento Europeu e do Conselho, de 23 de abril de 2009, relativa à aproximação das legislações dos Estados-Membros sobre os solventes de extração utilizados no fabrico de géneros alimentícios e dos respetivos ingredientes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2232/96 do Parlamento Europeu e do Conselho, de 28 de outubro de 1996, que estabelece um procedimento comunitário aplicável no domínio das substâncias aromatizantes utilizadas ou que se destinem a serem utilizadas nos géneros alimentícios - artigo 1.º, artigo 2.º, artigo 3.º, n.</w:t>
            </w:r>
            <w:r>
              <w:rPr>
                <w:noProof/>
                <w:vertAlign w:val="superscript"/>
              </w:rPr>
              <w:t>os</w:t>
            </w:r>
            <w:r>
              <w:rPr>
                <w:noProof/>
              </w:rPr>
              <w:t xml:space="preserve"> 1 e 2, tal como previsto no artigo 6.º, n.º 2, do Regulamento de Execução (UE) n.º 872/2012 da Comissão, de 1 de outubro de 2012</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2065/2003 do Parlamento Europeu e do Conselho, de 10 de novembro de 2003, relativo aos aromatizantes de fumo utilizados ou destinados a serem utilizados nos ou sobre os géneros alimentícios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(CE) n.º 1334/2008 do Parlamento Europeu e do Conselho, de 16 de dezembro de 2008, relativo aos aromas e a determinados ingredientes alimentares com propriedades aromatizantes utilizados nos e sobre os géneros alimentícios e que altera o Regulamento (CEE) n.º 1601/91 do Conselho, os Regulamentos (CE) n.º 2232/96 e (CE) n.º 110/2008 e a Diretiva 2000/13/CE</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de Execução (UE) n.º 872/2012 da Comissão, de 1 de outubro de 2012, que adota a lista das substâncias aromatizantes prevista no Regulamento (CE) n.º 2232/96 do Parlamento Europeu e do Conselho, inclui essa lista no anexo I do Regulamento (CE) n.º 1334/2008 do Parlamento Europeu e do Conselho e revoga o Regulamento (CE) n.º 1565/2000 e a Decisão 1999/217/CE</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ab/>
              <w:t>Regulamento (UE) n.º 873/2012 da Comissão, de 1 de outubro de 2012, relativo a medidas de transição referentes à lista da União de aromas e materiais de base estabelecida no anexo I do Regulamento (CE) n.º 1334/2008 do Parlamento Europeu e do Conselho</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de Execução (UE) n.º 1321/2013 da Comissão, de 10 de dezembro de 2013, que estabelece a lista da União dos produtos primários aromatizantes de fumo autorizados para utilização como tal nos ou sobre géneros alimentícios e/ou para a produção de aromatizantes de fumo derivados</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82/711/CEE do Conselho, de 18 de outubro de 1982, que estabelece as regras de base necessárias à verificação da migração dos constituintes dos materiais e objetos em matéria plástica destinados a entrar em contacto com os géneros alimentícios</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(UE) n.º 10/2011 da Comissão, de 14 janeiro de 2011, relativo aos materiais e objetos de matéria plástica destinados a entrar em contacto com os alimentos</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84/500/CEE do Conselho, de 15 de outubro de 1984, relativa à aproximação das legislações dos Estados-Membros respeitantes aos objetos cerâmicos destinados a entrar em contacto com os géneros alimentícios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2007/42/CE da Comissão, de 29 de junho de 2007, respeitante aos materiais e objetos em película de celulose regenerada destinados a entrar em contacto com géneros alimentícios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ab/>
              <w:t>Diretiva 78/142/CEE do Conselho, de 30 de janeiro de 1978, relativa à aproximação das legislações dos Estados-Membros respeitantes aos materiais e objetos que contêm monómero de cloreto de vinilo, destinados a entrar em contacto com os géneros alimentícios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 xml:space="preserve">2017 </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93/11/CEE da Comissão, de 15 de março de 1993, relativa à libertação de N-nitrosaminas e substâncias N-nitrosáveis por tetinas e chupetas de elastómeros ou borracha</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 xml:space="preserve">2017 </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1895/2005 da Comissão, de 18 de novembro de 2005, relativo à restrição de utilização de determinados derivados epoxídicos em materiais e objetos destinados a entrar em contacto com os alimentos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450/2009 da Comissão, de 29 de maio de 2009, relativo aos materiais e objetos ativos e inteligentes destinados a entrar em contacto com os alimentos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(UE) n.º 284/2011 da Comissão, de 22 de março de 2011, que fixa as condições específicas e os procedimentos pormenorizados para a importação de matéria plástica de poliamida e melamina para cozinha originários ou provenientes da República Popular da China e da Região Administrativa Especial de Hong Kong, China</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de Execução (UE) n.º 321/2011 da Comissão, de 1 de abril de 2011, que altera o Regulamento (UE) n.º 10/2011 no que respeita à restrição da utilização de bisfenol A em biberões de plástico</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spacing w:before="0" w:after="200"/>
              <w:rPr>
                <w:noProof/>
                <w:szCs w:val="24"/>
              </w:rPr>
            </w:pPr>
            <w:r>
              <w:rPr>
                <w:noProof/>
              </w:rPr>
              <w:t xml:space="preserve">Regulamento (CE) n.º 282/2008 da Comissão, de 27 de março de 2008, relativo aos materiais e objetos de plástico reciclado destinados a entrar em contacto com os alimentos e que altera o Regulamento (CE) n.º 2023/2006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2002/46/CE do Parlamento Europeu e do Conselho, de 10 de junho de 2002, relativa à aproximação das legislações dos Estados-Membros respeitantes aos suplementos alimentares</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(UE) n.º 609/2013 do Parlamento Europeu e do Conselho, de 12 de junho de 2013, relativo aos alimentos para lactentes e crianças pequenas, aos alimentos destinados a fins medicinais específicos e aos substitutos integrais da dieta para controlo do peso e que revoga a Diretiva 92/52/CEE do Conselho, as Diretivas 96/8/CE, 1999/21/CE, 2006/125/CE e 2006/141/CE da Comissão, a Diretiva 2009/39/CE do Parlamento Europeu e do Conselho e os Regulamentos (CE) n.º 41/2009 e (CE) n.º 953/2009 da Comissão</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Diretiva 2006/141/CE da Comissão, de 22 de dezembro de 2006, relativa às fórmulas para lactentes e fórmulas de transição e que altera a Diretiva 1999/21/CE</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41/2009 da Comissão, de 20 de janeiro de 2009, relativo à composição e rotulagem dos géneros alimentícios adequados a pessoas com intolerância ao glúten</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953/2009 da Comissão, de 13 de outubro de 2009, relativo às substâncias que podem ser adicionadas, para fins nutricionais específicos, aos géneros alimentícios destinados a uma alimentação especial</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92/2/CEE da Comissão, de 13 de janeiro de 1992, que estabelece o procedimento de amostragem e o método de análise comunitário para o controlo oficial das temperaturas de alimentos ultracongelados destinados à alimentação humana</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37/2005 da Comissão, de 12 de janeiro de 2005, relativo ao controlo das temperaturas nos meios de transporte e nas instalações de depósito e armazenagem de alimentos ultracongelados destinados à alimentação humana</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i/>
                <w:noProof/>
                <w:szCs w:val="24"/>
              </w:rPr>
            </w:pPr>
            <w:r>
              <w:rPr>
                <w:noProof/>
              </w:rPr>
              <w:t>Regulamento (CEE) n.º 315/93 do Conselho, de 8 de fevereiro de 1993, que estabelece procedimentos comunitários para os contaminantes presentes nos géneros alimentícios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Recomendação 2006/794/CE da Comissão, de 16 de novembro de 2006, relativa à monitorização dos níveis de base das dioxinas e dos PCB sob a forma de dioxina e dos PCB não semelhantes a dioxinas nos géneros alimentícios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1881/2006 da Comissão, de 19 de dezembro de 2006, que fixa os teores máximos de certos contaminantes presentes nos géneros alimentícios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333/2007 da Comissão, de 28 de março de 2007, que estabelece métodos de amostragem e de análise para o controlo oficial dos teores de chumbo, cádmio, mercúrio, estanho na forma inorgânica, 3-MCPD e hidrocarbonetos aromáticos policíclicos nos géneros alimentícios</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Recomendação 2011/516/UE da Comissão, de 23 de agosto de 2011, relativa à redução da presença de dioxinas, furanos e PCB nos alimentos para animais e nos géneros alimentícios</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(UE) n.º 589/2014 da Comissão, de 2 de junho de 2014, que estabelece métodos de amostragem e análise para o controlo dos teores de dioxinas, PCB sob a forma de dioxina e PCB não semelhantes a dioxinas em determinados géneros alimentícios e que revoga o Regulamento (UE) n.º 252/2012</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Recomendação 2013/165/UE da Comissão, de 27 de março de 2013, relativa à presença das toxinas T-2 e HT-2 em cereais e produtos à base de cereais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Regulamento (CE) n.º 258/97 do Parlamento Europeu e do Conselho, de 27 de janeiro de 1997, relativo a novos alimentos e ingredientes alimentares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1999/2/CE do Parlamento Europeu e do Conselho, de 22 de fevereiro de 1999, relativa à aproximação das legislações dos Estados-Membros respeitantes aos alimentos e ingredientes alimentares tratados por radiação ionizante</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1999/3/CE do Parlamento Europeu e do Conselho, de 22 de fevereiro de 1999, relativa ao estabelecimento de uma lista comunitária de alimentos e ingredientes alimentares tratados por radiação ionizante</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2009/54/CE do Parlamento Europeu e do Conselho, de 18 de junho de 2009, relativa à exploração e à comercialização de águas minerais naturais</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Diretiva </w:t>
            </w:r>
            <w:r>
              <w:rPr>
                <w:noProof/>
              </w:rPr>
              <w:tab/>
              <w:t>2003/40/CE da Comissão, de 16 de maio de 2003, que estabelece a lista, os limites de concentração e as menções constantes do rótulo para os constituintes das águas minerais naturais, bem como as condições de utilização de ar enriquecido em ozono para o tratamento das águas minerais naturais e das águas de nascente</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(UE) n.º 115/2010 da Comissão, de 9 de fevereiro de 2010, que estabelece as condições de utilização de alumina ativada na remoção de fluoreto de águas minerais naturais e de águas de nascente</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9729" w:type="dxa"/>
            <w:gridSpan w:val="2"/>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noProof/>
                <w:szCs w:val="24"/>
              </w:rPr>
            </w:pPr>
            <w:bookmarkStart w:id="2" w:name="_Toc394585681"/>
            <w:r>
              <w:rPr>
                <w:b/>
                <w:noProof/>
              </w:rPr>
              <w:t>Secção 5 — Regras específicas para alimentos para animais</w:t>
            </w:r>
            <w:bookmarkEnd w:id="2"/>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767/2009 do Parlamento Europeu e do Conselho, de 13 de julho de 2009, relativo à colocação no mercado e à utilização de alimentos para animais, que altera o Regulamento (CE) n.º 1831/2003 e revoga as Diretivas 79/373/CEE do Conselho, 80/511/CEE da Comissão, 82/471/CEE do Conselho, 83/228/CEE do Conselho, 93/74/CEE do Conselho, 93/113/CE do Conselho e 96/25/CE do Conselho e a Decisão 2004/217/CE da Comissão</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82/475/CEE da Comissão, de 23 de junho de 1982, que fixa as categorias de matérias-primas para alimentação animal que podem ser utilizadas na marcação dos alimentos compostos para animais domésticos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2008/38/CE da Comissão, de 5 de março de 2008, que estabelece uma lista das utilizações previstas para os alimentos com objetivos nutricionais específicos destinados a animais (Versão codificada)</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Recomendação 2011/25/UE da Comissão, de 14 de janeiro de 2011, que estabelece diretrizes para a distinção entre matérias-primas para alimentação animal, aditivos para alimentação animal, produtos biocidas e medicamentos veterinários</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(UE) n.º 68/2013 da Comissão, de 16 de janeiro de 2013, relativo ao Catálogo de matérias-primas para alimentação animal</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1876/2006 da Comissão, de 18 de dezembro de 2006, relativo à autorização provisória e definitiva de determinados aditivos em alimentos para animais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429/2008 da Comissão, de 25 de abril de 2008, relativo às regras de execução do Regulamento (CE) n.º 1831/2003 do Parlamento Europeu e do Conselho no que se refere à preparação e apresentação de pedidos e à avaliação e autorização de aditivos destinados à alimentação animal</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(UE) n.º 1270/2009 da Comissão, de 21 de dezembro de 2009, relativo à autorização definitiva de determinados aditivos em alimentos para animais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(UE) n.º 892/2010 da Comissão, de 8 de outubro de 2010, relativo ao estatuto de certos produtos no que se refere a aditivos destinados à alimentação animal na aceção do Regulamento (CE) n.º 1831/2003 do Parlamento Europeu e do Conselho</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i/>
                <w:noProof/>
                <w:szCs w:val="24"/>
              </w:rPr>
            </w:pPr>
            <w:r>
              <w:rPr>
                <w:noProof/>
              </w:rPr>
              <w:t>Recomendação 2004/704/CE da Comissão, de 11 de outubro de 2004, relativa à monitorização dos níveis de base de dioxinas e dos PCB sob a forma de dioxina nos alimentos para animais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9729" w:type="dxa"/>
            <w:gridSpan w:val="2"/>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b/>
                <w:noProof/>
                <w:szCs w:val="24"/>
              </w:rPr>
            </w:pPr>
            <w:bookmarkStart w:id="3" w:name="_Toc127327624"/>
            <w:bookmarkStart w:id="4" w:name="_Toc303008844"/>
            <w:r>
              <w:rPr>
                <w:b/>
                <w:noProof/>
              </w:rPr>
              <w:t>Secção 6 — Domínio fitossanitário</w:t>
            </w:r>
            <w:bookmarkEnd w:id="3"/>
            <w:bookmarkEnd w:id="4"/>
            <w:r>
              <w:rPr>
                <w:b/>
                <w:i/>
                <w:noProof/>
              </w:rPr>
              <w:t xml:space="preserve"> </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2000/29/CE do Conselho, de 8 de maio de 2000, relativa às medidas de proteção contra a introdução na Comunidade de organismos prejudiciais aos vegetais e produtos vegetais e contra a sua propagação no interior da Comunidade.</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(CE) n.º 1756/2004 da Comissão, de 11 de outubro de 2004, que especifica em pormenor as condições para a apresentação das provas exigidas e os critérios para o tipo e nível de redução dos controlos fitossanitários de certas plantas, produtos vegetais ou outros materiais enunciados na parte B do anexo V da Diretiva 2000/29/CE do Conselho</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2004/103/CE da Comissão, de 7 de outubro de 2004, relativa aos controlos de identidade e fitossanitários das plantas, produtos vegetais ou outros materiais enunciados na parte B do anexo V da Diretiva 2000/29/CE do Conselho, que podem ser efetuados num local diferente do ponto de entrada na Comunidade ou num local próximo, e que especifica as condições respeitantes a esses controlos</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bCs/>
                <w:noProof/>
              </w:rPr>
              <w:t>Diretiva de Execução 2014/78/UE da Comissão, de 17 de junho de 2014, que altera os anexos I, II, III, IV e V da Diretiva 2000/29/CE do Conselho relativa às medidas de proteção contra a introdução na Comunidade de organismos prejudiciais aos vegetais e produtos vegetais e contra a sua propagação no interior da Comunidade</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bCs/>
                <w:noProof/>
              </w:rPr>
              <w:t>Diretiva de Execução 2014/83/UE da Comissão, de 25 de junho de 2014, que altera os anexos I, II, III, IV e V da Diretiva 2000/29/CE do Conselho relativa às medidas de proteção contra a introdução na Comunidade de organismos prejudiciais aos vegetais e produtos vegetais e contra a sua propagação no interior da Comunidade</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74/647/CEE do Conselho, de 9 de dezembro de 1974, que diz respeito à luta contra as “traças” do craveiro</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Decisão de Execução 2014/497/UE da Comissão, de 23 de julho de 2014, relativa às medidas para impedir a introdução e a propagação na União de </w:t>
            </w:r>
            <w:r>
              <w:rPr>
                <w:i/>
                <w:noProof/>
              </w:rPr>
              <w:t>Xylella fastidiosa</w:t>
            </w:r>
            <w:r>
              <w:rPr>
                <w:noProof/>
              </w:rPr>
              <w:t xml:space="preserve"> (Well e Raju)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Decisão 2002/757/CE da Comissão, de 19 de setembro de 2002, relativa a medidas fitossanitárias provisórias de emergência destinadas a impedir a introdução e a dispersão de Phytophthora ramorum Werres, De Cock &amp; Man in 't Veld sp. nov. na Comunidade.</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Decisão 2006/464/CE da Comissão, de 27 de junho de 2006, relativa a medidas de emergência provisórias contra a introdução e propagação na Comunidade do </w:t>
            </w:r>
            <w:r>
              <w:rPr>
                <w:i/>
                <w:noProof/>
              </w:rPr>
              <w:t>Dryocosmus kuriphilus</w:t>
            </w:r>
            <w:r>
              <w:rPr>
                <w:noProof/>
              </w:rPr>
              <w:t xml:space="preserve"> Yasumatsu</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0"/>
              <w:rPr>
                <w:rFonts w:eastAsia="Times New Roman"/>
                <w:noProof/>
                <w:szCs w:val="24"/>
              </w:rPr>
            </w:pPr>
            <w:r>
              <w:rPr>
                <w:noProof/>
              </w:rPr>
              <w:t xml:space="preserve">Decisão 2003/766/CE da Comissão, de 24 de outubro de 2003, relativa a medidas de emergência contra a propagação na Comunidade de </w:t>
            </w:r>
            <w:r>
              <w:rPr>
                <w:i/>
                <w:noProof/>
              </w:rPr>
              <w:t>Diabrotica virgifera</w:t>
            </w:r>
            <w:r>
              <w:rPr>
                <w:noProof/>
              </w:rPr>
              <w:t xml:space="preserve"> le Conte.</w:t>
            </w:r>
          </w:p>
          <w:p>
            <w:pPr>
              <w:widowControl w:val="0"/>
              <w:tabs>
                <w:tab w:val="center" w:pos="1418"/>
                <w:tab w:val="left" w:pos="1985"/>
                <w:tab w:val="right" w:pos="2997"/>
                <w:tab w:val="left" w:pos="3087"/>
              </w:tabs>
              <w:autoSpaceDE w:val="0"/>
              <w:autoSpaceDN w:val="0"/>
              <w:adjustRightInd w:val="0"/>
              <w:spacing w:before="0" w:after="0"/>
              <w:rPr>
                <w:rFonts w:eastAsia="Times New Roman"/>
                <w:noProof/>
                <w:szCs w:val="24"/>
              </w:rPr>
            </w:pP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Diretiva de Execução 2014/19/UE da Comissão, de 6 de fevereiro de 2014, que altera o anexo I da Diretiva 2000/29/CEE do Conselho relativa a medidas de proteção contra a introdução na Comunidade de organismos prejudiciais às plantas e produtos vegetais e contra a sua propagação no interior da Comunidade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de Execução (UE) 2015/749 da Comissão, de 7 de maio de 2015, que revoga a Decisão 2007/410/CE relativa a medidas contra a introdução e a propagação na Comunidade do viroide do afuselamento do tubérculo da batateira</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Decisão 2008/840/CE da Comissão, de 7 de novembro de 2008, relativa a medidas de emergência contra a introdução e a propagação na Comunidade de </w:t>
            </w:r>
            <w:r>
              <w:rPr>
                <w:i/>
                <w:noProof/>
              </w:rPr>
              <w:t>Anoplophora chinensis</w:t>
            </w:r>
            <w:r>
              <w:rPr>
                <w:noProof/>
              </w:rPr>
              <w:t xml:space="preserve"> (Forster).</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Decisão de Execução 2012/270/UE da Comissão, de 16 de maio de 2012, relativa a medidas de emergência contra a introdução e a propagação na União de </w:t>
            </w:r>
            <w:r>
              <w:rPr>
                <w:i/>
                <w:noProof/>
              </w:rPr>
              <w:t>Epitrix cucumeris</w:t>
            </w:r>
            <w:r>
              <w:rPr>
                <w:noProof/>
              </w:rPr>
              <w:t xml:space="preserve"> (Harris), </w:t>
            </w:r>
            <w:r>
              <w:rPr>
                <w:i/>
                <w:noProof/>
              </w:rPr>
              <w:t>Epitrix similaris</w:t>
            </w:r>
            <w:r>
              <w:rPr>
                <w:noProof/>
              </w:rPr>
              <w:t xml:space="preserve"> (Gentner), </w:t>
            </w:r>
            <w:r>
              <w:rPr>
                <w:i/>
                <w:noProof/>
              </w:rPr>
              <w:t xml:space="preserve">Epitrixt subcrinita </w:t>
            </w:r>
            <w:r>
              <w:rPr>
                <w:noProof/>
              </w:rPr>
              <w:t>(Lec.) e</w:t>
            </w:r>
            <w:r>
              <w:rPr>
                <w:i/>
                <w:noProof/>
              </w:rPr>
              <w:t xml:space="preserve"> Epitrix tuberis </w:t>
            </w:r>
            <w:r>
              <w:rPr>
                <w:noProof/>
              </w:rPr>
              <w:t>(Gentner)</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Decisão 2006/133/CE da Comissão, de 13 de fevereiro de 2006, que requer que os Estados-Membros adotem temporariamente medidas suplementares contra a propagação de </w:t>
            </w:r>
            <w:r>
              <w:rPr>
                <w:i/>
                <w:noProof/>
              </w:rPr>
              <w:t>Bursaphelenchus xylophilus</w:t>
            </w:r>
            <w:r>
              <w:rPr>
                <w:noProof/>
              </w:rPr>
              <w:t xml:space="preserve"> (Steiner et Buhrer) Nickle </w:t>
            </w:r>
            <w:r>
              <w:rPr>
                <w:i/>
                <w:noProof/>
              </w:rPr>
              <w:t>et al.</w:t>
            </w:r>
            <w:r>
              <w:rPr>
                <w:noProof/>
              </w:rPr>
              <w:t xml:space="preserve"> (nemátodo do pinheiro) no que diz respeito a zonas de Portugal, com exceção daquelas em que a sua ausência é conhecida</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Decisão 2012/535/UE, de 26 de setembro de 2012, relativa a medidas de emergência contra a propagação na União de </w:t>
            </w:r>
            <w:r>
              <w:rPr>
                <w:i/>
                <w:noProof/>
              </w:rPr>
              <w:t>Bursaphelenchus</w:t>
            </w:r>
            <w:r>
              <w:rPr>
                <w:noProof/>
              </w:rPr>
              <w:t xml:space="preserve"> </w:t>
            </w:r>
            <w:r>
              <w:rPr>
                <w:i/>
                <w:noProof/>
              </w:rPr>
              <w:t>xylophilus</w:t>
            </w:r>
            <w:r>
              <w:rPr>
                <w:noProof/>
              </w:rPr>
              <w:t xml:space="preserve"> (Steiner et Buhrer) Nickle </w:t>
            </w:r>
            <w:r>
              <w:rPr>
                <w:i/>
                <w:noProof/>
              </w:rPr>
              <w:t xml:space="preserve">et al. </w:t>
            </w:r>
            <w:r>
              <w:rPr>
                <w:noProof/>
              </w:rPr>
              <w:t>(nemátodo da madeira do pinheiro)</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Decisão de Execução 2012/138/UE da Comissão, de 1 de março de 2012, relativa a medidas de emergência contra a introdução e a propagação na União de </w:t>
            </w:r>
            <w:r>
              <w:rPr>
                <w:i/>
                <w:noProof/>
              </w:rPr>
              <w:t>Anoplophora chinensis</w:t>
            </w:r>
            <w:r>
              <w:rPr>
                <w:noProof/>
              </w:rPr>
              <w:t xml:space="preserve"> (Forster)</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(CE) n.º 690/2008 da Comissão, de 4 de julho de 2008, que reconhece zonas protegidas na Comunidade expostas a riscos fitossanitários específicos.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93/50/CEE da Comissão, de 24 de junho de 1993, que determina a inscrição dos produtores de certos produtos vegetais não enumerados no anexo V, parte A, da Diretiva 77/93/CEE do Conselho ou dos armazéns e centros de expedição estabelecidos nas zonas de produção de tais produtos num registo oficial</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Decisão 2004/416/CE da Comissão, de 29 de abril de 2004, relativa a medidas de emergência respeitantes a determinados citrinos originários do Brasil</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Decisão 2006/473/CE da Comissão, de 5 de julho de 2006, que reconhece certos países terceiros e certas regiões de países terceiros como indemnes de </w:t>
            </w:r>
            <w:r>
              <w:rPr>
                <w:i/>
                <w:noProof/>
              </w:rPr>
              <w:t>Xanthomonas</w:t>
            </w:r>
            <w:r>
              <w:rPr>
                <w:noProof/>
              </w:rPr>
              <w:t xml:space="preserve"> </w:t>
            </w:r>
            <w:r>
              <w:rPr>
                <w:i/>
                <w:noProof/>
              </w:rPr>
              <w:t>campestris</w:t>
            </w:r>
            <w:r>
              <w:rPr>
                <w:noProof/>
              </w:rPr>
              <w:t xml:space="preserve"> (todas as estirpes patogénicas para o género Citrus), </w:t>
            </w:r>
            <w:r>
              <w:rPr>
                <w:i/>
                <w:noProof/>
              </w:rPr>
              <w:t>Cercospora angolensis</w:t>
            </w:r>
            <w:r>
              <w:rPr>
                <w:noProof/>
              </w:rPr>
              <w:t xml:space="preserve"> Carv. et Mendes e </w:t>
            </w:r>
            <w:r>
              <w:rPr>
                <w:i/>
                <w:noProof/>
              </w:rPr>
              <w:t>Guignardia citricarpa</w:t>
            </w:r>
            <w:r>
              <w:rPr>
                <w:noProof/>
              </w:rPr>
              <w:t xml:space="preserve"> Kiely (todas as estirpes patogénicas para o género Citrus),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Decisão de Execução 2012/756/UE da Comissão, de 5 de dezembro de 2012, relativa a medidas para impedir a introdução e propagação na União de </w:t>
            </w:r>
            <w:r>
              <w:rPr>
                <w:i/>
                <w:noProof/>
              </w:rPr>
              <w:t>Pseudomonas syringae</w:t>
            </w:r>
            <w:r>
              <w:rPr>
                <w:noProof/>
              </w:rPr>
              <w:t xml:space="preserve"> pv. </w:t>
            </w:r>
            <w:r>
              <w:rPr>
                <w:i/>
                <w:noProof/>
              </w:rPr>
              <w:t>actinidiae</w:t>
            </w:r>
            <w:r>
              <w:rPr>
                <w:noProof/>
              </w:rPr>
              <w:t xml:space="preserve"> Takikawa, Serizawa, Ichikawa, Tsuyumu &amp; Goto</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Decisão de Execução 2013/92/UE da Comissão, de 18 de fevereiro de 2013, relativa à fiscalização, aos controlos fitossanitários e às medidas a tomar em relação aos materiais de embalagem de madeira efetivamente utilizados no transporte de mercadorias especificadas originárias da China</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Decisão 2014/237/UE, de 24 de abril de 2014, relativa a medidas destinadas a impedir a introdução e a propagação, na União, de organismos prejudiciais no que respeita a determinados frutos e produtos hortícolas originários da Índia</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Decisão de Execução 2014/422/UE da Comissão, de 2 de julho de 2014, que estabelece medidas respeitantes a determinados citrinos originários da África do Sul a fim de impedir a introdução e a propagação na União de </w:t>
            </w:r>
            <w:r>
              <w:rPr>
                <w:i/>
                <w:noProof/>
              </w:rPr>
              <w:t>Phyllosticta citricarpa</w:t>
            </w:r>
            <w:r>
              <w:rPr>
                <w:noProof/>
              </w:rPr>
              <w:t xml:space="preserve"> (McAlpine) Van der Aa</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98/22/CE da Comissão, de 15 de abril de 1998, que estabelece as condições mínimas para a realização na Comunidade de controlos fitossanitários de plantas, produtos vegetais e outros materiais provenientes de países terceiros, em postos de inspeção que não os do local de destino,</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Diretiva 2008/61/CE da Comissão, de 17 de junho de 2008, que estabelece as condições segundo as quais determinados organismos prejudiciais, plantas, produtos vegetais e outros materiais, constantes dos anexos I a V da Diretiva 2000/29/CE, podem ser introduzidos ou circular na Comunidade, ou em certas zonas protegidas desta, para fins experimentais ou científicos e trabalhos de seleção de variedades (Versão codificada)</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1107/2009 do Parlamento Europeu e do Conselho, de 21 de outubro de 2009, relativo à colocação de produtos fitofarmacêuticos no mercado e que revoga as Diretivas 79/117/CEE e 91/414/CEE do Conselho</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de Execução (UE) n.º 540/2011 da Comissão, de 25 de maio de 2011, que dá execução ao Regulamento (CE) n.º 1107/2009 do Parlamento Europeu e do Conselho no que diz respeito à lista de substâncias ativas aprovadas</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(UE) n.º 544/2011 da Comissão, de 10 de junho de 2011, que dá execução ao Regulamento (CE) n.º 1107/2009 do Parlamento Europeu e do Conselho no que diz respeito aos requisitos em matéria de dados aplicáveis às substâncias ativas</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Regulamento (UE) n.º 545/2011 da Comissão, de 10 de junho de 2011, que dá execução ao Regulamento (CE) n.º 1107/2009 do Parlamento Europeu e do Conselho no que diz respeito aos requisitos em matéria de dados aplicáveis aos produtos fitofarmacêuticos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Regulamento (UE) n.º 546/2011 da Comissão, de 10 de junho de 2011, que dá execução ao Regulamento (CE) n.º 1107/2009 do Parlamento Europeu e do Conselho no que diz respeito aos princípios uniformes aplicáveis à avaliação e autorização dos produtos fitofarmacêuticos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Regulamento (UE) n.º 547/2011 da Comissão, de 8 de junho de 2011, que dá execução ao Regulamento (CE) n.º 1107/2009 do Parlamento Europeu e do Conselho no que diz respeito aos requisitos de rotulagem dos produtos fitofarmacêuticos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2009/128/CE do Parlamento Europeu e do Conselho, de 21 de outubro de 2009, que estabelece um quadro de ação a nível comunitário para uma utilização sustentável dos pesticidas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2005/834/CE do Conselho, de 8 de novembro de 2005, relativa à equivalência dos controlos das seleções de conservação de variedades efetuados em certos países terceiros e que altera a Decisão 2003/17/CE</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2004/29/CE da Comissão, de 4 de março de 2004, relativa à fixação dos caracteres e das condições mínimas para o exame das variedades de vinha</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1999/105/CE do Conselho, de 22 de dezembro de 1999, relativa à comercialização de materiais florestais de reprodução</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ab/>
              <w:t>Regulamento (CE) n.º 1597/2002 da Comissão, de 6 de setembro de 2002, que estabelece as normas de execução da Diretiva 1999/105/CE do Conselho no que diz respeito ao formato das listas nacionais de materiais de base dos materiais florestais de reprodução</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Regulamento (CE) n.º 2301/2002 da Comissão, de 20 de dezembro de 2002, que estabelece as normas de execução da Diretiva 1999/105/CE do Conselho no que diz respeito à definição de pequenas quantidades de sementes</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ab/>
              <w:t>Regulamento (CE) n.º 69/2004 da Comissão, de 15 de janeiro de 2004, que autoriza derrogações de certas disposições da Diretiva 1999/105/CE do Conselho relativa à comercialização de materiais florestais de reprodução</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2008/971/CE do Conselho, de 16 de dezembro de 2008, relativa à equivalência dos materiais florestais de reprodução produzidos em países terceiros</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Decisão 2008/989/CE da Comissão, de 23 de dezembro de 2008, que autoriza os Estados-Membros, em conformidade com Diretiva 1999/105/CE do Conselho, a tomar decisões sobre a equivalência das garantias oferecidas pelos materiais florestais de reprodução a importar de certos países terceiros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Recomendação 2012/90/UE da Comissão, de 14 de fevereiro de 2012, em matéria de orientações para a apresentação de dados para a identificação de lotes de materiais florestais de reprodução e da informação que deve constar no rótulo ou documento do fornecedor</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2003/91/CE da Comissão, de 6 de outubro de 2003, que estabelece regras de execução do artigo 7.º da Diretiva 2002/55/CE do Conselho no que diz respeito aos caracteres que, no mínimo, devem ser apreciados pelo exame e às condições mínimas para o exame de determinadas variedades de espécies hortícolas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de Execução 2014/20/UE da Comissão, de 6 de fevereiro de 2014, que determina as classes da União de batatas de semente de base e de semente certificada e as condições e designações aplicáveis a essas classes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de Execução 2014/21/UE da Comissão, de 6 de fevereiro de 2014, que determina as condições mínimas e as classes da União de batatas de semente de pré-base</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2008/62/CE da Comissão, de 20 de junho de 2008, que prevê determinadas derrogações aplicáveis à admissão de variedades autóctones e variedades agrícolas naturalmente adaptadas às condições regionais e locais e ameaçadas pela erosão genética, bem como à comercialização de sementes e batatas de semente dessas variedades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Diretiva 2009/145/CE da Comissão, de 26 de novembro de 2009, que prevê certas derrogações à admissão de variedades autóctones de produtos hortícolas e outras variedades tradicionalmente cultivadas em determinadas localidades e regiões e ameaçadas pela erosão genética e de variedades de produtos agrícolas sem valor intrínseco para uma produção vegetal comercial, mas desenvolvidas para cultivo em determinadas condições, e à comercialização de sementes dessas variedades autóctones e outras variedades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9729" w:type="dxa"/>
            <w:gridSpan w:val="2"/>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b/>
                <w:noProof/>
                <w:szCs w:val="24"/>
              </w:rPr>
            </w:pPr>
            <w:r>
              <w:rPr>
                <w:b/>
                <w:noProof/>
              </w:rPr>
              <w:t>Secção 7 — Organismos geneticamente modificados</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noProof/>
                <w:szCs w:val="24"/>
              </w:rPr>
            </w:pPr>
            <w:r>
              <w:rPr>
                <w:noProof/>
              </w:rPr>
              <w:t>Diretiva 2001/18/CE do Parlamento Europeu e do Conselho, de 12 de março de 2001, relativa à libertação deliberada no ambiente de organismos geneticamente modificados e que revoga a Diretiva 90/220/CEE do Conselho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Como especificado no anexo XVI</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noProof/>
                <w:szCs w:val="24"/>
              </w:rPr>
            </w:pPr>
            <w:r>
              <w:rPr>
                <w:noProof/>
              </w:rPr>
              <w:t>Decisão 2002/811/CE do Conselho, de 3 de outubro de 2002, que estabelece notas de orientação destinadas a completar o anexo VII da Diretiva 2001/18/CE do Parlamento Europeu e do Conselho relativa à libertação deliberada no ambiente de organismos geneticamente modificados e que revoga a Diretiva 90/220/CEE do Conselho</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noProof/>
                <w:szCs w:val="24"/>
              </w:rPr>
            </w:pPr>
            <w:r>
              <w:rPr>
                <w:noProof/>
              </w:rPr>
              <w:t>Decisão 2002/812/CE do Conselho, de 3 de outubro de 2002, que estabelece, nos termos da Diretiva 2001/18/CE do Parlamento Europeu e do Conselho, o modelo de resumo das notificações relativas à colocação no mercado de organismos geneticamente modificados enquanto produtos ou componentes de produtos</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noProof/>
                <w:szCs w:val="24"/>
              </w:rPr>
            </w:pPr>
            <w:r>
              <w:rPr>
                <w:noProof/>
              </w:rPr>
              <w:t>Regulamento (CE) n.º 1946/2003 do Parlamento Europeu e do Conselho, de 15 de julho de 2003, relativo ao movimento transfronteiriço de organismos geneticamente modificados</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noProof/>
                <w:szCs w:val="24"/>
              </w:rPr>
            </w:pPr>
            <w:r>
              <w:rPr>
                <w:noProof/>
              </w:rPr>
              <w:t>Regulamento (CE) n.º 1829/2003 do Parlamento Europeu e do Conselho, de 22 de setembro de 2003, relativo a géneros alimentícios e alimentos para animais geneticamente modificados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noProof/>
                <w:szCs w:val="24"/>
              </w:rPr>
            </w:pPr>
            <w:r>
              <w:rPr>
                <w:noProof/>
              </w:rPr>
              <w:t>Regulamento (CE) n.º 641/2004 da Comissão, de 6 de abril de 2004, que estabelece normas de execução do Regulamento (CE) n.º 1829/2003 do Parlamento Europeu e do Conselho no que respeita aos pedidos de autorização de novos géneros alimentícios e alimentos para animais geneticamente modificados, à comunicação de produtos existentes e à presença acidental ou tecnicamente inevitável de material geneticamente modificado que tenha sido objeto de uma avaliação de risco favorável</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noProof/>
                <w:szCs w:val="24"/>
              </w:rPr>
            </w:pPr>
            <w:r>
              <w:rPr>
                <w:noProof/>
              </w:rPr>
              <w:t>Regulamento (CE) n.º 1830/2003 do Parlamento Europeu e do Conselho, de 22 de setembro de 2003, relativo à rastreabilidade e rotulagem de organismos geneticamente modificados e à rastreabilidade dos géneros alimentícios e alimentos para animais produzidos a partir de organismos geneticamente modificados e que altera a Diretiva 2001/18/CE</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noProof/>
                <w:szCs w:val="24"/>
              </w:rPr>
            </w:pPr>
            <w:r>
              <w:rPr>
                <w:noProof/>
              </w:rPr>
              <w:t>Recomendação 2010/C 200/01 da Comissão, de 13 de julho de 2010, relativa a orientações para a elaboração de medidas nacionais de coexistência para impedir a presença acidental de OGM em culturas convencionais e biológicas</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highlight w:val="yellow"/>
              </w:rPr>
            </w:pPr>
            <w:r>
              <w:rPr>
                <w:noProof/>
              </w:rPr>
              <w:t>Diretiva 2009/41/CE do Parlamento Europeu e do Conselho, de 6 de maio de 2009, relativa à utilização confinada de microrganismos geneticamente modificados (reformulação)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Como especificado no anexo XVI</w:t>
            </w:r>
            <w:r>
              <w:rPr>
                <w:noProof/>
                <w:highlight w:val="yellow"/>
              </w:rPr>
              <w:t xml:space="preserve"> </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Decisão 2009/770/CE da Comissão, de 13 de outubro de 2009, que em conformidade com a Diretiva 2001/18/CE do Parlamento Europeu e do Conselho, estabelece os modelos de relatórios normalizados para a apresentação dos resultados da monitorização das libertações deliberadas no ambiente de organismos geneticamente modificados, como produtos ou contidos em produtos destinados a ser colocados no mercado</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9729" w:type="dxa"/>
            <w:gridSpan w:val="2"/>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noProof/>
                <w:szCs w:val="24"/>
              </w:rPr>
            </w:pPr>
            <w:r>
              <w:rPr>
                <w:b/>
                <w:noProof/>
              </w:rPr>
              <w:t>Secção 8 — Medicamentos veterinários</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bCs/>
                <w:noProof/>
                <w:szCs w:val="24"/>
                <w:bdr w:val="none" w:sz="0" w:space="0" w:color="auto" w:frame="1"/>
                <w:shd w:val="clear" w:color="auto" w:fill="FFFFFF"/>
              </w:rPr>
            </w:pPr>
            <w:r>
              <w:rPr>
                <w:bCs/>
                <w:noProof/>
                <w:bdr w:val="none" w:sz="0" w:space="0" w:color="auto" w:frame="1"/>
                <w:shd w:val="clear" w:color="auto" w:fill="FFFFFF"/>
              </w:rPr>
              <w:t>Diretiva 2001/82/CE do Parlamento Europeu e do Conselho, de 6 de novembro de 2001, que estabelece um código comunitário relativo aos medicamentos veterinários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Como especificado no anexo XVI</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bCs/>
                <w:noProof/>
                <w:szCs w:val="24"/>
                <w:bdr w:val="none" w:sz="0" w:space="0" w:color="auto" w:frame="1"/>
                <w:shd w:val="clear" w:color="auto" w:fill="FFFFFF"/>
              </w:rPr>
            </w:pPr>
            <w:r>
              <w:rPr>
                <w:bCs/>
                <w:noProof/>
                <w:bdr w:val="none" w:sz="0" w:space="0" w:color="auto" w:frame="1"/>
                <w:shd w:val="clear" w:color="auto" w:fill="FFFFFF"/>
              </w:rPr>
              <w:t>Diretiva 2004/28/CE do Parlamento Europeu e do Conselho, de 31 de março de 2004, que altera a Diretiva 2001/82/CE que estabelece um código comunitário relativo aos medicamentos veterinários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bCs/>
                <w:noProof/>
                <w:szCs w:val="24"/>
                <w:highlight w:val="yellow"/>
                <w:bdr w:val="none" w:sz="0" w:space="0" w:color="auto" w:frame="1"/>
                <w:shd w:val="clear" w:color="auto" w:fill="FFFFFF"/>
              </w:rPr>
            </w:pPr>
            <w:r>
              <w:rPr>
                <w:noProof/>
                <w:shd w:val="clear" w:color="auto" w:fill="FFFFFF"/>
              </w:rPr>
              <w:t>Regulamento (UE) n.º 37/2010 da Comissão, de 22 de dezembro de 2009, relativo a substâncias farmacologicamente ativas e respetiva classificação no que respeita aos limites máximos de resíduos nos alimentos de origem animal</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shd w:val="clear" w:color="auto" w:fill="FFFFFF"/>
              </w:rPr>
            </w:pPr>
            <w:r>
              <w:rPr>
                <w:bCs/>
                <w:noProof/>
                <w:bdr w:val="none" w:sz="0" w:space="0" w:color="auto" w:frame="1"/>
                <w:shd w:val="clear" w:color="auto" w:fill="FFFFFF"/>
              </w:rPr>
              <w:t>Diretiva 2006/130/CE da Comissão, de 11 de dezembro de 2006, que aplica a Diretiva 2001/82/CE do Parlamento Europeu e do Conselho no que respeita ao estabelecimento de critérios de isenção de receita veterinária para determinados medicamentos veterinários para animais produtores de alimentos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Como especificado no anexo XVI</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shd w:val="clear" w:color="auto" w:fill="FFFFFF"/>
              </w:rPr>
            </w:pPr>
            <w:r>
              <w:rPr>
                <w:bCs/>
                <w:noProof/>
                <w:bdr w:val="none" w:sz="0" w:space="0" w:color="auto" w:frame="1"/>
                <w:shd w:val="clear" w:color="auto" w:fill="FFFFFF"/>
              </w:rPr>
              <w:t>Regulamento (CE) n.º 1662/95 da Comissão, de 7 de julho de 1995, que estatui determinadas normas de execução relativas a procedimentos decisionais comunitários no domínio da permissão de comercialização de medicamentos farmacêuticos ou veterinários </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Como especificado no anexo XVI</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bCs/>
                <w:noProof/>
                <w:szCs w:val="24"/>
                <w:bdr w:val="none" w:sz="0" w:space="0" w:color="auto" w:frame="1"/>
                <w:shd w:val="clear" w:color="auto" w:fill="FFFFFF"/>
              </w:rPr>
            </w:pPr>
            <w:r>
              <w:rPr>
                <w:bCs/>
                <w:noProof/>
                <w:bdr w:val="none" w:sz="0" w:space="0" w:color="auto" w:frame="1"/>
                <w:shd w:val="clear" w:color="auto" w:fill="FFFFFF"/>
              </w:rPr>
              <w:t>Regulamento (CE) n.º 469/2009 do Parlamento Europeu e do Conselho, de 6 de maio de 2009, relativo ao certificado complementar de proteção para os medicamentos (Versão codificada)</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Como especificado no anexo XVI</w:t>
            </w:r>
          </w:p>
        </w:tc>
      </w:tr>
    </w:tbl>
    <w:p>
      <w:pPr>
        <w:widowControl w:val="0"/>
        <w:spacing w:before="0" w:after="0" w:line="360" w:lineRule="auto"/>
        <w:jc w:val="left"/>
        <w:rPr>
          <w:caps/>
          <w:noProof/>
        </w:rPr>
      </w:pPr>
      <w:r>
        <w:rPr>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3418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B022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489B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D012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C280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23ED9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3E8CCE"/>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0DE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10:29: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da"/>
    <w:docVar w:name="LW_ACCOMPAGNANT.CP" w:val="da"/>
    <w:docVar w:name="LW_ANNEX_NBR_FIRST" w:val="1"/>
    <w:docVar w:name="LW_ANNEX_NBR_LAST" w:val="1"/>
    <w:docVar w:name="LW_CONFIDENCE" w:val=" "/>
    <w:docVar w:name="LW_CONST_RESTREINT_UE" w:val="RESTREINT UE"/>
    <w:docVar w:name="LW_CORRIGENDUM" w:val="&lt;UNUSED&gt;"/>
    <w:docVar w:name="LW_COVERPAGE_GUID" w:val="25F6D1FF4935401ABB329D3882784867"/>
    <w:docVar w:name="LW_CROSSREFERENCE" w:val="&lt;UNUSED&gt;"/>
    <w:docVar w:name="LW_DocType" w:val="ANNEX"/>
    <w:docVar w:name="LW_EMISSION" w:val="18.4.2016"/>
    <w:docVar w:name="LW_EMISSION_ISODATE" w:val="2016-04-18"/>
    <w:docVar w:name="LW_EMISSION_LOCATION" w:val="BRX"/>
    <w:docVar w:name="LW_EMISSION_PREFIX" w:val="Bruxelas, "/>
    <w:docVar w:name="LW_EMISSION_SUFFIX" w:val=" "/>
    <w:docVar w:name="LW_ID_DOCSTRUCTURE" w:val="COM/ANNEX"/>
    <w:docVar w:name="LW_ID_DOCTYPE" w:val="SG-017"/>
    <w:docVar w:name="LW_LANGUE" w:val="PT"/>
    <w:docVar w:name="LW_MARKING" w:val="&lt;UNUSED&gt;"/>
    <w:docVar w:name="LW_NOM.INST" w:val="COMISSÃO EUROPEIA"/>
    <w:docVar w:name="LW_NOM.INST_JOINTDOC" w:val="&lt;EMPTY&gt;"/>
    <w:docVar w:name="LW_OBJETACTEPRINCIPAL" w:val="relativa à posição a adotar, em nome da União Europeia, no Subcomité Sanitário e Fitossanitário criado pelo Acordo de Associação entre a União Europeia e a Comunidade Europeia da Energia Atómica e os seus Estados-Membros, por um lado, e a República da Moldávia, por outro "/>
    <w:docVar w:name="LW_OBJETACTEPRINCIPAL.CP" w:val="relativa à posição a adotar, em nome da União Europeia, no Subcomité Sanitário e Fitossanitário criado pelo Acordo de Associação entre a União Europeia e a Comunidade Europeia da Energia Atómica e os seus Estados-Membros, por um lado, e a República da Moldávia, por outro "/>
    <w:docVar w:name="LW_PART_NBR" w:val="1"/>
    <w:docVar w:name="LW_PART_NBR_TOTAL" w:val="1"/>
    <w:docVar w:name="LW_REF.INST.NEW" w:val="COM"/>
    <w:docVar w:name="LW_REF.INST.NEW_ADOPTED" w:val="final"/>
    <w:docVar w:name="LW_REF.INST.NEW_TEXT" w:val="(2016) 211"/>
    <w:docVar w:name="LW_REF.INTERNE" w:val="&lt;UNUSED&gt;"/>
    <w:docVar w:name="LW_SUPERTITRE" w:val="&lt;UNUSED&gt;"/>
    <w:docVar w:name="LW_TITRE.OBJ.CP" w:val="&lt;UNUSED&gt;"/>
    <w:docVar w:name="LW_TYPE.DOC" w:val="ANEXO"/>
    <w:docVar w:name="LW_TYPE.DOC.CP" w:val="ANEXO"/>
    <w:docVar w:name="LW_TYPEACTEPRINCIPAL" w:val="Proposta de Decisão do Conselh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27</Pages>
  <Words>9805</Words>
  <Characters>52463</Characters>
  <Application>Microsoft Office Word</Application>
  <DocSecurity>0</DocSecurity>
  <Lines>1220</Lines>
  <Paragraphs>622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MOLLER</dc:creator>
  <cp:lastModifiedBy>DIGIT/A3</cp:lastModifiedBy>
  <cp:revision>7</cp:revision>
  <cp:lastPrinted>2016-03-22T13:16:00Z</cp:lastPrinted>
  <dcterms:created xsi:type="dcterms:W3CDTF">2016-04-01T15:16:00Z</dcterms:created>
  <dcterms:modified xsi:type="dcterms:W3CDTF">2016-04-11T08:29:00Z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