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E1" w:rsidRDefault="00B52723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6EBED2265BAE4F1486F875B67DC2548A" style="width:450.25pt;height:471.75pt">
            <v:imagedata r:id="rId12" o:title=""/>
          </v:shape>
        </w:pict>
      </w:r>
    </w:p>
    <w:bookmarkEnd w:id="0"/>
    <w:p w:rsidR="00634EE1" w:rsidRDefault="00634EE1">
      <w:pPr>
        <w:pStyle w:val="Pagedecouverture"/>
        <w:rPr>
          <w:noProof/>
        </w:rPr>
        <w:sectPr w:rsidR="00634EE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634EE1" w:rsidRDefault="00B52723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lastRenderedPageBreak/>
              <w:t>Skeda tas-Sommarju Eżekuttiv</w:t>
            </w:r>
          </w:p>
        </w:tc>
      </w:tr>
      <w:tr w:rsidR="00634EE1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34EE1" w:rsidRDefault="00B52723">
            <w:pPr>
              <w:spacing w:before="120" w:after="12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</w:rPr>
              <w:t xml:space="preserve">Valutazzjoni tal-impatt dwar trasparenza ulterjuri tal-kumpaniji dwar it-taxxi fuq l-introjtu 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634EE1" w:rsidRDefault="00B52723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A. Bżonn għal azzjoni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 w:rsidR="00634EE1" w:rsidRDefault="00B52723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Għaliex? X'inhi l-problema li qiegħda tiġi indirizzata? 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634EE1" w:rsidRDefault="00B5272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Ambjent ta’ regoli tat-taxxa kumplessi u ta’ segretezza fiskali ppermetta li ċerti Intrapriżi Multinazzjonali (MNEs) jinvolvu ruħhom fi strateġiji ta’ ppjanar aggressiv tat-taxxa. Kuntrarjament għall-intrapriżi żgħar u ta’ daqs medju (SMEs) jew għall-kontr</w:t>
            </w:r>
            <w:r>
              <w:rPr>
                <w:rFonts w:ascii="Arial" w:hAnsi="Arial"/>
                <w:noProof/>
                <w:sz w:val="20"/>
              </w:rPr>
              <w:t xml:space="preserve">ibwenti individwali, l-MNEs għandhom il-kapaċità li jieħdu vantaġġ minn xquq fil-liġijiet tat-taxxa domestiċi u internazzjonali li jagħtuhom lok li jittrasferixxu l-profitti minn pajjiż għall-ieħor sabiex iħallsu anqas taxxi. Huwa stmat li l-pajjiżi fl-UE </w:t>
            </w:r>
            <w:r>
              <w:rPr>
                <w:rFonts w:ascii="Arial" w:hAnsi="Arial"/>
                <w:noProof/>
                <w:sz w:val="20"/>
              </w:rPr>
              <w:t xml:space="preserve">jitilfu EUR 50-70 biljun kull sena minħabba l-evitar tat-taxxa mill-MNEs. Rapporti reċenti żvelaw l-ammont ferm baxx ta’ taxxi mħallas minn ċerti MNEs li jpoġġi f’dubju kemm is-sistemi tat-taxxa fl-UE huma kumplessivament effiċjenti u ġusti. </w:t>
            </w:r>
          </w:p>
          <w:p w:rsidR="00634EE1" w:rsidRDefault="00634EE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34EE1" w:rsidRDefault="00B5272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Fuq livell i</w:t>
            </w:r>
            <w:r>
              <w:rPr>
                <w:rFonts w:ascii="Arial" w:hAnsi="Arial"/>
                <w:noProof/>
                <w:sz w:val="20"/>
              </w:rPr>
              <w:t>nternazzjonali, il-G20 approva l-inizjattiva tal-OECD/BEPS li kienet sussegwentement implimentata fl-UE permezz tal-Pakkett Kontra l-Evitar tat-Taxxa (PKET)</w:t>
            </w:r>
            <w:r>
              <w:rPr>
                <w:rStyle w:val="FootnoteReference"/>
                <w:rFonts w:ascii="Arial" w:hAnsi="Arial"/>
                <w:noProof/>
                <w:sz w:val="20"/>
              </w:rPr>
              <w:footnoteReference w:id="1"/>
            </w:r>
            <w:r>
              <w:rPr>
                <w:noProof/>
              </w:rPr>
              <w:t>.</w:t>
            </w:r>
            <w:r>
              <w:rPr>
                <w:rStyle w:val="FootnoteReference"/>
                <w:rFonts w:ascii="Arial" w:hAnsi="Arial"/>
                <w:noProof/>
                <w:sz w:val="20"/>
                <w:vertAlign w:val="baseline"/>
              </w:rPr>
              <w:t xml:space="preserve"> Din l-inizjattiva tirrikjedi d-divulgazzjoni tal-informazzjoni dwar is-CBCR l</w:t>
            </w:r>
            <w:r>
              <w:rPr>
                <w:rFonts w:ascii="Arial" w:hAnsi="Arial"/>
                <w:noProof/>
                <w:sz w:val="20"/>
              </w:rPr>
              <w:t>ill-</w:t>
            </w:r>
            <w:r>
              <w:rPr>
                <w:rStyle w:val="FootnoteReference"/>
                <w:rFonts w:ascii="Arial" w:hAnsi="Arial"/>
                <w:noProof/>
                <w:sz w:val="20"/>
                <w:vertAlign w:val="baseline"/>
              </w:rPr>
              <w:t xml:space="preserve"> awtoritajiet tat-taxxa </w:t>
            </w:r>
            <w:r>
              <w:rPr>
                <w:rFonts w:ascii="Arial" w:hAnsi="Arial"/>
                <w:noProof/>
                <w:sz w:val="20"/>
              </w:rPr>
              <w:t xml:space="preserve">biss </w:t>
            </w:r>
            <w:r>
              <w:rPr>
                <w:rStyle w:val="FootnoteReference"/>
                <w:rFonts w:ascii="Arial" w:hAnsi="Arial"/>
                <w:noProof/>
                <w:sz w:val="20"/>
                <w:vertAlign w:val="baseline"/>
              </w:rPr>
              <w:t>bl-għan li tkun ż</w:t>
            </w:r>
            <w:r>
              <w:rPr>
                <w:rFonts w:ascii="Arial" w:hAnsi="Arial"/>
                <w:noProof/>
                <w:sz w:val="20"/>
              </w:rPr>
              <w:t xml:space="preserve">gurata konformità ulterjuri tal-MNEs mal-liġijiet nazzjonali tat-taxxa. </w:t>
            </w:r>
          </w:p>
          <w:p w:rsidR="00634EE1" w:rsidRDefault="00634EE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34EE1" w:rsidRDefault="00B5272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In-nuqqas ta’ skrutinju pubbliku ġie identifikat bħala l-problema li għandha tiġi indirizzata. Skrutinju pubbliku permezz ta’ trasparenz</w:t>
            </w:r>
            <w:r>
              <w:rPr>
                <w:rFonts w:ascii="Arial" w:hAnsi="Arial"/>
                <w:noProof/>
                <w:sz w:val="20"/>
              </w:rPr>
              <w:t xml:space="preserve">a akbar mill-MNEs ikun għodda addizzjonali li tippermetti li tiġi miġġielda l-erożjoni tal-bażi u t-trasferiment tal-profitti, billi jissejjes fuq l-effetti fuq ir-reputazzjoni u fuq id-dibattiti demokratiċi. 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34EE1" w:rsidRDefault="00B52723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Din l-inizjattiva, x’inhu mistenni li tikseb?</w:t>
            </w:r>
            <w:r>
              <w:rPr>
                <w:rFonts w:ascii="Tahoma" w:hAnsi="Tahoma"/>
                <w:b/>
                <w:noProof/>
                <w:sz w:val="20"/>
              </w:rPr>
              <w:t xml:space="preserve"> 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634EE1" w:rsidRDefault="00B5272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L-objettiv ġenerali ta’ din l-inizjattiva huwa li tinkiseb trasparenza pubblika ulterjuri dwar it-taxxi fuq l-introjtu tal-kumpaniji bis-saħħa ta’ rapportar għal kull pajjiż (CBCR, country-by-country reporting) li għandu jiġi ppubblikat mill-MNEs. Billi</w:t>
            </w:r>
            <w:r>
              <w:rPr>
                <w:rFonts w:ascii="Arial" w:hAnsi="Arial"/>
                <w:noProof/>
                <w:sz w:val="20"/>
              </w:rPr>
              <w:t xml:space="preserve"> tippromovi divulgazzjoni akbar tal-informazzjoni relatata mat-taxxa, l-inizjattiva tfittex li 1) tallinja ġeografikament it-taxxi fuq l-introjtu tal-kumpaniji mal-attività ekonomika reali; 2) tħeġġeġ ir-responsabbiltà soċjali korporattiva sabiex tikkontri</w:t>
            </w:r>
            <w:r>
              <w:rPr>
                <w:rFonts w:ascii="Arial" w:hAnsi="Arial"/>
                <w:noProof/>
                <w:sz w:val="20"/>
              </w:rPr>
              <w:t xml:space="preserve">bwixxi għall-benessri bis-saħħa tat-taxxi, u 3) tippromovi l-kompetizzjoni aktar ġusta tat-taxxi fl-UE permezz ta’ dibattitu demokratiku msejjes fuq l-informazzjoni dwar kif għandu jinstab rimedju għan-nuqqasijiet tas-suq u għan-nuqqasijiet regolatorji. 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34EE1" w:rsidRDefault="00B52723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X’inhu l-valur miżjud tal-azzjoni fil-livell tal-UE?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634EE1" w:rsidRDefault="00B5272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Minħabba n-natura transfruntiera tad-diversi prattiki tat-taxxa, attivitajiet u arranġamenti għad-dispożizzjoni tal-gruppi ta’ MNEs, il-leġiżlazzjoni nazzjonali taf ma tkunx biżżejjed biex tindirizza l</w:t>
            </w:r>
            <w:r>
              <w:rPr>
                <w:rFonts w:ascii="Arial" w:hAnsi="Arial"/>
                <w:noProof/>
                <w:sz w:val="20"/>
              </w:rPr>
              <w:t>-isfidi assoċjati mal-erożjoni tal-bażi u mat-trasferiment tal-profitti.</w:t>
            </w:r>
          </w:p>
        </w:tc>
      </w:tr>
    </w:tbl>
    <w:p w:rsidR="00634EE1" w:rsidRDefault="00634EE1">
      <w:pPr>
        <w:rPr>
          <w:noProof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634EE1" w:rsidRDefault="00B52723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B. Soluzzjonijiet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34EE1" w:rsidRDefault="00B52723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Liema għażliet politiċi leġiżlattivi u mhux leġiżlattivi ġew ikkunsidrati? Hemm jew ma hemmx għażla ta’ preferenza? Għaliex?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634EE1" w:rsidRDefault="00B5272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Ġew ikkunsidrati għażliet politiċi </w:t>
            </w:r>
            <w:r>
              <w:rPr>
                <w:rFonts w:ascii="Arial" w:hAnsi="Arial"/>
                <w:noProof/>
                <w:sz w:val="20"/>
              </w:rPr>
              <w:t>differenti minn dik ta’ sistema ta’ mmarkar li l-MNEs jistgħu jissieħbu fiha fuq bażi volontarja għal sistemi obbligatorji ta’ rapportar. Il-mistoqsijiet ewlenin miflija mill-Kummissjoni kienu kif ġej: CBCR pubbliku għandu jkopri operazzjonijiet ikkontroll</w:t>
            </w:r>
            <w:r>
              <w:rPr>
                <w:rFonts w:ascii="Arial" w:hAnsi="Arial"/>
                <w:noProof/>
                <w:sz w:val="20"/>
              </w:rPr>
              <w:t>ati mill-UE jew l-operazzjonijiet kollha madwar id-dinja? L-informazzjoni rrapportata għandha tinqasam biss għall-Istati Membri tal-UE jew għall-pajjiżi terzi wkoll? X’għandu jkun il-kamp ta’ applikazzjoni tal-kopertura: kumpaniji kbar (minn tal-anqas 20 0</w:t>
            </w:r>
            <w:r>
              <w:rPr>
                <w:rFonts w:ascii="Arial" w:hAnsi="Arial"/>
                <w:noProof/>
                <w:sz w:val="20"/>
              </w:rPr>
              <w:t>00 gruppi fl-UE) jew kumpaniji kbar ħafna biss (minn tal-anqas 1 900 grupp fl-UE / 6 500 grupp madwar id-dinja)? Fl-aħħar nett, l-informazzjoni ddivulgata għandha tkun limitata għal informazzjoni bażika (taxxa fuq l-introjtu mħallsa, taxxa fuq l-introjtu a</w:t>
            </w:r>
            <w:r>
              <w:rPr>
                <w:rFonts w:ascii="Arial" w:hAnsi="Arial"/>
                <w:noProof/>
                <w:sz w:val="20"/>
              </w:rPr>
              <w:t>kkumulata) jew għandha tkopri wkoll informazzjoni kuntestwali (fatturat, profitt qabel it-taxxa, u l-għadd ta’ impjegati)?</w:t>
            </w:r>
            <w:r>
              <w:rPr>
                <w:noProof/>
              </w:rPr>
              <w:tab/>
            </w:r>
          </w:p>
          <w:p w:rsidR="00634EE1" w:rsidRDefault="00634EE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34EE1" w:rsidRDefault="00B5272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L-għażla ta’ preferenza, li hija r-riżultat ta’ din il-valutazzjoni tal-impatt, hija li s-CBCR pubbliku obbligatorju għandu jitħejj</w:t>
            </w:r>
            <w:r>
              <w:rPr>
                <w:rFonts w:ascii="Arial" w:hAnsi="Arial"/>
                <w:noProof/>
                <w:sz w:val="20"/>
              </w:rPr>
              <w:t>a mill-MNEs kollha fl-UE u mhux fl-UE b’attivitajiet fl-UE u fatturat ikkonsolidat ’il fuq minn EUR 750 miljun. L-informazzjoni għandha tinqasam skont l-Istat Membru tal-UE u tkun aggregata għall-bqija tad-dinja. It-</w:t>
            </w:r>
            <w:r>
              <w:rPr>
                <w:rFonts w:ascii="Arial" w:hAnsi="Arial"/>
                <w:noProof/>
                <w:sz w:val="20"/>
              </w:rPr>
              <w:lastRenderedPageBreak/>
              <w:t>tip ta’ informazzjoni li għandha tiġi dd</w:t>
            </w:r>
            <w:r>
              <w:rPr>
                <w:rFonts w:ascii="Arial" w:hAnsi="Arial"/>
                <w:noProof/>
                <w:sz w:val="20"/>
              </w:rPr>
              <w:t>ivulgata tkun tinkludi taxxa fuq l-introjtu mħallsa u akkumulata kif ukoll informazzjoni oħra kuntestwali: in-natura tal-attivitajiet, il-fatturat, l-għadd ta’ impjegati, il-profitt qabel it-taxxa. Din l-għażla tista’ titħaddem sew flimkien mal-inizjattivi</w:t>
            </w:r>
            <w:r>
              <w:rPr>
                <w:rFonts w:ascii="Arial" w:hAnsi="Arial"/>
                <w:noProof/>
                <w:sz w:val="20"/>
              </w:rPr>
              <w:t xml:space="preserve"> internazzjonali bħall-iskema tal-OECD BEPS trasposta fl-UE permezz tal-Pakkett Kontra l-Evitar tat-Taxxa (PKET). L-għażla ta’ preferenza twieġeb għat-tħassib tal-partijiet ikkonċernati rigward id-distorsjonijiet fis-suq uniku mingħajr ma tikkomprometti l-</w:t>
            </w:r>
            <w:r>
              <w:rPr>
                <w:rFonts w:ascii="Arial" w:hAnsi="Arial"/>
                <w:noProof/>
                <w:sz w:val="20"/>
              </w:rPr>
              <w:t>kompetittività tal-UE, tikkawża piż amministrattiv indebitu jew tiġġenera kunflitti ulterjuri ta’ taxxa u r-riskju ta’ tassazzjoni doppja.</w:t>
            </w:r>
          </w:p>
        </w:tc>
      </w:tr>
      <w:tr w:rsidR="00634EE1">
        <w:tc>
          <w:tcPr>
            <w:tcW w:w="10188" w:type="dxa"/>
            <w:shd w:val="clear" w:color="auto" w:fill="CCCCCC"/>
          </w:tcPr>
          <w:p w:rsidR="00634EE1" w:rsidRDefault="00B52723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lastRenderedPageBreak/>
              <w:t>Id-diversi għażliet minn min huma appoġġati?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634EE1">
        <w:tc>
          <w:tcPr>
            <w:tcW w:w="10188" w:type="dxa"/>
            <w:shd w:val="clear" w:color="auto" w:fill="auto"/>
          </w:tcPr>
          <w:p w:rsidR="00634EE1" w:rsidRDefault="00B5272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L-NGOs u organizzazzjonijiet oħra tas-soċjetà ċivili jappoġġaw CBCR </w:t>
            </w:r>
            <w:r>
              <w:rPr>
                <w:rFonts w:ascii="Arial" w:hAnsi="Arial"/>
                <w:noProof/>
                <w:sz w:val="20"/>
              </w:rPr>
              <w:t>pubbliku estiż kemm jista’ jkun f’termini ta’ informazzjoni provduta u dettalji għal kull pajjiż. Fil-fehma tagħhom, il-monitoraġġ tal-prattiki tat-taxxa jippromovi r-responsabbiltà korporattiva u soċjali, isaħħaħ il-proċess demokratiku u għandu mnejn iħeġ</w:t>
            </w:r>
            <w:r>
              <w:rPr>
                <w:rFonts w:ascii="Arial" w:hAnsi="Arial"/>
                <w:noProof/>
                <w:sz w:val="20"/>
              </w:rPr>
              <w:t>ġeġ lill-MNEs biex jallokaw mill-ġdid il-bażijiet tat-taxxa tagħhom b’mod aktar ġust.</w:t>
            </w:r>
          </w:p>
          <w:p w:rsidR="00634EE1" w:rsidRDefault="00634EE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34EE1" w:rsidRDefault="00B5272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In-negozji jinsabu mħassba dwar ir-riskji li d-divulgazzjoni ta’ informazzjoni sensittiva lill-kompetituri ssir minn naħa waħda biss, dwar il-piż amministrattiv u dwar i</w:t>
            </w:r>
            <w:r>
              <w:rPr>
                <w:rFonts w:ascii="Arial" w:hAnsi="Arial"/>
                <w:noProof/>
                <w:sz w:val="20"/>
              </w:rPr>
              <w:t xml:space="preserve">r-riskji ta’ tassazzjoni doppja. Ħafna minnhom jappellaw biex is-CBCR jibqa’ biss għad-dispożizzjoni tal-awtoritajiet tat-taxxa fl-ambitu tal-iskema tal-G20/OECD BEPS.  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634EE1" w:rsidRDefault="00B52723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C. Impatti tal-għażla ta’ preferenza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34EE1" w:rsidRDefault="00B52723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X’inhuma l-benefiċċji tal-għażla ta’ </w:t>
            </w:r>
            <w:r>
              <w:rPr>
                <w:rFonts w:ascii="Tahoma" w:hAnsi="Tahoma"/>
                <w:b/>
                <w:noProof/>
                <w:sz w:val="20"/>
              </w:rPr>
              <w:t>preferenza?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634EE1" w:rsidRDefault="00B52723">
            <w:pPr>
              <w:jc w:val="both"/>
              <w:rPr>
                <w:rFonts w:ascii="Arial" w:hAnsi="Arial" w:cs="Arial"/>
                <w:i/>
                <w:iCs/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Huma mistennija benefiċċji sinifikanti għall-kumpaniji u xi impatti ekonomiċi pożittivi frott l-għażla ta’ preferenza. Din tabilħaqq se twieġeb għad-domanda akbar għat-trasparenza fil-kwistjonijiet ta’ taxxa tal-gruppi ta’ MNEs. Tista’ wkoll tikkontribwixx</w:t>
            </w:r>
            <w:r>
              <w:rPr>
                <w:rFonts w:ascii="Arial" w:hAnsi="Arial"/>
                <w:noProof/>
                <w:sz w:val="20"/>
              </w:rPr>
              <w:t xml:space="preserve">i għal żieda fil-fiduċja tal-pubbliku f’kemm is-sistemi tat-taxxa huma ġusti. </w:t>
            </w:r>
          </w:p>
          <w:p w:rsidR="00634EE1" w:rsidRDefault="00634EE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34EE1" w:rsidRDefault="00B5272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Barra minn hekk, it-trasparenza pubblika ttejjeb ir-responsabbiltà korporattiva tal-kumpaniji billi l-kontribuzzjoni tagħhom tat-taxxa għall-ġid lokali toħroġ fil-pubbliku. B’d</w:t>
            </w:r>
            <w:r>
              <w:rPr>
                <w:rFonts w:ascii="Arial" w:hAnsi="Arial"/>
                <w:noProof/>
                <w:sz w:val="20"/>
              </w:rPr>
              <w:t>an il-mod, dan jista’ jagħti inċentiv lill-kumpaniji biex iħallsu t-taxxa fil-post li fih verament jagħmlu l-profitti. Fl-aħħar nett, permezz ta’ dibattitu demokratiku msejjes fuq aktar informazzjoni, l-inizjattiva tikkontribwixxi għall-promozzjoni ta’ kom</w:t>
            </w:r>
            <w:r>
              <w:rPr>
                <w:rFonts w:ascii="Arial" w:hAnsi="Arial"/>
                <w:noProof/>
                <w:sz w:val="20"/>
              </w:rPr>
              <w:t>petizzjoni tat-taxxa aktar ġusta fl-UE.</w:t>
            </w:r>
          </w:p>
          <w:p w:rsidR="00634EE1" w:rsidRDefault="00634EE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34EE1" w:rsidRDefault="00B5272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Trasparenza ulterjuri tat-taxxa korporattiva mhijiex mistennija li jkollha impatt sinifikanti fuq it-tkabbir u l-impjiegi fl-UE. 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34EE1" w:rsidRDefault="00B52723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X’inhuma l-kostijiet tal-għażla ta’ preferenza?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634EE1" w:rsidRDefault="00B52723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F’termini ta’ impatt ekonomiku, l-</w:t>
            </w:r>
            <w:r>
              <w:rPr>
                <w:rFonts w:ascii="Arial" w:hAnsi="Arial"/>
                <w:noProof/>
                <w:sz w:val="20"/>
              </w:rPr>
              <w:t>għażla ta’ preferenza ma timponi l-ebda kost sinifikanti u lanqas tqiegħed xi piż amministrattiv billi l-gruppi kbar ħafna ta’ MNEs se jkollhom jissottomettu CBCR lill-awtoritajiet tat-taxxa skont ir-reviżjoni reċenti tad-Direttiva dwar il-Kooperazzjoni Am</w:t>
            </w:r>
            <w:r>
              <w:rPr>
                <w:rFonts w:ascii="Arial" w:hAnsi="Arial"/>
                <w:noProof/>
                <w:sz w:val="20"/>
              </w:rPr>
              <w:t xml:space="preserve">ministrattiva. L-MNEs se jkunu jistgħu jħejju s-CBCR pubbliku tagħhom abbażi ta’ dawn is-sottomissjonijiet. Permezz ta’ din l-inizjattiva l-gruppi kbar ħafna ta’ MNEs kollha jkollhom l-istess rekwiżit ta’ divulgazzjoni kemm jekk stabbiliti fl-UE kif ukoll </w:t>
            </w:r>
            <w:r>
              <w:rPr>
                <w:rFonts w:ascii="Arial" w:hAnsi="Arial"/>
                <w:noProof/>
                <w:sz w:val="20"/>
              </w:rPr>
              <w:t>jekk f’pajjiż terz. Il-kompetittività tal-MNEs għaldaqstant mhijiex se tintlaqat. Ir-riskju li jiġu ġġenerati aktar kunflitti ta’ taxxa u tassazzjoni doppja permezz ta’ CBCR li kull awtorità tat-taxxa tista’ liberament tuża jkun limitat billi l-informazzjo</w:t>
            </w:r>
            <w:r>
              <w:rPr>
                <w:rFonts w:ascii="Arial" w:hAnsi="Arial"/>
                <w:noProof/>
                <w:sz w:val="20"/>
              </w:rPr>
              <w:t>ni dwar it-taxxa tkun maqsuma biss fl-UE fejn hemm fis-seħħ mekkaniżmi ta’ riżoluzzjoni tat-tilwim aktar effiċjenti. Din l-inizjattiva mhijiex mistennija li jkollha impatti soċjali jew ambjentali negattivi.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34EE1" w:rsidRDefault="00B52723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In-negozji, l-SMEs u l-mikrointrapriżi, kif se j</w:t>
            </w:r>
            <w:r>
              <w:rPr>
                <w:rFonts w:ascii="Tahoma" w:hAnsi="Tahoma"/>
                <w:b/>
                <w:noProof/>
                <w:sz w:val="20"/>
              </w:rPr>
              <w:t xml:space="preserve">intlaqtu? 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634EE1" w:rsidRDefault="00B52723">
            <w:pPr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FIl-mira tal-miżura hemm biss l-MNEs li huma l-aktar mgħammra biex jinvolvu ruħhom f’attivitajiet ta’ ppjanar tat-taxxa, jiġifieri intrapriżi li l-fatturat ikkonsolidat tagħhom jaqbeż is-EUR 750 miljun.</w:t>
            </w:r>
          </w:p>
          <w:p w:rsidR="00634EE1" w:rsidRDefault="00B52723">
            <w:pPr>
              <w:spacing w:before="60"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Sabiex ikopru l-MNEs li huma stabbiliti </w:t>
            </w:r>
            <w:r>
              <w:rPr>
                <w:rFonts w:ascii="Arial" w:hAnsi="Arial"/>
                <w:noProof/>
                <w:sz w:val="20"/>
              </w:rPr>
              <w:t>f’pajjiż terz, uħud mis-sussidjarji jew fergħat tagħhom fl-UE xorta waħda se jkollhom obbligi ġodda. Dawn huma s-sussidjarji ta’ daqs medju u kbir, jew inkella l-fergħat ta’ daqs paragunabbli. Se jkollhom id-dmir li jippubblikaw fl-UE s-CBCR imfassal mill-</w:t>
            </w:r>
            <w:r>
              <w:rPr>
                <w:rFonts w:ascii="Arial" w:hAnsi="Arial"/>
                <w:noProof/>
                <w:sz w:val="20"/>
              </w:rPr>
              <w:t>intrapriża prinċipali apikali tagħhom.</w:t>
            </w:r>
            <w:r>
              <w:rPr>
                <w:noProof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 xml:space="preserve">Inkella, hija prevista għażla li fiha l-MNEs mhux fl-UE jkunu jistgħu jinnominaw sussidjarja jew fergħa waħda fl-UE li jkollha d-dmir li tippubblika s-CBCR. 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34EE1" w:rsidRDefault="00B52723"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Se jkun hemm impatti sinifikanti fuq il-baġits u fuq l-amm</w:t>
            </w:r>
            <w:r>
              <w:rPr>
                <w:rFonts w:ascii="Tahoma" w:hAnsi="Tahoma"/>
                <w:b/>
                <w:noProof/>
                <w:sz w:val="20"/>
              </w:rPr>
              <w:t>inistrazzjonijiet nazzjonali?</w:t>
            </w:r>
          </w:p>
        </w:tc>
      </w:tr>
      <w:tr w:rsidR="00634EE1">
        <w:tc>
          <w:tcPr>
            <w:tcW w:w="10188" w:type="dxa"/>
            <w:shd w:val="clear" w:color="auto" w:fill="auto"/>
          </w:tcPr>
          <w:p w:rsidR="00634EE1" w:rsidRDefault="00B5272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L-impatt fuq l-ammont ta’ taxxa fuq l-introjtu mħallsa mill-MNEs mhuwiex fiċ-ċert iżda din l-inizjattiva se tagħti inċentivi addizzjonali lill-MNEs biex iħallsu t-taxxa fejn fil-fatt jagħmlu l-profitt. Apparti minn hekk, l-is</w:t>
            </w:r>
            <w:r>
              <w:rPr>
                <w:rFonts w:ascii="Arial" w:hAnsi="Arial"/>
                <w:noProof/>
                <w:sz w:val="20"/>
              </w:rPr>
              <w:t>krutinju pubbliku se jagħti lok għal dibattitu demokratiku msejjes fuq informazzjoni aħjar dwar il-kawżi u l-konsegwenzi tal-ippjanar aggressiv tat-taxxa li jista' jipprevjeni diskrepanzi, lakuni u miżuri dannużi ta’ tassazzjoni.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34EE1" w:rsidRDefault="00B52723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Se jkun hemm impatti oħra</w:t>
            </w:r>
            <w:r>
              <w:rPr>
                <w:rFonts w:ascii="Tahoma" w:hAnsi="Tahoma"/>
                <w:b/>
                <w:noProof/>
                <w:sz w:val="20"/>
              </w:rPr>
              <w:t xml:space="preserve"> sinifikanti?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634EE1" w:rsidRDefault="00B5272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Le – mhuwa mistenni l-ebda impatt ieħor. </w:t>
            </w:r>
          </w:p>
        </w:tc>
      </w:tr>
    </w:tbl>
    <w:p w:rsidR="00B52723" w:rsidRDefault="00B52723">
      <w:r>
        <w:br w:type="page"/>
      </w:r>
      <w:bookmarkStart w:id="1" w:name="_GoBack"/>
      <w:bookmarkEnd w:id="1"/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 w:rsidR="00634EE1" w:rsidRDefault="00B52723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D. Segwitu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634EE1" w:rsidRDefault="00B52723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Meta se jsir rieżami tal-politika? </w:t>
            </w:r>
          </w:p>
        </w:tc>
      </w:tr>
      <w:tr w:rsidR="00634EE1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634EE1" w:rsidRDefault="00B52723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Il-Kummissjoni se tagħmel monitoraġġ tal-implimentazzjoni tal-politika f’kooperazzjoni mal-Istati Membri. L-ewwel evalwazzjonijiet għandhom isiru ftit tas-snin wara li l-kumpaniji jibdew jippubblikaw ir-rapporti tagħhom għal kull pajjiż. Il-konklużjonijiet</w:t>
            </w:r>
            <w:r>
              <w:rPr>
                <w:rFonts w:ascii="Tahoma" w:hAnsi="Tahoma"/>
                <w:noProof/>
                <w:sz w:val="20"/>
              </w:rPr>
              <w:t xml:space="preserve"> jistgħu jsawru l-bażi ta’ rapport li jintbagħat lill-Parlament u lill-Kunsill fiż-żmien xieraq. </w:t>
            </w:r>
          </w:p>
        </w:tc>
      </w:tr>
    </w:tbl>
    <w:p w:rsidR="00634EE1" w:rsidRDefault="00634EE1">
      <w:pPr>
        <w:widowControl w:val="0"/>
        <w:rPr>
          <w:noProof/>
        </w:rPr>
      </w:pPr>
    </w:p>
    <w:sectPr w:rsidR="00634EE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E1" w:rsidRDefault="00B52723">
      <w:r>
        <w:separator/>
      </w:r>
    </w:p>
  </w:endnote>
  <w:endnote w:type="continuationSeparator" w:id="0">
    <w:p w:rsidR="00634EE1" w:rsidRDefault="00B5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E1" w:rsidRDefault="00634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E1" w:rsidRDefault="00B52723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MT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E1" w:rsidRDefault="00634EE1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E1" w:rsidRDefault="00634EE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4EE1" w:rsidRDefault="00B52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E1" w:rsidRDefault="00634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E1" w:rsidRDefault="00B52723">
      <w:r>
        <w:separator/>
      </w:r>
    </w:p>
  </w:footnote>
  <w:footnote w:type="continuationSeparator" w:id="0">
    <w:p w:rsidR="00634EE1" w:rsidRDefault="00B52723">
      <w:r>
        <w:continuationSeparator/>
      </w:r>
    </w:p>
  </w:footnote>
  <w:footnote w:id="1">
    <w:p w:rsidR="00634EE1" w:rsidRDefault="00B52723">
      <w:pPr>
        <w:pStyle w:val="FootnoteText"/>
        <w:ind w:left="709" w:hanging="709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Kummissjoni Ewropea, </w:t>
      </w:r>
      <w:hyperlink r:id="rId1">
        <w:r>
          <w:rPr>
            <w:rStyle w:val="Hyperlink"/>
          </w:rPr>
          <w:t>Pakkett Kontra l-</w:t>
        </w:r>
        <w:proofErr w:type="spellStart"/>
        <w:r>
          <w:rPr>
            <w:rStyle w:val="Hyperlink"/>
          </w:rPr>
          <w:t>Evitar</w:t>
        </w:r>
        <w:proofErr w:type="spellEnd"/>
        <w:r>
          <w:rPr>
            <w:rStyle w:val="Hyperlink"/>
          </w:rPr>
          <w:t xml:space="preserve"> tat-Taxxa</w:t>
        </w:r>
      </w:hyperlink>
      <w:r>
        <w:t>, it-28 ta’ Jannar 2016. Dan il-pakkett jipproponi fost l-oħrajn biex tiġi riveduta d-Direttiva dwar il-Kooperazzjon</w:t>
      </w:r>
      <w:r>
        <w:t xml:space="preserve">i Amministrattiva biex tinkludi </w:t>
      </w:r>
      <w:proofErr w:type="spellStart"/>
      <w:r>
        <w:t>rapportar</w:t>
      </w:r>
      <w:proofErr w:type="spellEnd"/>
      <w:r>
        <w:t xml:space="preserve"> għal kull pajjiż li għandu jsir fi skambju bejn l-awtoritajiet tat-taxxa tal-Istati Membri dwar informazzjoni ewlenija relatata mat-taxxa sottomessa mill-</w:t>
      </w:r>
      <w:proofErr w:type="spellStart"/>
      <w:r>
        <w:t>MNEs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E1" w:rsidRDefault="00634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E1" w:rsidRDefault="00634EE1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E1" w:rsidRDefault="00634EE1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E1" w:rsidRDefault="00634EE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E1" w:rsidRDefault="00634EE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E1" w:rsidRDefault="00634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62D4"/>
    <w:multiLevelType w:val="hybridMultilevel"/>
    <w:tmpl w:val="437A12F6"/>
    <w:lvl w:ilvl="0" w:tplc="2904E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1EFB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2A4AC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Li jakkumpanja d-dokument"/>
    <w:docVar w:name="LW_CONFIDENCE" w:val=" "/>
    <w:docVar w:name="LW_CONST_RESTREINT_UE" w:val="RESTREINT UE"/>
    <w:docVar w:name="LW_CORRIGENDUM" w:val="&lt;UNUSED&gt;"/>
    <w:docVar w:name="LW_COVERPAGE_GUID" w:val="6EBED2265BAE4F1486F875B67DC2548A"/>
    <w:docVar w:name="LW_CROSSREFERENCE" w:val="{COM(2016) 198 final}_x000b_{SWD(2016) 117 final}"/>
    <w:docVar w:name="LW_DATE.ADOPT.CP_ISODATE" w:val="&lt;EMPTY&gt;"/>
    <w:docVar w:name="LW_DocType" w:val="NORMAL"/>
    <w:docVar w:name="LW_EMISSION" w:val="12.4.2016"/>
    <w:docVar w:name="LW_EMISSION_ISODATE" w:val="2016-04-12"/>
    <w:docVar w:name="LW_EMISSION_LOCATION" w:val="STR"/>
    <w:docVar w:name="LW_EMISSION_PREFIX" w:val="Strasburgu, "/>
    <w:docVar w:name="LW_EMISSION_SUFFIX" w:val=" "/>
    <w:docVar w:name="LW_ID_DOCTYPE_NONLW" w:val="CP-027"/>
    <w:docVar w:name="LW_INTERETEEE.CP" w:val="&lt;UNUSED&gt;"/>
    <w:docVar w:name="LW_LANGUE" w:val="MT"/>
    <w:docVar w:name="LW_LANGUESFAISANTFOI.CP" w:val="&lt;UNUSED&gt;"/>
    <w:docVar w:name="LW_MARKING" w:val="&lt;UNUSED&gt;"/>
    <w:docVar w:name="LW_NOM.INST" w:val="IL-KUMMISSJONI EWROPEA"/>
    <w:docVar w:name="LW_NOM.INST_JOINTDOC" w:val="&lt;EMPTY&gt;"/>
    <w:docVar w:name="LW_OBJETACTEPRINCIPAL.CP" w:val="li temenda d-Direttiva 2013/34/UE fir-rigward tad-divulgazzjoni tal-informazzjoni dwar it-taxxa fuq l-introjtu minn \u267?erti intrapri\u380?i u ferg\u295?at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6"/>
    <w:docVar w:name="LW_REF.INST.NEW" w:val="SWD"/>
    <w:docVar w:name="LW_REF.INST.NEW_ADOPTED" w:val="final"/>
    <w:docVar w:name="LW_REF.INST.NEW_TEXT" w:val="(2016) 118"/>
    <w:docVar w:name="LW_REF.INTERNE" w:val="&lt;UNUSED&gt;"/>
    <w:docVar w:name="LW_SOUS.TITRE.OBJ.CP" w:val="&lt;UNUSED&gt;"/>
    <w:docVar w:name="LW_SUPERTITRE" w:val="&lt;UNUSED&gt;"/>
    <w:docVar w:name="LW_TITRE.OBJ.CP" w:val="li jivvaluta l-potenzjal g\u295?al trasparenza ulterjuri dwar informazzjoni rigward it-taxxa fuq l-introjtu"/>
    <w:docVar w:name="LW_TYPE.DOC.CP" w:val="DOKUMENT TA\u8217? \u294?IDMA TAL-PERSUNAL TAL-KUMMISSJONI_x000b__x000b_SOMMARJU E\u379?EKUTTIV TAL-VALUTAZZJONI TAL-IMPATT_x000b_"/>
    <w:docVar w:name="LW_TYPEACTEPRINCIPAL.CP" w:val="Proposta g\u295?al Direttiva tal-Parlament Ewropew u tal-Kunsill"/>
  </w:docVars>
  <w:rsids>
    <w:rsidRoot w:val="00634EE1"/>
    <w:rsid w:val="00634EE1"/>
    <w:rsid w:val="00B5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mt-M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mt-M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40"/>
      <w:ind w:left="720"/>
      <w:contextualSpacing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mt-MT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mt-M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mt-M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40"/>
      <w:ind w:left="720"/>
      <w:contextualSpacing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mt-MT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taxation_customs/taxation/company_tax/anti_tax_avoidance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DCF41F10D214DBDDF7E1F5EB8F7C1" ma:contentTypeVersion="1" ma:contentTypeDescription="Create a new document." ma:contentTypeScope="" ma:versionID="4d11a2104eb79e191fab213970d36f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28E3-FEEC-429F-8C93-CFCC37DE565D}">
  <ds:schemaRefs>
    <ds:schemaRef ds:uri="http://schemas.microsoft.com/sharepoint/v3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588CBB-D78F-412D-9B35-4671E1A4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0A124-E489-489C-BBF6-83D66964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1274</Words>
  <Characters>8348</Characters>
  <Application>Microsoft Office Word</Application>
  <DocSecurity>0</DocSecurity>
  <Lines>333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23</cp:revision>
  <cp:lastPrinted>2016-03-21T15:16:00Z</cp:lastPrinted>
  <dcterms:created xsi:type="dcterms:W3CDTF">2016-03-21T12:17:00Z</dcterms:created>
  <dcterms:modified xsi:type="dcterms:W3CDTF">2016-04-19T08:25:00Z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  <property fmtid="{D5CDD505-2E9C-101B-9397-08002B2CF9AE}" pid="6" name="Order">
    <vt:r8>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NewReviewCycle">
    <vt:lpwstr/>
  </property>
  <property fmtid="{D5CDD505-2E9C-101B-9397-08002B2CF9AE}" pid="10" name="ContentTypeId">
    <vt:lpwstr>0x010100AB6DCF41F10D214DBDDF7E1F5EB8F7C1</vt:lpwstr>
  </property>
  <property fmtid="{D5CDD505-2E9C-101B-9397-08002B2CF9AE}" pid="11" name="TemplateUrl">
    <vt:lpwstr/>
  </property>
</Properties>
</file>