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3855AC04471419EB33EB7BB6E4EB971" style="width:450.7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LISA</w:t>
      </w:r>
    </w:p>
    <w:p>
      <w:pPr>
        <w:pStyle w:val="Accompagnant"/>
        <w:rPr>
          <w:noProof/>
        </w:rPr>
      </w:pPr>
      <w:r>
        <w:rPr>
          <w:noProof/>
        </w:rPr>
        <w:t>järgmise dokumendi juurde:</w:t>
      </w:r>
    </w:p>
    <w:p>
      <w:pPr>
        <w:pStyle w:val="Typeacteprincipal"/>
        <w:rPr>
          <w:noProof/>
        </w:rPr>
      </w:pPr>
      <w:r>
        <w:rPr>
          <w:noProof/>
        </w:rPr>
        <w:t xml:space="preserve">Ettepanek: </w:t>
      </w:r>
    </w:p>
    <w:p>
      <w:pPr>
        <w:pStyle w:val="Objetacteprincipal"/>
        <w:rPr>
          <w:noProof/>
        </w:rPr>
      </w:pPr>
      <w:r>
        <w:rPr>
          <w:noProof/>
        </w:rPr>
        <w:t>EUROOPA PARLAMENDI JA NÕUKOGU MÄÄRUS,</w:t>
      </w:r>
      <w:r>
        <w:rPr>
          <w:noProof/>
        </w:rPr>
        <w:br/>
        <w:t>millega muudetakse määrust (EL) nr 2016/399 riiki sisenemise ja riigist lahkumise süsteemi kasutamise osas</w:t>
      </w:r>
    </w:p>
    <w:p>
      <w:pPr>
        <w:pStyle w:val="Objetacteprincipal"/>
        <w:rPr>
          <w:b w:val="0"/>
          <w:i/>
          <w:noProof/>
        </w:rPr>
      </w:pPr>
      <w:r>
        <w:rPr>
          <w:noProof/>
        </w:rPr>
        <w:br/>
      </w:r>
      <w:r>
        <w:rPr>
          <w:b w:val="0"/>
          <w:i/>
          <w:noProof/>
        </w:rPr>
        <w:t>LISA</w:t>
      </w:r>
    </w:p>
    <w:p>
      <w:pPr>
        <w:pStyle w:val="Normal1"/>
        <w:rPr>
          <w:noProof/>
        </w:rPr>
      </w:pPr>
      <w:r>
        <w:rPr>
          <w:noProof/>
        </w:rPr>
        <w:t>Määruse (EL) nr 2016/399 lisasid muudetakse järgmiselt.</w:t>
      </w:r>
    </w:p>
    <w:p>
      <w:pPr>
        <w:pStyle w:val="NumPar1"/>
        <w:numPr>
          <w:ilvl w:val="0"/>
          <w:numId w:val="10"/>
        </w:numPr>
        <w:rPr>
          <w:noProof/>
        </w:rPr>
      </w:pPr>
      <w:r>
        <w:rPr>
          <w:noProof/>
        </w:rPr>
        <w:t>III lisasse lisatakse D-osa:</w:t>
      </w:r>
    </w:p>
    <w:p>
      <w:pPr>
        <w:rPr>
          <w:rFonts w:eastAsia="Times New Roman"/>
          <w:noProof/>
        </w:rPr>
      </w:pPr>
    </w:p>
    <w:p>
      <w:pPr>
        <w:pStyle w:val="Text1"/>
        <w:jc w:val="center"/>
        <w:rPr>
          <w:rFonts w:ascii="Arial" w:hAnsi="Arial" w:cs="Arial"/>
          <w:b/>
          <w:bCs/>
          <w:noProof/>
        </w:rPr>
      </w:pPr>
      <w:r>
        <w:rPr>
          <w:rFonts w:ascii="Arial" w:hAnsi="Arial"/>
          <w:b/>
          <w:noProof/>
        </w:rPr>
        <w:t>„D-OSA</w:t>
      </w:r>
    </w:p>
    <w:p>
      <w:pPr>
        <w:pStyle w:val="Text1"/>
        <w:jc w:val="center"/>
        <w:rPr>
          <w:rFonts w:ascii="Arial" w:hAnsi="Arial" w:cs="Arial"/>
          <w:bCs/>
          <w:noProof/>
        </w:rPr>
      </w:pPr>
      <w:r>
        <w:rPr>
          <w:rFonts w:ascii="Arial" w:hAnsi="Arial"/>
          <w:noProof/>
        </w:rPr>
        <w:t>D1-osa: Automaatse piirikontrolli read ELi/EMP/Šveitsi kodanikele</w:t>
      </w:r>
    </w:p>
    <w:p>
      <w:pPr>
        <w:pStyle w:val="Text1"/>
        <w:ind w:left="0"/>
        <w:jc w:val="center"/>
        <w:rPr>
          <w:noProof/>
        </w:rPr>
      </w:pPr>
      <w:r>
        <w:rPr>
          <w:noProof/>
          <w:lang w:val="en-US" w:eastAsia="en-US" w:bidi="ar-SA"/>
        </w:rPr>
        <w:drawing>
          <wp:inline distT="0" distB="0" distL="0" distR="0">
            <wp:extent cx="2819400"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solidFill>
                      <a:srgbClr val="000080"/>
                    </a:solidFill>
                    <a:ln>
                      <a:noFill/>
                    </a:ln>
                  </pic:spPr>
                </pic:pic>
              </a:graphicData>
            </a:graphic>
          </wp:inline>
        </w:drawing>
      </w:r>
    </w:p>
    <w:p>
      <w:pPr>
        <w:pStyle w:val="Text1"/>
        <w:ind w:left="0"/>
        <w:jc w:val="center"/>
        <w:rPr>
          <w:rFonts w:ascii="Arial" w:hAnsi="Arial" w:cs="Arial"/>
          <w:b/>
          <w:bCs/>
          <w:noProof/>
        </w:rPr>
      </w:pPr>
      <w:r>
        <w:rPr>
          <w:noProof/>
          <w:lang w:val="en-US" w:eastAsia="en-US" w:bidi="ar-SA"/>
        </w:rPr>
        <w:drawing>
          <wp:inline distT="0" distB="0" distL="0" distR="0">
            <wp:extent cx="2828925" cy="885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885825"/>
                    </a:xfrm>
                    <a:prstGeom prst="rect">
                      <a:avLst/>
                    </a:prstGeom>
                    <a:noFill/>
                    <a:ln>
                      <a:noFill/>
                    </a:ln>
                  </pic:spPr>
                </pic:pic>
              </a:graphicData>
            </a:graphic>
          </wp:inline>
        </w:drawing>
      </w:r>
    </w:p>
    <w:p>
      <w:pPr>
        <w:pStyle w:val="Text1"/>
        <w:jc w:val="center"/>
        <w:rPr>
          <w:noProof/>
        </w:rPr>
      </w:pPr>
      <w:r>
        <w:rPr>
          <w:rFonts w:ascii="Arial" w:hAnsi="Arial"/>
          <w:noProof/>
        </w:rPr>
        <w:t>Šveitsi, Liechtensteini, Norra ja Islandi jaoks ei ole ELi tähed kohustuslikud.</w:t>
      </w:r>
    </w:p>
    <w:p>
      <w:pPr>
        <w:rPr>
          <w:noProof/>
        </w:rPr>
      </w:pPr>
      <w:r>
        <w:rPr>
          <w:noProof/>
        </w:rPr>
        <w:br w:type="page"/>
      </w:r>
    </w:p>
    <w:p>
      <w:pPr>
        <w:pStyle w:val="Text1"/>
        <w:jc w:val="center"/>
        <w:rPr>
          <w:rFonts w:ascii="Arial" w:hAnsi="Arial" w:cs="Arial"/>
          <w:bCs/>
          <w:noProof/>
        </w:rPr>
      </w:pPr>
      <w:r>
        <w:rPr>
          <w:rFonts w:ascii="Arial" w:hAnsi="Arial"/>
          <w:noProof/>
        </w:rPr>
        <w:lastRenderedPageBreak/>
        <w:t>D2-osa: Automaatse piirikontrolli read kolmandate riikide kodanikele</w:t>
      </w:r>
    </w:p>
    <w:p>
      <w:pPr>
        <w:jc w:val="center"/>
        <w:rPr>
          <w:rFonts w:ascii="Arial" w:hAnsi="Arial" w:cs="Arial"/>
          <w:noProof/>
        </w:rPr>
      </w:pPr>
      <w:r>
        <w:rPr>
          <w:noProof/>
          <w:lang w:val="en-US" w:eastAsia="en-US" w:bidi="ar-SA"/>
        </w:rPr>
        <w:drawing>
          <wp:inline distT="0" distB="0" distL="0" distR="0">
            <wp:extent cx="2819400" cy="1781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2819400" cy="1781175"/>
                    </a:xfrm>
                    <a:prstGeom prst="rect">
                      <a:avLst/>
                    </a:prstGeom>
                    <a:solidFill>
                      <a:srgbClr val="000080"/>
                    </a:solidFill>
                    <a:ln>
                      <a:noFill/>
                    </a:ln>
                  </pic:spPr>
                </pic:pic>
              </a:graphicData>
            </a:graphic>
          </wp:inline>
        </w:drawing>
      </w:r>
    </w:p>
    <w:p>
      <w:pPr>
        <w:jc w:val="center"/>
        <w:rPr>
          <w:rFonts w:ascii="Arial" w:hAnsi="Arial" w:cs="Arial"/>
          <w:noProof/>
        </w:rPr>
      </w:pPr>
      <w:r>
        <w:rPr>
          <w:rFonts w:ascii="Arial" w:hAnsi="Arial" w:cs="Arial"/>
          <w:noProof/>
          <w:lang w:val="en-US" w:eastAsia="en-US" w:bidi="ar-SA"/>
        </w:rPr>
        <w:drawing>
          <wp:inline distT="0" distB="0" distL="0" distR="0">
            <wp:extent cx="2828925" cy="904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904875"/>
                    </a:xfrm>
                    <a:prstGeom prst="rect">
                      <a:avLst/>
                    </a:prstGeom>
                    <a:noFill/>
                    <a:ln>
                      <a:noFill/>
                    </a:ln>
                  </pic:spPr>
                </pic:pic>
              </a:graphicData>
            </a:graphic>
          </wp:inline>
        </w:drawing>
      </w:r>
    </w:p>
    <w:p>
      <w:pPr>
        <w:jc w:val="center"/>
        <w:rPr>
          <w:rFonts w:ascii="Arial" w:hAnsi="Arial" w:cs="Arial"/>
          <w:bCs/>
          <w:noProof/>
        </w:rPr>
      </w:pPr>
      <w:r>
        <w:rPr>
          <w:rFonts w:ascii="Arial" w:hAnsi="Arial"/>
          <w:noProof/>
        </w:rPr>
        <w:t>Šveitsi, Liechtensteini, Norra ja Islandi jaoks ei ole ELi tähed kohustuslikud.</w:t>
      </w:r>
    </w:p>
    <w:p>
      <w:pPr>
        <w:jc w:val="center"/>
        <w:rPr>
          <w:rFonts w:ascii="Arial" w:hAnsi="Arial" w:cs="Arial"/>
          <w:noProof/>
        </w:rPr>
      </w:pPr>
      <w:r>
        <w:rPr>
          <w:rFonts w:ascii="Arial" w:hAnsi="Arial"/>
          <w:noProof/>
        </w:rPr>
        <w:t>D3-osa: Automatiseeritud piirikontrolli read mis tahes reisidokumentide kasutajatele</w:t>
      </w:r>
    </w:p>
    <w:p>
      <w:pPr>
        <w:jc w:val="center"/>
        <w:rPr>
          <w:rFonts w:ascii="Arial" w:hAnsi="Arial" w:cs="Arial"/>
          <w:noProof/>
        </w:rPr>
      </w:pPr>
      <w:r>
        <w:rPr>
          <w:noProof/>
          <w:lang w:val="en-US" w:eastAsia="en-US" w:bidi="ar-SA"/>
        </w:rPr>
        <w:drawing>
          <wp:inline distT="0" distB="0" distL="0" distR="0">
            <wp:extent cx="2819400" cy="2028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2819400" cy="2028825"/>
                    </a:xfrm>
                    <a:prstGeom prst="rect">
                      <a:avLst/>
                    </a:prstGeom>
                    <a:solidFill>
                      <a:srgbClr val="000080"/>
                    </a:solidFill>
                    <a:ln>
                      <a:noFill/>
                    </a:ln>
                  </pic:spPr>
                </pic:pic>
              </a:graphicData>
            </a:graphic>
          </wp:inline>
        </w:drawing>
      </w:r>
    </w:p>
    <w:p>
      <w:pPr>
        <w:jc w:val="center"/>
        <w:rPr>
          <w:rFonts w:ascii="Arial" w:hAnsi="Arial" w:cs="Arial"/>
          <w:noProof/>
        </w:rPr>
      </w:pPr>
      <w:r>
        <w:rPr>
          <w:rFonts w:ascii="Arial" w:hAnsi="Arial" w:cs="Arial"/>
          <w:noProof/>
          <w:lang w:val="en-US" w:eastAsia="en-US" w:bidi="ar-SA"/>
        </w:rPr>
        <w:drawing>
          <wp:inline distT="0" distB="0" distL="0" distR="0">
            <wp:extent cx="2962275" cy="628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2275" cy="628650"/>
                    </a:xfrm>
                    <a:prstGeom prst="rect">
                      <a:avLst/>
                    </a:prstGeom>
                    <a:noFill/>
                    <a:ln>
                      <a:noFill/>
                    </a:ln>
                  </pic:spPr>
                </pic:pic>
              </a:graphicData>
            </a:graphic>
          </wp:inline>
        </w:drawing>
      </w:r>
    </w:p>
    <w:p>
      <w:pPr>
        <w:jc w:val="center"/>
        <w:rPr>
          <w:noProof/>
        </w:rPr>
      </w:pPr>
      <w:r>
        <w:rPr>
          <w:rFonts w:ascii="Arial" w:hAnsi="Arial"/>
          <w:noProof/>
        </w:rPr>
        <w:t>Šveitsi, Liechtensteini, Norra ja Islandi jaoks ei ole ELi tähed kohustuslikud.</w:t>
      </w:r>
      <w:r>
        <w:rPr>
          <w:noProof/>
        </w:rPr>
        <w:t>”</w:t>
      </w:r>
    </w:p>
    <w:p>
      <w:pPr>
        <w:jc w:val="center"/>
        <w:rPr>
          <w:rFonts w:ascii="Arial" w:hAnsi="Arial" w:cs="Arial"/>
          <w:noProof/>
        </w:rPr>
      </w:pPr>
    </w:p>
    <w:p>
      <w:pPr>
        <w:pStyle w:val="NumPar1"/>
        <w:rPr>
          <w:noProof/>
        </w:rPr>
      </w:pPr>
      <w:r>
        <w:rPr>
          <w:noProof/>
        </w:rPr>
        <w:t>IV lisa muudetakse järgmiselt:</w:t>
      </w:r>
    </w:p>
    <w:p>
      <w:pPr>
        <w:pStyle w:val="Point0letter"/>
        <w:numPr>
          <w:ilvl w:val="1"/>
          <w:numId w:val="11"/>
        </w:numPr>
        <w:rPr>
          <w:noProof/>
        </w:rPr>
      </w:pPr>
      <w:r>
        <w:rPr>
          <w:noProof/>
        </w:rPr>
        <w:t>punkt 1 asendatakse järgmisega:</w:t>
      </w:r>
    </w:p>
    <w:p>
      <w:pPr>
        <w:rPr>
          <w:noProof/>
        </w:rPr>
      </w:pPr>
      <w:r>
        <w:rPr>
          <w:noProof/>
        </w:rPr>
        <w:t xml:space="preserve">„1. Kui see on tema siseriiklikes õigusaktides sõnaselgelt ette nähtud, võib liikmesriik lüüa vastavalt artiklile 11 sisenemisel ja väljumisel templeid nende kolmandate riikide kodanike reisidokumentidesse, kellel on selle liikmesriigi väljastatud elamisluba. Lisaks, kooskõlas V lisa A-osaga, lööb piirivalveametnik juhul, kui kolmanda riigi kodanikul keelatakse artikli 14 alusel riiki siseneda, passi sisenemistempli, mis on kehtetuks tunnistatud sellele kustumatu musta tindiga peale tõmmatud ristiga, ning kirjutab selle kõrvale lehe paremale servale samuti </w:t>
      </w:r>
      <w:r>
        <w:rPr>
          <w:noProof/>
        </w:rPr>
        <w:lastRenderedPageBreak/>
        <w:t>kustumatu tindiga tähe(d), mis vastab/vastavad sisenemise keelamise põhjustele, mis on loetletud V lisa B-osas esitatud sisenemiskeelu standardvormil.”;</w:t>
      </w:r>
    </w:p>
    <w:p>
      <w:pPr>
        <w:pStyle w:val="Point0letter"/>
        <w:rPr>
          <w:noProof/>
        </w:rPr>
      </w:pPr>
      <w:r>
        <w:rPr>
          <w:noProof/>
        </w:rPr>
        <w:t>lisatakse punkt 1a:</w:t>
      </w:r>
    </w:p>
    <w:p>
      <w:pPr>
        <w:rPr>
          <w:noProof/>
        </w:rPr>
      </w:pPr>
      <w:r>
        <w:rPr>
          <w:noProof/>
        </w:rPr>
        <w:t>„Nende templite tehnilised nõuded on sätestatud Schengeni täitevkomitee otsuses SCH/COM-EX (94) 16 rev ja SCH/Gem-Handb (93) 15 (KONFIDENTSIAALNE).”</w:t>
      </w:r>
    </w:p>
    <w:p>
      <w:pPr>
        <w:pStyle w:val="Point0letter"/>
        <w:rPr>
          <w:noProof/>
        </w:rPr>
      </w:pPr>
      <w:r>
        <w:rPr>
          <w:noProof/>
        </w:rPr>
        <w:t>punkt 3 asendatakse järgmisega:</w:t>
      </w:r>
    </w:p>
    <w:p>
      <w:pPr>
        <w:rPr>
          <w:noProof/>
        </w:rPr>
      </w:pPr>
      <w:r>
        <w:rPr>
          <w:noProof/>
        </w:rPr>
        <w:t>„3. Kui kolmanda riigi kodanikul, kelle suhtes on kehtestatud viisanõue, keelatakse riiki siseneda, kantakse templijäljend üldjuhul viisaga lehekülje vastasleheküljele.</w:t>
      </w:r>
    </w:p>
    <w:p>
      <w:pPr>
        <w:rPr>
          <w:noProof/>
        </w:rPr>
      </w:pPr>
      <w:r>
        <w:rPr>
          <w:noProof/>
        </w:rPr>
        <w:t>Kui seda lehekülge ei ole võimalik kasutada, lüüakse tempel järgmisele leheküljele. Templit ei lööda masinloetavale alale.”</w:t>
      </w:r>
    </w:p>
    <w:p>
      <w:pPr>
        <w:pStyle w:val="NumPar1"/>
        <w:rPr>
          <w:noProof/>
        </w:rPr>
      </w:pPr>
      <w:r>
        <w:rPr>
          <w:noProof/>
        </w:rPr>
        <w:t>V lisa A-osa muudetakse järgmiselt:</w:t>
      </w:r>
    </w:p>
    <w:p>
      <w:pPr>
        <w:pStyle w:val="Point0letter"/>
        <w:numPr>
          <w:ilvl w:val="1"/>
          <w:numId w:val="9"/>
        </w:numPr>
        <w:rPr>
          <w:noProof/>
        </w:rPr>
      </w:pPr>
      <w:r>
        <w:rPr>
          <w:noProof/>
        </w:rPr>
        <w:t>punkti 1 alapunkt b asendatakse järgmisega:</w:t>
      </w:r>
    </w:p>
    <w:p>
      <w:pPr>
        <w:spacing w:before="75" w:after="75"/>
        <w:rPr>
          <w:noProof/>
        </w:rPr>
      </w:pPr>
      <w:r>
        <w:rPr>
          <w:noProof/>
        </w:rPr>
        <w:t>„b) nende kolmanda riigi kodanike sisenemiskeeldu käsitlevad andmed, kellel on keelatud riiki siseneda lühiajaliseks viibimiseks [või ringreisiviisa alusel], registreeritakse riiki sisenemise ja riigist lahkumise süsteemis kooskõlas käesoleva määruse artikli 6a lõikega 2 ja [riiki sisenemise ja riigist lahkumise süsteemi loomise määruse] artikliga 16. Lisaks lööb piirivalveametnik passi sisenemistempli, mis on kehtetuks tunnistatud sellele kustumatu musta tindiga peale tõmmatud ristiga, ning kirjutab selle kõrvale lehe paremale servale samuti kustumatu tindiga tähe(d), mis vastab/vastavad sisenemise keelamise põhjustele, mille loetelu on esitatud käesoleva lisa B-osas esitatud sisenemiskeelu standardvormil;”</w:t>
      </w:r>
    </w:p>
    <w:p>
      <w:pPr>
        <w:pStyle w:val="Point0letter"/>
        <w:rPr>
          <w:noProof/>
        </w:rPr>
      </w:pPr>
      <w:r>
        <w:rPr>
          <w:noProof/>
        </w:rPr>
        <w:t>punkti 1 alapunkt d asendatakse järgmisega:</w:t>
      </w:r>
    </w:p>
    <w:p>
      <w:pPr>
        <w:spacing w:before="75" w:after="75"/>
        <w:rPr>
          <w:noProof/>
        </w:rPr>
      </w:pPr>
      <w:r>
        <w:rPr>
          <w:noProof/>
        </w:rPr>
        <w:t>„d) nende kolmanda riigi kodanike passi, kelle suhtes kehtestatud sisenemiskeeldu ei registreerita riiki sisenemise ja riigist lahkumise süsteemis, lööb piirivalveametnik sisenemistempli, mis on kehtetuks tunnistatud sellele kustumatu musta tindiga peale tõmmatud ristiga, ning kirjutab selle kõrvale lehe paremale servale samuti kustumatu tindiga tähe(d), mis vastab/vastavad sisenemise keelamise põhjustele, mille loetelu on esitatud käesoleva lisa B-osas esitatud sisenemiskeelu standardvormil. Lisaks registreerib piirivalveametnik selliste isikute kategooriate puhul iga kehtestatud sisenemiskeelu registrisse või nimekirja, märkides ära asjaomase kolmanda riigi kodaniku isikuandmed ja kodakondsuse, viited dokumendile, mis lubas kolmanda riigi kodanikul piiri ületada, ning sisenemise keelamise põhjuse ja kuupäeva;”</w:t>
      </w:r>
    </w:p>
    <w:p>
      <w:pPr>
        <w:pStyle w:val="Point0letter"/>
        <w:rPr>
          <w:noProof/>
        </w:rPr>
      </w:pPr>
      <w:r>
        <w:rPr>
          <w:noProof/>
        </w:rPr>
        <w:t>punkti l lisatakse alapunkt e:</w:t>
      </w:r>
    </w:p>
    <w:p>
      <w:pPr>
        <w:spacing w:before="75" w:after="75"/>
        <w:rPr>
          <w:noProof/>
        </w:rPr>
      </w:pPr>
      <w:r>
        <w:rPr>
          <w:noProof/>
        </w:rPr>
        <w:t>„e) Templite löömise praktiline kord on sätestatud IV lisas.”</w:t>
      </w:r>
    </w:p>
    <w:p>
      <w:pPr>
        <w:rPr>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6248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37C6B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BFC05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D6A3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BD8AA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4F4EB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4C6964"/>
    <w:lvl w:ilvl="0">
      <w:start w:val="1"/>
      <w:numFmt w:val="decimal"/>
      <w:pStyle w:val="ListNumber"/>
      <w:lvlText w:val="%1."/>
      <w:lvlJc w:val="left"/>
      <w:pPr>
        <w:tabs>
          <w:tab w:val="num" w:pos="360"/>
        </w:tabs>
        <w:ind w:left="360" w:hanging="360"/>
      </w:pPr>
    </w:lvl>
  </w:abstractNum>
  <w:abstractNum w:abstractNumId="7">
    <w:nsid w:val="FFFFFF89"/>
    <w:multiLevelType w:val="singleLevel"/>
    <w:tmpl w:val="10282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1 11:47: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ACCOMPAGNANT.CP" w:val="järgmise dokumendi juurde:"/>
    <w:docVar w:name="LW_ANNEX_NBR_FIRST" w:val="1"/>
    <w:docVar w:name="LW_ANNEX_NBR_LAST" w:val="1"/>
    <w:docVar w:name="LW_CONFIDENCE" w:val=" "/>
    <w:docVar w:name="LW_CONST_RESTREINT_UE" w:val="RESTREINT UE"/>
    <w:docVar w:name="LW_CORRIGENDUM" w:val="&lt;UNUSED&gt;"/>
    <w:docVar w:name="LW_COVERPAGE_GUID" w:val="C3855AC04471419EB33EB7BB6E4EB971"/>
    <w:docVar w:name="LW_CROSSREFERENCE" w:val="{SWD(2016) 115 final}_x000b_{SWD(2016) 116 final}"/>
    <w:docVar w:name="LW_DocType" w:val="ANNEX"/>
    <w:docVar w:name="LW_EMISSION" w:val="6.4.2016"/>
    <w:docVar w:name="LW_EMISSION_ISODATE" w:val="2016-04-06"/>
    <w:docVar w:name="LW_EMISSION_LOCATION" w:val="BRX"/>
    <w:docVar w:name="LW_EMISSION_PREFIX" w:val="Brüssel,"/>
    <w:docVar w:name="LW_EMISSION_SUFFIX" w:val=" "/>
    <w:docVar w:name="LW_ID_DOCSTRUCTURE" w:val="COM/ANNEX"/>
    <w:docVar w:name="LW_ID_DOCTYPE" w:val="SG-017"/>
    <w:docVar w:name="LW_LANGUE" w:val="ET"/>
    <w:docVar w:name="LW_MARKING" w:val="&lt;UNUSED&gt;"/>
    <w:docVar w:name="LW_NOM.INST" w:val="EUROOPA KOMISJON"/>
    <w:docVar w:name="LW_NOM.INST_JOINTDOC" w:val="&lt;EMPTY&gt;"/>
    <w:docVar w:name="LW_OBJETACTEPRINCIPAL.CP" w:val="EUROOPA PARLAMENDI JA NÕUKOGU MÄÄRUS,_x000b_millega muudetakse määrust (EL) nr 2016/399 riiki sisenemise ja riigist lahkumise süsteemi kasutamise osas"/>
    <w:docVar w:name="LW_PART_NBR" w:val="1"/>
    <w:docVar w:name="LW_PART_NBR_TOTAL" w:val="1"/>
    <w:docVar w:name="LW_REF.INST.NEW" w:val="COM"/>
    <w:docVar w:name="LW_REF.INST.NEW_ADOPTED" w:val="final"/>
    <w:docVar w:name="LW_REF.INST.NEW_TEXT" w:val="(2016) 196"/>
    <w:docVar w:name="LW_REF.INTERNE" w:val="&lt;UNUSED&gt;"/>
    <w:docVar w:name="LW_SUPERTITRE" w:val="&lt;UNUSED&gt;"/>
    <w:docVar w:name="LW_TITRE.OBJ.CP" w:val="&lt;UNUSED&gt;"/>
    <w:docVar w:name="LW_TYPE.DOC.CP" w:val="LISA"/>
    <w:docVar w:name="LW_TYPEACTEPRINCIPAL.CP" w:val="Ettepanek: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465</Words>
  <Characters>3335</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MARTINEZ Adrian (COMP)</dc:creator>
  <cp:lastModifiedBy>DIGIT/A3</cp:lastModifiedBy>
  <cp:revision>8</cp:revision>
  <dcterms:created xsi:type="dcterms:W3CDTF">2016-04-29T07:12:00Z</dcterms:created>
  <dcterms:modified xsi:type="dcterms:W3CDTF">2016-05-01T09:47:00Z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