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69BC10200D5F4A2AA3AB1AA9087D770F" style="width:450.6pt;height:424.5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t>ANEXĂ</w:t>
      </w:r>
    </w:p>
    <w:p>
      <w:pPr>
        <w:pStyle w:val="Accompagnant"/>
        <w:rPr>
          <w:noProof/>
        </w:rPr>
      </w:pPr>
      <w:r>
        <w:rPr>
          <w:noProof/>
        </w:rPr>
        <w:t>la</w:t>
      </w:r>
    </w:p>
    <w:p>
      <w:pPr>
        <w:pStyle w:val="Typeacteprincipal"/>
        <w:rPr>
          <w:noProof/>
        </w:rPr>
      </w:pPr>
      <w:r>
        <w:rPr>
          <w:noProof/>
        </w:rPr>
        <w:t xml:space="preserve">Propunerea de </w:t>
      </w:r>
    </w:p>
    <w:p>
      <w:pPr>
        <w:pStyle w:val="Objetacteprincipal"/>
        <w:rPr>
          <w:noProof/>
        </w:rPr>
      </w:pPr>
      <w:r>
        <w:rPr>
          <w:noProof/>
        </w:rPr>
        <w:t>REGULAMENT AL PARLAMENTULUI EUROPEAN ȘI AL CONSILIULUI</w:t>
      </w:r>
      <w:r>
        <w:rPr>
          <w:noProof/>
        </w:rPr>
        <w:br/>
        <w:t>de modificare a Regulamentului (UE) 2016/399 în ceea ce privește utilizarea sistemului de intrare/ieșire</w:t>
      </w:r>
    </w:p>
    <w:p>
      <w:pPr>
        <w:pStyle w:val="Objetacteprincipal"/>
        <w:rPr>
          <w:b w:val="0"/>
          <w:i/>
          <w:noProof/>
        </w:rPr>
      </w:pPr>
      <w:r>
        <w:rPr>
          <w:noProof/>
        </w:rPr>
        <w:br/>
      </w:r>
      <w:r>
        <w:rPr>
          <w:b w:val="0"/>
          <w:i/>
          <w:noProof/>
        </w:rPr>
        <w:t>ANEXĂ</w:t>
      </w:r>
    </w:p>
    <w:p>
      <w:pPr>
        <w:pStyle w:val="Normal1"/>
        <w:rPr>
          <w:noProof/>
        </w:rPr>
      </w:pPr>
      <w:r>
        <w:rPr>
          <w:noProof/>
        </w:rPr>
        <w:t>Anexele la Regulamentul (UE) 2016/399 se modifică după cum urmează:</w:t>
      </w:r>
    </w:p>
    <w:p>
      <w:pPr>
        <w:pStyle w:val="NumPar1"/>
        <w:numPr>
          <w:ilvl w:val="0"/>
          <w:numId w:val="10"/>
        </w:numPr>
        <w:rPr>
          <w:noProof/>
        </w:rPr>
      </w:pPr>
      <w:r>
        <w:rPr>
          <w:noProof/>
        </w:rPr>
        <w:t>În anexa III se adaugă partea D:</w:t>
      </w:r>
    </w:p>
    <w:p>
      <w:pPr>
        <w:rPr>
          <w:rFonts w:eastAsia="Times New Roman"/>
          <w:noProof/>
        </w:rPr>
      </w:pPr>
    </w:p>
    <w:p>
      <w:pPr>
        <w:pStyle w:val="Text1"/>
        <w:jc w:val="center"/>
        <w:rPr>
          <w:rFonts w:ascii="Arial" w:hAnsi="Arial" w:cs="Arial"/>
          <w:b/>
          <w:bCs/>
          <w:noProof/>
        </w:rPr>
      </w:pPr>
      <w:r>
        <w:rPr>
          <w:rFonts w:ascii="Arial" w:hAnsi="Arial"/>
          <w:b/>
          <w:noProof/>
        </w:rPr>
        <w:t>„PARTEA D:</w:t>
      </w:r>
    </w:p>
    <w:p>
      <w:pPr>
        <w:pStyle w:val="Text1"/>
        <w:jc w:val="center"/>
        <w:rPr>
          <w:rFonts w:ascii="Arial" w:hAnsi="Arial" w:cs="Arial"/>
          <w:bCs/>
          <w:noProof/>
        </w:rPr>
      </w:pPr>
      <w:r>
        <w:rPr>
          <w:rFonts w:ascii="Arial" w:hAnsi="Arial"/>
          <w:noProof/>
        </w:rPr>
        <w:t>Partea D1: Culoare de control automat la frontieră pentru cetățenii UE/SEE/CH</w:t>
      </w:r>
    </w:p>
    <w:p>
      <w:pPr>
        <w:pStyle w:val="Text1"/>
        <w:ind w:left="0"/>
        <w:jc w:val="center"/>
        <w:rPr>
          <w:noProof/>
        </w:rPr>
      </w:pPr>
      <w:r>
        <w:rPr>
          <w:noProof/>
          <w:lang w:val="en-US" w:eastAsia="en-US" w:bidi="ar-SA"/>
        </w:rPr>
        <w:drawing>
          <wp:inline distT="0" distB="0" distL="0" distR="0">
            <wp:extent cx="2819400" cy="1828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grayscl/>
                      <a:biLevel thresh="50000"/>
                      <a:extLst>
                        <a:ext uri="{28A0092B-C50C-407E-A947-70E740481C1C}">
                          <a14:useLocalDpi xmlns:a14="http://schemas.microsoft.com/office/drawing/2010/main" val="0"/>
                        </a:ext>
                      </a:extLst>
                    </a:blip>
                    <a:srcRect/>
                    <a:stretch>
                      <a:fillRect/>
                    </a:stretch>
                  </pic:blipFill>
                  <pic:spPr bwMode="auto">
                    <a:xfrm>
                      <a:off x="0" y="0"/>
                      <a:ext cx="2819400" cy="1828800"/>
                    </a:xfrm>
                    <a:prstGeom prst="rect">
                      <a:avLst/>
                    </a:prstGeom>
                    <a:solidFill>
                      <a:srgbClr val="000080"/>
                    </a:solidFill>
                    <a:ln>
                      <a:noFill/>
                    </a:ln>
                  </pic:spPr>
                </pic:pic>
              </a:graphicData>
            </a:graphic>
          </wp:inline>
        </w:drawing>
      </w:r>
    </w:p>
    <w:p>
      <w:pPr>
        <w:pStyle w:val="Text1"/>
        <w:ind w:left="0"/>
        <w:jc w:val="center"/>
        <w:rPr>
          <w:rFonts w:ascii="Arial" w:hAnsi="Arial" w:cs="Arial"/>
          <w:b/>
          <w:bCs/>
          <w:noProof/>
        </w:rPr>
      </w:pPr>
      <w:r>
        <w:rPr>
          <w:noProof/>
          <w:lang w:val="en-US" w:eastAsia="en-US" w:bidi="ar-SA"/>
        </w:rPr>
        <w:drawing>
          <wp:inline distT="0" distB="0" distL="0" distR="0">
            <wp:extent cx="2828925" cy="8858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8925" cy="885825"/>
                    </a:xfrm>
                    <a:prstGeom prst="rect">
                      <a:avLst/>
                    </a:prstGeom>
                    <a:noFill/>
                    <a:ln>
                      <a:noFill/>
                    </a:ln>
                  </pic:spPr>
                </pic:pic>
              </a:graphicData>
            </a:graphic>
          </wp:inline>
        </w:drawing>
      </w:r>
    </w:p>
    <w:p>
      <w:pPr>
        <w:pStyle w:val="Text1"/>
        <w:jc w:val="center"/>
        <w:rPr>
          <w:noProof/>
        </w:rPr>
      </w:pPr>
      <w:r>
        <w:rPr>
          <w:rFonts w:ascii="Arial" w:hAnsi="Arial"/>
          <w:noProof/>
        </w:rPr>
        <w:t>Stelele nu sunt necesare pentru Elveția, Liechtenstein, Norvegia și Islanda</w:t>
      </w:r>
    </w:p>
    <w:p>
      <w:pPr>
        <w:rPr>
          <w:noProof/>
        </w:rPr>
      </w:pPr>
      <w:r>
        <w:rPr>
          <w:noProof/>
        </w:rPr>
        <w:br w:type="page"/>
      </w:r>
    </w:p>
    <w:p>
      <w:pPr>
        <w:pStyle w:val="Text1"/>
        <w:jc w:val="center"/>
        <w:rPr>
          <w:rFonts w:ascii="Arial" w:hAnsi="Arial" w:cs="Arial"/>
          <w:bCs/>
          <w:noProof/>
        </w:rPr>
      </w:pPr>
      <w:r>
        <w:rPr>
          <w:rFonts w:ascii="Arial" w:hAnsi="Arial"/>
          <w:noProof/>
        </w:rPr>
        <w:t>Partea D2: Culoare de control automat la frontieră pentru resortisanții țărilor terțe</w:t>
      </w:r>
    </w:p>
    <w:p>
      <w:pPr>
        <w:jc w:val="center"/>
        <w:rPr>
          <w:rFonts w:ascii="Arial" w:hAnsi="Arial" w:cs="Arial"/>
          <w:noProof/>
        </w:rPr>
      </w:pPr>
      <w:r>
        <w:rPr>
          <w:noProof/>
          <w:lang w:val="en-US" w:eastAsia="en-US" w:bidi="ar-SA"/>
        </w:rPr>
        <w:drawing>
          <wp:inline distT="0" distB="0" distL="0" distR="0">
            <wp:extent cx="2819400" cy="17811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grayscl/>
                      <a:biLevel thresh="50000"/>
                      <a:extLst>
                        <a:ext uri="{28A0092B-C50C-407E-A947-70E740481C1C}">
                          <a14:useLocalDpi xmlns:a14="http://schemas.microsoft.com/office/drawing/2010/main" val="0"/>
                        </a:ext>
                      </a:extLst>
                    </a:blip>
                    <a:srcRect/>
                    <a:stretch>
                      <a:fillRect/>
                    </a:stretch>
                  </pic:blipFill>
                  <pic:spPr bwMode="auto">
                    <a:xfrm>
                      <a:off x="0" y="0"/>
                      <a:ext cx="2819400" cy="1781175"/>
                    </a:xfrm>
                    <a:prstGeom prst="rect">
                      <a:avLst/>
                    </a:prstGeom>
                    <a:solidFill>
                      <a:srgbClr val="000080"/>
                    </a:solidFill>
                    <a:ln>
                      <a:noFill/>
                    </a:ln>
                  </pic:spPr>
                </pic:pic>
              </a:graphicData>
            </a:graphic>
          </wp:inline>
        </w:drawing>
      </w:r>
    </w:p>
    <w:p>
      <w:pPr>
        <w:jc w:val="center"/>
        <w:rPr>
          <w:rFonts w:ascii="Arial" w:hAnsi="Arial" w:cs="Arial"/>
          <w:noProof/>
        </w:rPr>
      </w:pPr>
      <w:r>
        <w:rPr>
          <w:rFonts w:ascii="Arial" w:hAnsi="Arial" w:cs="Arial"/>
          <w:noProof/>
          <w:lang w:val="en-US" w:eastAsia="en-US" w:bidi="ar-SA"/>
        </w:rPr>
        <w:drawing>
          <wp:inline distT="0" distB="0" distL="0" distR="0">
            <wp:extent cx="2828925" cy="9048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8925" cy="904875"/>
                    </a:xfrm>
                    <a:prstGeom prst="rect">
                      <a:avLst/>
                    </a:prstGeom>
                    <a:noFill/>
                    <a:ln>
                      <a:noFill/>
                    </a:ln>
                  </pic:spPr>
                </pic:pic>
              </a:graphicData>
            </a:graphic>
          </wp:inline>
        </w:drawing>
      </w:r>
    </w:p>
    <w:p>
      <w:pPr>
        <w:jc w:val="center"/>
        <w:rPr>
          <w:rFonts w:ascii="Arial" w:hAnsi="Arial" w:cs="Arial"/>
          <w:bCs/>
          <w:noProof/>
        </w:rPr>
      </w:pPr>
      <w:r>
        <w:rPr>
          <w:rFonts w:ascii="Arial" w:hAnsi="Arial"/>
          <w:noProof/>
        </w:rPr>
        <w:t>Stelele nu sunt necesare pentru Elveția, Liechtenstein, Norvegia și Islanda.</w:t>
      </w:r>
    </w:p>
    <w:p>
      <w:pPr>
        <w:jc w:val="center"/>
        <w:rPr>
          <w:rFonts w:ascii="Arial" w:hAnsi="Arial" w:cs="Arial"/>
          <w:noProof/>
        </w:rPr>
      </w:pPr>
      <w:r>
        <w:rPr>
          <w:rFonts w:ascii="Arial" w:hAnsi="Arial"/>
          <w:noProof/>
        </w:rPr>
        <w:t>Partea D3: Culoare de control automat la frontieră pentru toate pașapoartele</w:t>
      </w:r>
    </w:p>
    <w:p>
      <w:pPr>
        <w:jc w:val="center"/>
        <w:rPr>
          <w:rFonts w:ascii="Arial" w:hAnsi="Arial" w:cs="Arial"/>
          <w:noProof/>
        </w:rPr>
      </w:pPr>
      <w:r>
        <w:rPr>
          <w:noProof/>
          <w:lang w:val="en-US" w:eastAsia="en-US" w:bidi="ar-SA"/>
        </w:rPr>
        <w:drawing>
          <wp:inline distT="0" distB="0" distL="0" distR="0">
            <wp:extent cx="2819400" cy="20288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grayscl/>
                      <a:biLevel thresh="50000"/>
                      <a:extLst>
                        <a:ext uri="{28A0092B-C50C-407E-A947-70E740481C1C}">
                          <a14:useLocalDpi xmlns:a14="http://schemas.microsoft.com/office/drawing/2010/main" val="0"/>
                        </a:ext>
                      </a:extLst>
                    </a:blip>
                    <a:srcRect/>
                    <a:stretch>
                      <a:fillRect/>
                    </a:stretch>
                  </pic:blipFill>
                  <pic:spPr bwMode="auto">
                    <a:xfrm>
                      <a:off x="0" y="0"/>
                      <a:ext cx="2819400" cy="2028825"/>
                    </a:xfrm>
                    <a:prstGeom prst="rect">
                      <a:avLst/>
                    </a:prstGeom>
                    <a:solidFill>
                      <a:srgbClr val="000080"/>
                    </a:solidFill>
                    <a:ln>
                      <a:noFill/>
                    </a:ln>
                  </pic:spPr>
                </pic:pic>
              </a:graphicData>
            </a:graphic>
          </wp:inline>
        </w:drawing>
      </w:r>
    </w:p>
    <w:p>
      <w:pPr>
        <w:jc w:val="center"/>
        <w:rPr>
          <w:rFonts w:ascii="Arial" w:hAnsi="Arial" w:cs="Arial"/>
          <w:noProof/>
        </w:rPr>
      </w:pPr>
      <w:r>
        <w:rPr>
          <w:rFonts w:ascii="Arial" w:hAnsi="Arial" w:cs="Arial"/>
          <w:noProof/>
          <w:lang w:val="en-US" w:eastAsia="en-US" w:bidi="ar-SA"/>
        </w:rPr>
        <w:drawing>
          <wp:inline distT="0" distB="0" distL="0" distR="0">
            <wp:extent cx="2962275" cy="6286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62275" cy="628650"/>
                    </a:xfrm>
                    <a:prstGeom prst="rect">
                      <a:avLst/>
                    </a:prstGeom>
                    <a:noFill/>
                    <a:ln>
                      <a:noFill/>
                    </a:ln>
                  </pic:spPr>
                </pic:pic>
              </a:graphicData>
            </a:graphic>
          </wp:inline>
        </w:drawing>
      </w:r>
    </w:p>
    <w:p>
      <w:pPr>
        <w:jc w:val="center"/>
        <w:rPr>
          <w:noProof/>
        </w:rPr>
      </w:pPr>
      <w:r>
        <w:rPr>
          <w:rFonts w:ascii="Arial" w:hAnsi="Arial"/>
          <w:noProof/>
        </w:rPr>
        <w:t>Stelele nu sunt necesare pentru Elveția, Liechtenstein, Norvegia și Islanda.</w:t>
      </w:r>
      <w:r>
        <w:rPr>
          <w:noProof/>
        </w:rPr>
        <w:t>”</w:t>
      </w:r>
    </w:p>
    <w:p>
      <w:pPr>
        <w:jc w:val="center"/>
        <w:rPr>
          <w:rFonts w:ascii="Arial" w:hAnsi="Arial" w:cs="Arial"/>
          <w:noProof/>
        </w:rPr>
      </w:pPr>
    </w:p>
    <w:p>
      <w:pPr>
        <w:pStyle w:val="NumPar1"/>
        <w:rPr>
          <w:noProof/>
        </w:rPr>
      </w:pPr>
      <w:r>
        <w:rPr>
          <w:noProof/>
        </w:rPr>
        <w:t>Anexa IV se modifică după cum urmează:</w:t>
      </w:r>
    </w:p>
    <w:p>
      <w:pPr>
        <w:pStyle w:val="Point0letter"/>
        <w:numPr>
          <w:ilvl w:val="1"/>
          <w:numId w:val="11"/>
        </w:numPr>
        <w:rPr>
          <w:noProof/>
        </w:rPr>
      </w:pPr>
      <w:r>
        <w:rPr>
          <w:noProof/>
        </w:rPr>
        <w:t>punctul 1 se înlocuiește cu următorul text:</w:t>
      </w:r>
    </w:p>
    <w:p>
      <w:pPr>
        <w:rPr>
          <w:noProof/>
        </w:rPr>
      </w:pPr>
      <w:r>
        <w:rPr>
          <w:noProof/>
        </w:rPr>
        <w:t>„1. În cazurile prevăzute în mod expres de legislația sa națională, un stat membru poate să aplice o ștampilă, la intrare și la ieșire, pe documentele de călătorie ale resortisanților țărilor terțe care dețin un permis de ședere eliberat de statul membru respectiv, în conformitate cu articolul 11. În plus, în conformitate cu anexa V partea A, în cazul în care unui resortisant al unei țări terțe i se refuză intrarea în temeiul articolului 14, polițistul de frontieră aplică pe pașaport o ștampilă de intrare, barată de o cruce cu cerneală neagră indelebilă, și scrie lângă aceasta, în partea dreaptă, de asemenea cu cerneală indelebilă, litera (literele) corespunzătoare motivelor de refuz al intrării, a căror listă este conținută în modelul uniform de formular de refuz al intrării, menționat în anexa V partea B.”</w:t>
      </w:r>
    </w:p>
    <w:p>
      <w:pPr>
        <w:pStyle w:val="Point0letter"/>
        <w:rPr>
          <w:noProof/>
        </w:rPr>
      </w:pPr>
      <w:r>
        <w:rPr>
          <w:noProof/>
        </w:rPr>
        <w:t>se adaugă punctul 1a:</w:t>
      </w:r>
    </w:p>
    <w:p>
      <w:pPr>
        <w:rPr>
          <w:noProof/>
        </w:rPr>
      </w:pPr>
      <w:r>
        <w:rPr>
          <w:noProof/>
        </w:rPr>
        <w:t>„Specificațiile respectivei ștampile sunt stabilite prin Decizia SCH/Com-ex (94) 16 rev. și SCH/Gem-Handb (93) 15 (CONFIDENȚIAL) a Comitetului Executiv Schengen.”</w:t>
      </w:r>
    </w:p>
    <w:p>
      <w:pPr>
        <w:pStyle w:val="Point0letter"/>
        <w:rPr>
          <w:noProof/>
        </w:rPr>
      </w:pPr>
      <w:r>
        <w:rPr>
          <w:noProof/>
        </w:rPr>
        <w:t>punctul 3 se înlocuiește cu următorul text:</w:t>
      </w:r>
    </w:p>
    <w:p>
      <w:pPr>
        <w:rPr>
          <w:noProof/>
        </w:rPr>
      </w:pPr>
      <w:r>
        <w:rPr>
          <w:noProof/>
        </w:rPr>
        <w:t>„3. În cazul în care unui resortisant al unei țări terțe care este supus obligației de a deține viză i se refuză intrarea, ștampila se aplică, ca regulă generală, pe pagina opusă celei pe care este aplicată viza.</w:t>
      </w:r>
    </w:p>
    <w:p>
      <w:pPr>
        <w:rPr>
          <w:noProof/>
        </w:rPr>
      </w:pPr>
      <w:r>
        <w:rPr>
          <w:noProof/>
        </w:rPr>
        <w:t>În cazul în care respectiva pagină nu este utilizabilă, ștampila se aplică pe pagina următoare. Ștampila nu se aplică pe banda de citire optică.”</w:t>
      </w:r>
    </w:p>
    <w:p>
      <w:pPr>
        <w:pStyle w:val="NumPar1"/>
        <w:rPr>
          <w:noProof/>
        </w:rPr>
      </w:pPr>
      <w:r>
        <w:rPr>
          <w:noProof/>
        </w:rPr>
        <w:t>Partea A din anexa V se modifică după cum urmează:</w:t>
      </w:r>
    </w:p>
    <w:p>
      <w:pPr>
        <w:pStyle w:val="Point0letter"/>
        <w:numPr>
          <w:ilvl w:val="1"/>
          <w:numId w:val="9"/>
        </w:numPr>
        <w:rPr>
          <w:noProof/>
        </w:rPr>
      </w:pPr>
      <w:r>
        <w:rPr>
          <w:noProof/>
        </w:rPr>
        <w:t>punctul 1 litera (b) se înlocuiește cu următorul text:</w:t>
      </w:r>
    </w:p>
    <w:p>
      <w:pPr>
        <w:spacing w:before="75" w:after="75"/>
        <w:rPr>
          <w:noProof/>
        </w:rPr>
      </w:pPr>
      <w:r>
        <w:rPr>
          <w:noProof/>
        </w:rPr>
        <w:t>„(b) pentru resortisanții țărilor terțe cărora li s-a refuzat intrarea pentru o ședere de scurtă durată [sau pe baza unei vize de circuit], înregistrează în EES datele privind refuzul intrării, în conformitate cu articolul 6a alineatul (2) din prezentul regulament și cu articolul 16 din [Regulamentul de instituire a sistemului de intrare/ieșire (EES)]. În plus, polițistul de frontieră aplică pe pașaport o ștampilă de intrare, barată de o cruce cu cerneală neagră indelebilă, și scrie lângă aceasta, în partea dreaptă, de asemenea cu cerneală indelebilă, literele corespunzătoare motivelor de refuz al intrării, a căror listă este conținută în modelul uniform de formular de refuz al intrării, menționat în partea B a prezentei anexe.”</w:t>
      </w:r>
    </w:p>
    <w:p>
      <w:pPr>
        <w:pStyle w:val="Point0letter"/>
        <w:rPr>
          <w:noProof/>
        </w:rPr>
      </w:pPr>
      <w:r>
        <w:rPr>
          <w:noProof/>
        </w:rPr>
        <w:t>punctul 1 litera (d) se înlocuiește cu următorul text:</w:t>
      </w:r>
    </w:p>
    <w:p>
      <w:pPr>
        <w:spacing w:before="75" w:after="75"/>
        <w:rPr>
          <w:noProof/>
        </w:rPr>
      </w:pPr>
      <w:r>
        <w:rPr>
          <w:noProof/>
        </w:rPr>
        <w:t>„(d) pentru resortisanții țărilor terțe al căror refuz al intrării nu se înregistrează în EES, aplică pe pașaport o ștampilă de intrare, barată de o cruce cu cerneală neagră indelebilă, și scrie lângă aceasta, în partea dreaptă, de asemenea cu cerneală indelebilă, literele corespunzătoare motivelor de refuz al intrării, a căror listă este conținută în modelul uniform de formular de refuz al intrării, menționat în partea B a prezentei anexe. În plus, pentru aceste categorii de persoane, polițistul de frontieră înregistrează fiecare refuz al intrării într-un registru sau pe o listă în care menționează identitatea și cetățenia resortisantului țării terțe în cauză, referințele documentului care permite trecerea frontierei de către resortisantul țării terțe în cauză, precum și motivul și data refuzului intrării;”</w:t>
      </w:r>
    </w:p>
    <w:p>
      <w:pPr>
        <w:pStyle w:val="Point0letter"/>
        <w:rPr>
          <w:noProof/>
        </w:rPr>
      </w:pPr>
      <w:r>
        <w:rPr>
          <w:noProof/>
        </w:rPr>
        <w:t>se adaugă punctul (1) litera (e):</w:t>
      </w:r>
    </w:p>
    <w:p>
      <w:pPr>
        <w:spacing w:before="75" w:after="75"/>
        <w:rPr>
          <w:noProof/>
        </w:rPr>
      </w:pPr>
      <w:r>
        <w:rPr>
          <w:noProof/>
        </w:rPr>
        <w:t>„(e) Aspectele practice privind aplicarea ștampilei sunt prevăzute în anexa IV.”</w:t>
      </w:r>
    </w:p>
    <w:p>
      <w:pPr>
        <w:rPr>
          <w:noProof/>
        </w:rPr>
      </w:pPr>
    </w:p>
    <w:sectPr>
      <w:footerReference w:type="default" r:id="rId19"/>
      <w:footerReference w:type="first" r:id="rId20"/>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06248C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37C6BFA"/>
    <w:lvl w:ilvl="0">
      <w:start w:val="1"/>
      <w:numFmt w:val="decimal"/>
      <w:pStyle w:val="ListNumber3"/>
      <w:lvlText w:val="%1."/>
      <w:lvlJc w:val="left"/>
      <w:pPr>
        <w:tabs>
          <w:tab w:val="num" w:pos="926"/>
        </w:tabs>
        <w:ind w:left="926" w:hanging="360"/>
      </w:pPr>
    </w:lvl>
  </w:abstractNum>
  <w:abstractNum w:abstractNumId="2">
    <w:nsid w:val="FFFFFF7F"/>
    <w:multiLevelType w:val="singleLevel"/>
    <w:tmpl w:val="0BFC05D0"/>
    <w:lvl w:ilvl="0">
      <w:start w:val="1"/>
      <w:numFmt w:val="decimal"/>
      <w:pStyle w:val="ListNumber2"/>
      <w:lvlText w:val="%1."/>
      <w:lvlJc w:val="left"/>
      <w:pPr>
        <w:tabs>
          <w:tab w:val="num" w:pos="643"/>
        </w:tabs>
        <w:ind w:left="643" w:hanging="360"/>
      </w:pPr>
    </w:lvl>
  </w:abstractNum>
  <w:abstractNum w:abstractNumId="3">
    <w:nsid w:val="FFFFFF81"/>
    <w:multiLevelType w:val="singleLevel"/>
    <w:tmpl w:val="4DD6A39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BD8AAB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4F4EB0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74C6964"/>
    <w:lvl w:ilvl="0">
      <w:start w:val="1"/>
      <w:numFmt w:val="decimal"/>
      <w:pStyle w:val="ListNumber"/>
      <w:lvlText w:val="%1."/>
      <w:lvlJc w:val="left"/>
      <w:pPr>
        <w:tabs>
          <w:tab w:val="num" w:pos="360"/>
        </w:tabs>
        <w:ind w:left="360" w:hanging="360"/>
      </w:pPr>
    </w:lvl>
  </w:abstractNum>
  <w:abstractNum w:abstractNumId="7">
    <w:nsid w:val="FFFFFF89"/>
    <w:multiLevelType w:val="singleLevel"/>
    <w:tmpl w:val="10282F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5-01 11:48:2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1"/>
    <w:docVar w:name="DQCStatus" w:val="Green"/>
    <w:docVar w:name="DQCVersion" w:val="3"/>
    <w:docVar w:name="DQCWithWarnings" w:val="0"/>
    <w:docVar w:name="LW_ACCOMPAGNANT.CP" w:val="la"/>
    <w:docVar w:name="LW_ANNEX_NBR_FIRST" w:val="1"/>
    <w:docVar w:name="LW_ANNEX_NBR_LAST" w:val="1"/>
    <w:docVar w:name="LW_CONFIDENCE" w:val=" "/>
    <w:docVar w:name="LW_CONST_RESTREINT_UE" w:val="RESTREINT UE"/>
    <w:docVar w:name="LW_CORRIGENDUM" w:val="&lt;UNUSED&gt;"/>
    <w:docVar w:name="LW_COVERPAGE_GUID" w:val="69BC10200D5F4A2AA3AB1AA9087D770F"/>
    <w:docVar w:name="LW_CROSSREFERENCE" w:val="{SWD(2016) 115 final}_x000b_{SWD(2016) 116 final}"/>
    <w:docVar w:name="LW_DocType" w:val="ANNEX"/>
    <w:docVar w:name="LW_EMISSION" w:val="6.4.2016"/>
    <w:docVar w:name="LW_EMISSION_ISODATE" w:val="2016-04-06"/>
    <w:docVar w:name="LW_EMISSION_LOCATION" w:val="BRX"/>
    <w:docVar w:name="LW_EMISSION_PREFIX" w:val="Bruxelles, "/>
    <w:docVar w:name="LW_EMISSION_SUFFIX" w:val=" "/>
    <w:docVar w:name="LW_ID_DOCSTRUCTURE" w:val="COM/ANNEX"/>
    <w:docVar w:name="LW_ID_DOCTYPE" w:val="SG-017"/>
    <w:docVar w:name="LW_LANGUE" w:val="RO"/>
    <w:docVar w:name="LW_MARKING" w:val="&lt;UNUSED&gt;"/>
    <w:docVar w:name="LW_NOM.INST" w:val="COMISIA EUROPEAN\u258?"/>
    <w:docVar w:name="LW_NOM.INST_JOINTDOC" w:val="&lt;EMPTY&gt;"/>
    <w:docVar w:name="LW_OBJETACTEPRINCIPAL.CP" w:val="REGULAMENT AL PARLAMENTULUI EUROPEAN \u536?I AL CONSILIULUI_x000b_de modificare a Regulamentului (UE) 2016/399 în ceea ce prive\u537?te utilizarea sistemului de intrare/ie\u537?ire"/>
    <w:docVar w:name="LW_PART_NBR" w:val="1"/>
    <w:docVar w:name="LW_PART_NBR_TOTAL" w:val="1"/>
    <w:docVar w:name="LW_REF.INST.NEW" w:val="COM"/>
    <w:docVar w:name="LW_REF.INST.NEW_ADOPTED" w:val="final"/>
    <w:docVar w:name="LW_REF.INST.NEW_TEXT" w:val="(2016) 196"/>
    <w:docVar w:name="LW_REF.INTERNE" w:val="&lt;UNUSED&gt;"/>
    <w:docVar w:name="LW_SUPERTITRE" w:val="&lt;UNUSED&gt;"/>
    <w:docVar w:name="LW_TITRE.OBJ.CP" w:val="&lt;UNUSED&gt;"/>
    <w:docVar w:name="LW_TYPE.DOC.CP" w:val="ANEX\u258?"/>
    <w:docVar w:name="LW_TYPEACTEPRINCIPAL.CP" w:val="Propunerea de "/>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99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4</Pages>
  <Words>636</Words>
  <Characters>3485</Characters>
  <Application>Microsoft Office Word</Application>
  <DocSecurity>0</DocSecurity>
  <Lines>72</Lines>
  <Paragraphs>34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MARTINEZ Adrian (COMP)</dc:creator>
  <cp:lastModifiedBy>DIGIT/A3</cp:lastModifiedBy>
  <cp:revision>8</cp:revision>
  <dcterms:created xsi:type="dcterms:W3CDTF">2016-04-28T13:29:00Z</dcterms:created>
  <dcterms:modified xsi:type="dcterms:W3CDTF">2016-05-01T09:48:00Z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