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8C78D70E5CD49AA91DD03A968306DE2" style="width:450.75pt;height:37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l-għanijiet tagħha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Wara d-deċiżjonijiet dwar il-liberalizzazzjoni tal-viża għall-pajjiżi tal-Balkani tal-Punent, fl-2011 il-Kummissjoni pproponiet li tistabbilixxi “klawżola ta’ salvagwardja għall-viżi” fir-Regolament tal-Kunsill (KE) Nru 539/2001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jkun jippermetti s-sospensjoni temporanja tal-eżenzjoni mill-viża għaċ-ċittadini ta’ pajjiż terz għal perjodu qasir ta’ żmien, bħala kwistjoni ta’ urġenza, u abbażi ta’ kriterji definiti, sabiex issolvi d-diffikultajiet iffaċċjati minn wieħed jew aktar mill-Istati Membri f’każ ta’ żieda sostanzjali u f’daqqa fil-migrazzjoni irregolari jew l-applikazzjonijiet għall-ażil bla bażi, applikazzjonijiet għar-riammissjoni rifjutati, ippreżentati minn Stat Membru lejn il-pajjiż terz konċernat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Fil-11 ta’ Diċembru 2013, il-Parlament Ewropew u l-Kunsill adottaw ir-Regolament (UE) Nru 1289/2013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li emenda r-Regolament (KE) Nru 539/2001 billi introduċa l-hekk imsejjaħ “mekkaniżmu ta’ sospensjoni” u mmodifika l-mekkaniżmu ta’ reċiproċità eżistenti. </w:t>
      </w:r>
    </w:p>
    <w:p>
      <w:pPr>
        <w:rPr>
          <w:noProof/>
        </w:rPr>
      </w:pPr>
      <w:r>
        <w:rPr>
          <w:noProof/>
        </w:rPr>
        <w:t>Dan il-mekkaniżmu ta’ sospensjoni fl-Artikolu 1a tar-Regolament (KE) Nru 539/2001 jippermetti s-sospensjoni temporanja tal-eżenzjoni mill-viża għaċ-ċittadini ta’ pajjiż terz f’ċerti sitwazzjonijiet ta’ emerġenza, bħala l-aħħar alternattiva. Dan jista’ jiġi skattat minn kull Stat Membru billi jinnotifika lill-Kummissjoni li huwa kkonfrontat, fuq perjodu ta’ sitt xhur, meta mqabbel mal-istess perjodu fis-sena preċedenti jew mal-aħħar sitt xhur qabel il-liberalizzazzjoni tal-viża f’dak il-pajjiż, b’ċirkostanzi li jwasslu għal sitwazzjoni ta’ emerġenza li l-Istat Membru inkwistjoni ma jkunx jista’ jirrimedja waħdu.</w:t>
      </w:r>
    </w:p>
    <w:p>
      <w:pPr>
        <w:rPr>
          <w:noProof/>
        </w:rPr>
      </w:pPr>
      <w:r>
        <w:rPr>
          <w:noProof/>
        </w:rPr>
        <w:t>Dawn iċ-ċirkostanzi huma prinċipalment żieda sostanzjali u f’daqqa fl-għadd ta’:</w:t>
      </w:r>
    </w:p>
    <w:p>
      <w:pPr>
        <w:pStyle w:val="Tiret0"/>
        <w:numPr>
          <w:ilvl w:val="0"/>
          <w:numId w:val="6"/>
        </w:numPr>
        <w:rPr>
          <w:noProof/>
        </w:rPr>
      </w:pPr>
      <w:r>
        <w:rPr>
          <w:noProof/>
        </w:rPr>
        <w:t>ċittadini ta' dak il-pajjiż terz li jinsabu li jkunu qed joqogħdu b'permanenza b'awtorizzazzjoni skaduta fit-territorju tal-Istat Membru inkwistjoni b'mod illegali;</w:t>
      </w:r>
    </w:p>
    <w:p>
      <w:pPr>
        <w:pStyle w:val="Tiret0"/>
        <w:rPr>
          <w:noProof/>
        </w:rPr>
      </w:pPr>
      <w:r>
        <w:rPr>
          <w:noProof/>
        </w:rPr>
        <w:t>applikazzjonijiet għall-ażil bla bażi miċ-ċittadini ta' dak il-pajjiż terz, meta żieda bħal din qiegħda twassal għal pressjonijiet speċifiċi fuq is-sistema tal-asil tal-Istat Membru;</w:t>
      </w:r>
    </w:p>
    <w:p>
      <w:pPr>
        <w:pStyle w:val="Tiret0"/>
        <w:rPr>
          <w:noProof/>
        </w:rPr>
      </w:pPr>
      <w:r>
        <w:rPr>
          <w:noProof/>
        </w:rPr>
        <w:t>applikazzjonijiet għar-riammissjoni rifjutati, ippreżentati mill-Istat Membru lil dak il-pajjiż terz għaċ-ċittadini tiegħu stess.</w:t>
      </w:r>
    </w:p>
    <w:p>
      <w:pPr>
        <w:rPr>
          <w:noProof/>
        </w:rPr>
      </w:pPr>
      <w:r>
        <w:rPr>
          <w:noProof/>
        </w:rPr>
        <w:t>Meta jinnotifika lill-Kummissjoni, l-Istat Membru jrid jiddikjara r-raġunijiet għall-attivazzjoni tal-mekkaniżmu, jipprovdi dejta u statistika rilevanti, kif ukoll jiddeskrivi miżuri preliminari li ħa biex jirrimedja s-sitwazzjoni. Il-Kummissjoni mbagħad tinforma kemm lill-Kunsill kif ukoll lill-Parlament Ewropew u teżamina s-sitwazzjoni u l-ambitu tal-problema (l-għadd ta’ Stati Membri milquta, l-impatt fuq is-sitwazzjoni ġenerali tal-migrazzjoni fl-Unjoni).</w:t>
      </w:r>
    </w:p>
    <w:p>
      <w:pPr>
        <w:rPr>
          <w:noProof/>
        </w:rPr>
      </w:pPr>
      <w:r>
        <w:rPr>
          <w:noProof/>
        </w:rPr>
        <w:lastRenderedPageBreak/>
        <w:t xml:space="preserve">Il-Kummissjoni tista’ tiddeċiedi li hija meħtieġa azzjoni, filwaqt li tqis il-konsegwenzi ta’ sospensjoni tal-eżenzjoni tal-viża għar-relazzjonijiet esterni tal-Unjoni u l-Istati Membri tagħha mal-pajjiż terz ikkonċernat, filwaqt li taħdem f’kooperazzjoni mill-qrib ma’ dak il-pajjiż terz biex jinstabu soluzzjonijiet alternattivi fit-tul. F’dak il-każ, il-Kummissjoni għandha tliet xhur minn meta tirċievi n-notifika biex tadotta att ta’ implimentazzjoni li jissospendi temporanjament l-eżenzjoni mir-rekwiżit tal-viża għaċ-ċittadini tal-pajjiż terz ikkonċernat, għal perjodu ta’ sitt xhur. </w:t>
      </w:r>
    </w:p>
    <w:p>
      <w:pPr>
        <w:rPr>
          <w:noProof/>
        </w:rPr>
      </w:pPr>
      <w:r>
        <w:rPr>
          <w:noProof/>
        </w:rPr>
        <w:t xml:space="preserve">Qabel l-iskadenza ta’ dan il-perjodu ta’ sitt xhur, il-Kummissjoni trid tippreżenta rapport lill-Parlament Ewropew u lill-Kunsill. Dan ir-rapport jista’ jiġi akkumpanjat minn proposta leġiżlattiva biex temenda r-Regolament (KE) Nru 539/2001 għat-trasferiment tal-pajjiż terz inkwistjoni lejn il-lista tal-pajjiżi li jirrikjedu viża (Anness I), biex b’hekk iċ-ċittadini tiegħu jkunu jeħtieġu l-viża b'mod permanenti. F’dan il-każ, is-sospensjoni temporanja tal-eżenzjoni mill-viża tista’ tiġi estiża b’perjodu massimu ta’ 12-il xahar. </w:t>
      </w:r>
    </w:p>
    <w:p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Fil-kuntest tas-sitwazzjoni migratorja attwali fl-Unjoni Ewropea u tal-konklużjoni b’suċċess tad-diversi djalogi dwar il-liberalizzazzjoni tal-viża ma’ pajjiżi ġirien (il-Ġeorġja, l-Ukraina, il-Kosovo, it-Turkija), diversi Stati Membri esprimew dubji dwar jekk il-mekkaniżmu ta’ sospensjoni tal-viżi eżistenti jipprevedix il-flessibbiltà meħtieġa biex jaġixxi f’ċerti sitwazzjonijiet ta’ urġenza. B’mod partikolari, huma sostnew li: </w:t>
      </w:r>
    </w:p>
    <w:p>
      <w:pPr>
        <w:pStyle w:val="Tiret0"/>
        <w:rPr>
          <w:rFonts w:eastAsia="Calibri"/>
          <w:noProof/>
        </w:rPr>
      </w:pPr>
      <w:r>
        <w:rPr>
          <w:noProof/>
        </w:rPr>
        <w:t>ir-raġunijiet possibbli għal sospensjoni huma limitati wisq, u pereżempju ma jinkludux in-nuqqas ta’ pajjiż terz milli jikkoopera dwar ir-riammissjoni ta’ ċittadini ta’ pajjiżi terzi li għaddew bi tranżitu minn dak il-pajjiż terz, fejn ftehim ta’ riammissjoni konkluż bejn l-Unjoni jew Stat Membru u l-pajjiż terz ikkonċernat jipprevedi tali obbligu ta’ riammissjoni;</w:t>
      </w:r>
    </w:p>
    <w:p>
      <w:pPr>
        <w:pStyle w:val="Tiret0"/>
        <w:rPr>
          <w:rFonts w:eastAsia="Calibri"/>
          <w:noProof/>
        </w:rPr>
      </w:pPr>
      <w:r>
        <w:rPr>
          <w:noProof/>
        </w:rPr>
        <w:t>l-inizjattiva li jiskatta l-mekkaniżmu ta’ sospensjoni permezz ta’ notifika, li fir-Regolament hija biss f’idejn l-Istati Membri, għandha tiġi estiża lill-Kummissjoni;</w:t>
      </w:r>
    </w:p>
    <w:p>
      <w:pPr>
        <w:pStyle w:val="Tiret0"/>
        <w:rPr>
          <w:rFonts w:eastAsia="Calibri"/>
          <w:noProof/>
        </w:rPr>
      </w:pPr>
      <w:r>
        <w:rPr>
          <w:noProof/>
        </w:rPr>
        <w:t>il-perjodi ta’ referenza u d-dati ta’ skadenza huma twal wisq, u ma jippermettux għal reazzjoni rapida f’sitwazzjonijiet ta’ emerġenza.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Filwaqt li qieset il-proposti reċenti tagħha għal-liberalizzazzjoni tal-viża fir-rigward tal-Ġeorġja</w:t>
      </w:r>
      <w:r>
        <w:rPr>
          <w:rStyle w:val="FootnoteReference"/>
          <w:noProof/>
        </w:rPr>
        <w:footnoteReference w:id="4"/>
      </w:r>
      <w:r>
        <w:rPr>
          <w:noProof/>
        </w:rPr>
        <w:t>, l-Ukraina</w:t>
      </w:r>
      <w:r>
        <w:rPr>
          <w:rStyle w:val="FootnoteReference"/>
          <w:noProof/>
        </w:rPr>
        <w:footnoteReference w:id="5"/>
      </w:r>
      <w:r>
        <w:rPr>
          <w:noProof/>
        </w:rPr>
        <w:t>, it-Turkija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l-Kosovo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 d-diskussjonijiet reċenti mal-Istati Membri, il-Kummissjoni ddeċidiet li tippreżenta proposta biex temenda r-Regolament (KE) Nru 539/2001 biex jiġi rivedut il-mekkaniżmu attwali ta’ sospensjoni .</w:t>
      </w:r>
    </w:p>
    <w:p>
      <w:pPr>
        <w:widowControl w:val="0"/>
        <w:autoSpaceDE w:val="0"/>
        <w:autoSpaceDN w:val="0"/>
        <w:adjustRightInd w:val="0"/>
        <w:rPr>
          <w:b/>
          <w:noProof/>
        </w:rPr>
      </w:pPr>
      <w:r>
        <w:rPr>
          <w:noProof/>
        </w:rPr>
        <w:t>L-għan prinċipali huwa li jissaħħaħ il-mekkaniżmu ta’ sospensjoni billi jagħmilha iktar faċli għall-Istati Membri li jinnotifikaw iċ-ċirkostanzi li jwasslu għal sospensjoni possibbli u billi jippermetti lill-Kummissjoni biex tattiva l-mekkaniżmu bl-inizjattiva tagħha stess. B’mod partikolari, l-użu tal-mekkaniżmu għandu jkun iffaċilitat billi jitqassru l-perjodi ta’ referenza u d-dati ta’ skadenza li jippermettu għal proċedura aktar rapida u bl-estensjoni tar-raġunijiet possibbli ta’ sospensjoni, li għandhom jinkludu żieda sostanzjali fl-għadd ta’ applikazzjonijiet għar-riammissjoni rifjutati ta' ċittadini ta’ pajjiżi terzi li għaddew bi tranżitu minn dak il-pajjiż terz, fejn ftehim ta’ riammissjoni konkluż mill-Unjoni jew minn Stat Membru u l-pajjiż terz ikkonċernat jipprevedi tali obbligu ta’ riammissjoni. Il-Kummissjoni għandu jkollha wkoll il-possibbiltà li tattiva l-mekkaniżmu f’każ li l-pajjiż terz jonqos milli jikkoopera fir-</w:t>
      </w:r>
      <w:r>
        <w:rPr>
          <w:noProof/>
        </w:rPr>
        <w:lastRenderedPageBreak/>
        <w:t>riammissjoni, b’mod partikolari fejn ftehim ta’ riammissjoni jkun ġie konkluż bejn dak il-pajjiż terz u l-Unjoni.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Ir-Regolament tal-Kunsill (KE) Nru 539/2001 jelenka l-pajjiżi terzi li ċ-ċittadini tagħhom għandu jkollhom viża fil-pussess tagħhom meta jaqsmu l-fruntieri esterni tal-Istati Membri u dawk li ċ-ċittadini tagħhom huma eżentati minn din il-ħtieġa. Ir-Regolament (KE) Nru 539/2001 jiġi applikat mill-Istati Membri kollha – bl-eċċezzjoni tal-Irlanda u tar-Renju Unit – u wkoll mill-Iżlanda, mil-Liechtenstein, min-Norveġja u mill-Iżvizzera. Dan ir-Regolament huwa parti mill-politika komuni tal-UE dwar il-viżi għal soġġorni qosra sa 90 jum fi kwalunkwe perjodu ta' 180 jum.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Peress li l-proposta se temenda l-politika komuni tal-UE dwar il-viżi, il-bażi ġuridika għal din il-proposta hija l-punt (a) tal-Artikolu 77(2) tat-Trattat dwar il-Funzjonament tal-Unjoni Ewropea (TFUE). Ir-regolament propost se jikkostitwixxi żvilupp tal-</w:t>
      </w:r>
      <w:r>
        <w:rPr>
          <w:i/>
          <w:noProof/>
        </w:rPr>
        <w:t>acquis</w:t>
      </w:r>
      <w:r>
        <w:rPr>
          <w:noProof/>
        </w:rPr>
        <w:t xml:space="preserve"> ta’ Schengen.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Sussidjarjetà, proporzjonalità u għażla ta' 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Il-mekkaniżmu ta’ sospensjoni stabbilit fir-Regolament (KE) Nru 539/2001, huwa parti integrali tal-politika komuni tal-UE dwar il-viżi. L-objettiv ta’ tisħiħ ta’ dan il-mekkaniżmu sabiex isir aktar effettiv, billi jitwessa’ l-kamp ta’ applikazzjoni tiegħu u billi jippermetti lill-Kummissjoni li tattivah bl-inizjattiva tagħha stess, jista’ jinkiseb biss permezz ta’ azzjoni fil-livell tal-Unjoni, jiġifieri permezz ta’ emenda għar-Regolament. L-Istati Membri ma jistgħux jaġixxu individwalment biex jinkiseb l-objettiv tal-politika. L-ebda għażla oħra (mhux leġiżlattiva) biex jintlaħaq l-objettiv tal-politika ma hi disponibbli.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Il-mekkaniżmu ta' sospensjoni eżistenti introdott f’Diċembru 2013, sa issa qatt ma ntuża; għalhekk l-ebda esperjenza prattika bil-mekkaniżmu preżenti ma hija disponibbli. Madankollu, diversi Stati Membri sostnew li dan il-mekkaniżmu għadu qatt ma ntuża billi l-ostakli biex jiġi attivat huma għoljin wisq u l-iskadenzi huma twal wisq.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Il-ħtieġa għal salvagwardji addizzjonali wara l-liberalizzazzjoni tal-viża għall-pajjiżi fil-viċinat tal-Unjoni ġiet diskussa mal-Istati Membri fi ħdan il-COREPER u fil-Grupp ta’ Ħidma dwar il-Viża. Fl-abbozzar ta’ din il-proposta, tqiesu suġġerimenti informali mill-Istati Membri biex jiġi rivedut il-mekkaniżmu ta’ sospensjoni.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Ir-reviżjoni tal-mekkaniżmu ta’ sospensjoni bħala tali ma għandhiex xi impatti ekonomiċi diretti jew oħrajn. L-impatt politiku u ekonomiku tas-sospensjoni possibbli tal-eżenzjoni mill-viża għaċ-ċittadini ta’ ċertu pajjiż terz jkollu jiġi vvalutat fid-dettall mill-Kummissjoni f’kull </w:t>
      </w:r>
      <w:r>
        <w:rPr>
          <w:noProof/>
        </w:rPr>
        <w:lastRenderedPageBreak/>
        <w:t>każ individwali meta din teżamina notifika minn Stat Membru u qabel ma tiddeċiedi jekk hix meħtieġa azzjoni. Għalhekk l-ebda valutazzjoni tal-impatt ma hija meħtieġa għal din il-proposta.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ma għandhiex konsegwenzi negattivi għall-ħarsien tad-drittijiet fundamentali fl-Unjoni Ewropea.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m/a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ta' implimentazzjoni u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Il-Kummissjoni se żżid il-monitoraġġ tagħha tas-sitwazzjoni fuq il-migrazzjoni u s-sigurtà li tirriżulta mid-deċiżjonijiet reċenti dwar il-liberalizzazzjoni tal-viża sabiex tkun tista’ tagħmel użu sħiħ mill-possibilitajiet ipprovduti mill-mekkaniżmu ta’ sospensjoni rivedut fejn meħtieġ. 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għar-reviżjoni tal-mekkaniżmu ta’ sospensjoni fl-Artikolu 1a tar-Regolament (KE) Nru 539/2001 tinkludi l-elementi li ġejjin:</w:t>
      </w:r>
    </w:p>
    <w:p>
      <w:pPr>
        <w:pStyle w:val="Tiret0"/>
        <w:rPr>
          <w:noProof/>
        </w:rPr>
      </w:pPr>
      <w:r>
        <w:rPr>
          <w:noProof/>
        </w:rPr>
        <w:t xml:space="preserve">Id-definizzjoni taċ-ċirkostanzi li l-Istati Membri jistgħu jinnotifikaw lill-Kummissjoni ġiet emendata biex tiċċara li l-mekkaniżmu ta’ sospensjoni ma jkunx jista’ jintuża biss f’"sitwazzjonijiet ta’ emerġenza, bħala l-aħħar rikors", iżda jkun jista' jintuża b’mod aktar ġenerali f’każ li l-liberalizzazzjoni tal-viża twassal għal żieda serja fil-migrazzjoni irregolari, fl-applikazzjonijiet għall-ażil bla bażi jew fl-applikazzjonijiet għar-riammissjoni rifjutati. </w:t>
      </w:r>
    </w:p>
    <w:p>
      <w:pPr>
        <w:pStyle w:val="Tiret0"/>
        <w:rPr>
          <w:noProof/>
        </w:rPr>
      </w:pPr>
      <w:r>
        <w:rPr>
          <w:noProof/>
        </w:rPr>
        <w:t>Il-perjodu ta’ referenza biex din is-sitwazzjoni titqabbel ma' dik tas-sena ta’ qabel jew ma' qabel il-liberalizzazzjoni tal-viża, tqassar minn sitt xhur għal xahrejn.</w:t>
      </w:r>
    </w:p>
    <w:p>
      <w:pPr>
        <w:pStyle w:val="Tiret0"/>
        <w:rPr>
          <w:noProof/>
        </w:rPr>
      </w:pPr>
      <w:r>
        <w:rPr>
          <w:noProof/>
        </w:rPr>
        <w:t xml:space="preserve">Iż-żieda fil-migrazzjoni irregolari, fl-għadd ta' applikazzjonijiet għall-ażil bla bażi jew fl-għadd ta' applikazzjonijiet għar-riammissjoni rifjutati, li għandha tkun waħda "sostanzjali u f'daqqa", skont ir-regolament attwali, trid sempliċement tkun "sostanzjali" fil-proposta. </w:t>
      </w:r>
    </w:p>
    <w:p>
      <w:pPr>
        <w:pStyle w:val="Tiret0"/>
        <w:rPr>
          <w:noProof/>
        </w:rPr>
      </w:pPr>
      <w:r>
        <w:rPr>
          <w:noProof/>
        </w:rPr>
        <w:t xml:space="preserve">Ir-raġunijiet għal sospensjoni possibbli li jistgħu jiġu notifikati għandhom jinkludu applikazzjonijiet għar-riammissjoni rifjutati għal ċittadini ta’ </w:t>
      </w:r>
      <w:r>
        <w:rPr>
          <w:noProof/>
          <w:u w:val="single"/>
        </w:rPr>
        <w:t>pajjiż terz ieħor</w:t>
      </w:r>
      <w:r>
        <w:rPr>
          <w:noProof/>
        </w:rPr>
        <w:t xml:space="preserve"> li jgħaddu bi tranżitu minn dan il-pajjiż terz, fejn ftehim ta’ riammissjoni konkluż bejn l-Unjoni jew Stat Membru u l-pajjiż terz ikkonċernat jipprovdi għal tali obbligu ta’ riammissjoni.</w:t>
      </w:r>
    </w:p>
    <w:p>
      <w:pPr>
        <w:pStyle w:val="Tiret0"/>
        <w:rPr>
          <w:noProof/>
        </w:rPr>
      </w:pPr>
      <w:r>
        <w:rPr>
          <w:noProof/>
        </w:rPr>
        <w:t>Il-limitu ta’ żmien (sa seba’ snin) tal-possibbiltà biex jitqabblu s-sitwazzjoni attwali mas-sitwazzjoni qabel il-liberalizzazzjoni tal-viża qed jitneħħa.</w:t>
      </w:r>
    </w:p>
    <w:p>
      <w:pPr>
        <w:pStyle w:val="Tiret0"/>
        <w:rPr>
          <w:noProof/>
        </w:rPr>
      </w:pPr>
      <w:r>
        <w:rPr>
          <w:noProof/>
        </w:rPr>
        <w:t xml:space="preserve">Il-Kummissjoni tingħata l-possibiltà li tattiva l-mekkaniżmu ta’ sospensjoni bl-inizjattiva tagħha stess jekk ikollha informazzjoni konkreta u kredibbli dwar ċirkustanza partikolari tkun xi tkun, li l-Istati Membri jistgħu jinnotifikaw, jew jekk </w:t>
      </w:r>
      <w:r>
        <w:rPr>
          <w:noProof/>
        </w:rPr>
        <w:lastRenderedPageBreak/>
        <w:t xml:space="preserve">il-pajjiż terz – b’mod aktar ġenerali – ma jkunx qed jikkoopera dwar ir-riammissjoni, b’mod partikolari fejn ftehim ta’ riammissjoni fil-livell tal-UE jkun ġie konkluż ma’ dak il-pajjiż terz. Dan in-nuqqas ta’ koperazzjoni jista', pereżempju, jikkonsisti:  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 xml:space="preserve">f'rifjut jew nuqqas ta’ tweġiba għall-applikazzjonijiet tar-riammissjoni, </w:t>
      </w:r>
    </w:p>
    <w:p>
      <w:pPr>
        <w:pStyle w:val="Tiret1"/>
        <w:rPr>
          <w:noProof/>
        </w:rPr>
      </w:pPr>
      <w:r>
        <w:rPr>
          <w:noProof/>
        </w:rPr>
        <w:t xml:space="preserve">f'nuqqas milli jinħarġu dokumenti tal-ivvjaġġjar għall-finijiet tar-ritorn fl-iskadenzi speċifikati fil-ftehim jew li ma jiġux aċċettati dokumenti tal-ivvjaġġar Ewropej maħruġa wara li jgħaddu l-iskadenzi speċifikati fil-ftehim, </w:t>
      </w:r>
    </w:p>
    <w:p>
      <w:pPr>
        <w:pStyle w:val="Tiret1"/>
        <w:rPr>
          <w:noProof/>
        </w:rPr>
      </w:pPr>
      <w:r>
        <w:rPr>
          <w:noProof/>
        </w:rPr>
        <w:t>fit-terminazzjoni jew is-sospensjoni tal-ftehim.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 xml:space="preserve">Fejn il-Kummissjoni, wara li tkun eżaminat iċ-ċirkustanzi notifikati (jew li dwarhom hija tkun irċeviet informazzjoni konkreta u affidabbli), tiddeċiedi li hija meħtieġa azzjoni, l-iskadenza għall-adozzjoni tal-att ta' implimentazzjoni li jissospendi temporanjament l-eżenzjoni mill-ħtieġa tal-viża għal pajjiż terz ikkonċernat titnaqqas minn tliet xhur għal xahar. </w:t>
      </w:r>
    </w:p>
    <w:p>
      <w:pPr>
        <w:pStyle w:val="Tiret0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2016/0142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tal-Kunsill (KE) Nru 539/2001 li jelenka l-pajjiżi terzi li ċ-ċittadini tagħhom għandu jkollhom viża fil-pussess tagħhom meta jaqsmu l-fruntieri esterni u dawk iċ-ċittadini li huma eżentati minn dik il-ħtieġa</w:t>
      </w:r>
    </w:p>
    <w:p>
      <w:pPr>
        <w:pStyle w:val="Sous-titreobjet"/>
        <w:rPr>
          <w:noProof/>
        </w:rPr>
      </w:pPr>
      <w:r>
        <w:rPr>
          <w:noProof/>
        </w:rPr>
        <w:t>(reviżjoni tal-mekkaniżmu ta’ sospensjoni)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l-punt (a) tal-Artikolu 77(2)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ind w:firstLine="0"/>
        <w:rPr>
          <w:noProof/>
        </w:rPr>
      </w:pPr>
      <w:r>
        <w:rPr>
          <w:noProof/>
        </w:rPr>
        <w:t>(1)</w:t>
      </w:r>
      <w:r>
        <w:rPr>
          <w:noProof/>
        </w:rPr>
        <w:tab/>
        <w:t>Ir-Regolament tal-Kunsill (KE) Nru 539/2001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jelenka l-pajjiżi terzi li ċ-ċittadini tagħhom għandu jkollhom viża fil-pussess tagħhom meta jaqsmu l-fruntieri esterni tal-Istati Membri u dawk li ċ-ċittadini tagħhom huma eżentati minn din il-ħtieġa.</w:t>
      </w:r>
    </w:p>
    <w:p>
      <w:pPr>
        <w:pStyle w:val="ManualConsidrant"/>
        <w:ind w:firstLine="0"/>
        <w:rPr>
          <w:rFonts w:eastAsia="Calibri"/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Il-mekkaniżmu għas-sospensjoni temporanja tal-eżenzjoni mir-rekwiżit tal-viża għaċ-ċittadini ta’ pajjiż terz elenkat fl-Anness II ta’ dan ir-Regolament (“il-mekkaniżmu ta’ sospensjoni”) għandu jissaħħaħ billi jagħmilha aktar faċli għall-Istati Membri li jinnotifikaw iċ-ċirkostanzi li jwasslu għal sospensjoni possibbli u billi jippermetti lill-Kummissjoni tattiva l-mekkaniżmu fuq l-inizjattiva tagħha stess. </w:t>
      </w:r>
    </w:p>
    <w:p>
      <w:pPr>
        <w:pStyle w:val="ManualConsidrant"/>
        <w:ind w:firstLine="0"/>
        <w:rPr>
          <w:noProof/>
        </w:rPr>
      </w:pPr>
      <w:r>
        <w:rPr>
          <w:noProof/>
        </w:rPr>
        <w:t>(3)</w:t>
      </w:r>
      <w:r>
        <w:rPr>
          <w:noProof/>
        </w:rPr>
        <w:tab/>
        <w:t>B’mod partikolari, l-użu tal-mekkaniżmu għandu jkun iffaċilitat billi jitqassru l-perjodi ta’ referenza u d-dati ta’ skadenza li jippermettu proċedura aktar rapida u bl-estensjoni tar-raġunijiet possibbli ta’ sospensjoni, li għandhom jinkludu żieda sostanzjali fl-għadd ta’ applikazzjonijiet għar-riammissjoni rifjutati għal ċittadini ta’ pajjiżi terzi li għaddew fi transitu mill-pajjiż terz ikkonċernat, fejn ftehim ta’ riammissjoni konkluż bejn l-Unjoni jew Stat Membru u dak il-pajjiż terz jipprevedi tali obbligu ta’ riammissjoni. Il-Kummissjoni għandu jkollha wkoll il-possibbiltà li tattiva l-mekkaniżmu f’każ li l-pajjiż terz jonqos milli jikkoopera fir-rigward tar-riammissjoni, b’mod partikolari fejn ftehim ta’ riammissjoni jkun ġie konkluż bejn il-pajjiż terz ikkonċernat u l-Unjoni.</w:t>
      </w:r>
    </w:p>
    <w:p>
      <w:pPr>
        <w:pStyle w:val="ManualConsidrant"/>
        <w:ind w:firstLine="0"/>
        <w:rPr>
          <w:noProof/>
        </w:rPr>
      </w:pPr>
      <w:r>
        <w:rPr>
          <w:noProof/>
        </w:rPr>
        <w:lastRenderedPageBreak/>
        <w:t>(4)</w:t>
      </w:r>
      <w:r>
        <w:rPr>
          <w:noProof/>
        </w:rPr>
        <w:tab/>
        <w:t>Dan ir-Regolament jikkostitwixxi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ta’ Schengen li fihom ir-Renju Unit ma jipparteċipax, skont id-Deċiżjoni tal-Kunsill 2000/365/KE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Ir-Renju Unit għalhekk mhuwiex qed jieħu sehem fl-adozzjoni ta' dan ir-Regolament u mhuwiex marbut bih jew soġġett għall-applikazzjoni tiegħu. </w:t>
      </w:r>
    </w:p>
    <w:p>
      <w:pPr>
        <w:pStyle w:val="ManualConsidrant"/>
        <w:ind w:firstLine="0"/>
        <w:rPr>
          <w:noProof/>
        </w:rPr>
      </w:pPr>
      <w:r>
        <w:rPr>
          <w:noProof/>
        </w:rPr>
        <w:t>(5)</w:t>
      </w:r>
      <w:r>
        <w:rPr>
          <w:noProof/>
        </w:rPr>
        <w:tab/>
        <w:t>Dan ir-Regolament jikkostitwixxi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ta’ Schengen li fihom l-Irlanda ma tipparteċipax, skont id-Deċiżjoni tal-Kunsill 2002/192/KE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. Għaldaqstant l-Irlanda mhijiex qed tieħu sehem fl-adozzjoni ta’ dan ir-Regolament u mhijiex marbuta bih jew soġġetta għall-applikazzjoni tiegħu. </w:t>
      </w:r>
    </w:p>
    <w:p>
      <w:pPr>
        <w:pStyle w:val="ManualConsidrant"/>
        <w:ind w:firstLine="0"/>
        <w:rPr>
          <w:noProof/>
        </w:rPr>
      </w:pPr>
      <w:r>
        <w:rPr>
          <w:noProof/>
        </w:rPr>
        <w:t>(6)</w:t>
      </w:r>
      <w:r>
        <w:rPr>
          <w:noProof/>
        </w:rPr>
        <w:tab/>
        <w:t>Fir-rigward tal-Iżlanda u tan-Norveġja, dan ir-Regolament jikkostitwixxi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ta' Schengen skont it-tifsira tal-Ftehim konkluż mill-Kunsill tal-Unjoni Ewropea u r-Repubblika tal-Iżlanda u tar-Renju tan-Norveġja dwar l-assoċjazzjoni ta' dawn iż-żewġ Stati mal-implimentazzjoni, l-applikazzjoni u l-iżvilupp tal-</w:t>
      </w:r>
      <w:r>
        <w:rPr>
          <w:i/>
          <w:noProof/>
        </w:rPr>
        <w:t>acquis</w:t>
      </w:r>
      <w:r>
        <w:rPr>
          <w:noProof/>
        </w:rPr>
        <w:t xml:space="preserve"> ta' Schengen, li jaqgħu fit-taqsima msemmija fil-punt B tal-Artikolu 1, tad-Deċiżjoni tal-Kunsill 1999/437/KE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Considrant"/>
        <w:ind w:firstLine="0"/>
        <w:rPr>
          <w:noProof/>
        </w:rPr>
      </w:pPr>
      <w:r>
        <w:rPr>
          <w:noProof/>
        </w:rPr>
        <w:t>(7)</w:t>
      </w:r>
      <w:r>
        <w:rPr>
          <w:noProof/>
        </w:rPr>
        <w:tab/>
        <w:t>Fir-rigward tal-Iżvizzera, dan ir-Regolament jikkostitwixxi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ta' Schengen skont it-tifsira tal-Ftehim bejn l-Unjoni Ewropea, il-Komunità Ewropea, u l-Konfederazzjoni Żvizzera dwar l-assoċjazzjoni tal-Konfederazzjoni Żvizzera mal-implimentazzjoni, l-applikazzjoni u l-iżvilupp tal-</w:t>
      </w:r>
      <w:r>
        <w:rPr>
          <w:i/>
          <w:noProof/>
        </w:rPr>
        <w:t>acquis</w:t>
      </w:r>
      <w:r>
        <w:rPr>
          <w:noProof/>
        </w:rPr>
        <w:t xml:space="preserve"> ta' Schengen li jaqgħu fit-taqsima msemmija fil-punt B tal-Artikolu 1 tad-Deċiżjoni 1999/437/KE, moqrija flimkien mal-Artikolu 3 tad-Deċiżjoni tal-Kunsill 2008/146/KE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ManualConsidrant"/>
        <w:ind w:firstLine="0"/>
        <w:rPr>
          <w:rFonts w:eastAsia="Calibri"/>
          <w:noProof/>
        </w:rPr>
      </w:pPr>
      <w:r>
        <w:rPr>
          <w:noProof/>
        </w:rPr>
        <w:t>(8)</w:t>
      </w:r>
      <w:r>
        <w:rPr>
          <w:noProof/>
        </w:rPr>
        <w:tab/>
        <w:t>Fir-rigward ta’ Liechtenstein, dan ir-Regolament jikkostittwixxi żvilupp tad-dispożizzjonijiet tal-</w:t>
      </w:r>
      <w:r>
        <w:rPr>
          <w:i/>
          <w:noProof/>
        </w:rPr>
        <w:t>acquis</w:t>
      </w:r>
      <w:r>
        <w:rPr>
          <w:noProof/>
        </w:rPr>
        <w:t xml:space="preserve"> ta’ Schengen skont it-tifsira tal-Protokoll iffirmat bejn l-Unjoni Ewropea, il-Komunità Ewropea, il-Konfederazzjoni Żvizzera u l-Prinċipat tal-Liechtenstein dwar l-adeżjoni tal-Prinċipat tal-Liechtenstein mal-Ftehim bejn l-Unjoni Ewropea, il-Komunità Ewropea u l-Konfederazzjoni Żvizzera dwar l-assoċjazzjoni tal-Konfederazzjoni Żvizzera mal-implimentazzjoni, l-applikazzjoni u l-iżvilupp tal-</w:t>
      </w:r>
      <w:r>
        <w:rPr>
          <w:i/>
          <w:noProof/>
        </w:rPr>
        <w:t>acquis</w:t>
      </w:r>
      <w:r>
        <w:rPr>
          <w:noProof/>
        </w:rPr>
        <w:t xml:space="preserve"> ta' Schengen, li jaqgħu fil-qasam imsemmi fil-punt B tal-Artikolu 1 tad-Deċiżjoni 1999/437/KE moqrija flimkien mal-Artikolu 3 tad-Deċiżjoni tal-Kunsill 2011/350/UE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Artikolu 1a tar-Regolament (KE) Nru 539/2001 huwa emendat kif ġej:</w:t>
      </w:r>
    </w:p>
    <w:p>
      <w:pPr>
        <w:pStyle w:val="Point0number"/>
        <w:numPr>
          <w:ilvl w:val="0"/>
          <w:numId w:val="7"/>
        </w:numPr>
        <w:rPr>
          <w:noProof/>
        </w:rPr>
      </w:pPr>
      <w:r>
        <w:rPr>
          <w:noProof/>
        </w:rPr>
        <w:t>fil-paragrafu 1 jitħassar dan il-ġej:</w:t>
      </w:r>
    </w:p>
    <w:p>
      <w:pPr>
        <w:rPr>
          <w:noProof/>
        </w:rPr>
      </w:pPr>
      <w:r>
        <w:rPr>
          <w:noProof/>
        </w:rPr>
        <w:t>"f’sitwazzjonijiet ta’ emerġenza, bħala l-aħħar alternattiva,"</w:t>
      </w:r>
    </w:p>
    <w:p>
      <w:pPr>
        <w:pStyle w:val="Point0number"/>
        <w:rPr>
          <w:noProof/>
        </w:rPr>
      </w:pPr>
      <w:r>
        <w:rPr>
          <w:noProof/>
        </w:rPr>
        <w:t>il-paragrafu 2 jinbidel b'dan li ġej:</w:t>
      </w:r>
    </w:p>
    <w:p>
      <w:pPr>
        <w:rPr>
          <w:noProof/>
        </w:rPr>
      </w:pPr>
      <w:r>
        <w:rPr>
          <w:noProof/>
        </w:rPr>
        <w:t>"2.</w:t>
      </w:r>
      <w:r>
        <w:rPr>
          <w:noProof/>
        </w:rPr>
        <w:tab/>
        <w:t>Stat Membru jista' jinnotifika lill-Kummissjoni jekk jiġi kkonfrontat, fuq perjodu ta' xahrejn, meta mqabbel mal-istess perjodu fis-sena preċedenti jew mal-aħħar xahrejn qabel l-implimentazzjoni tal-eżenzjoni mill-ħtieġa tal-viża għal ċittadini ta' pajjiż terz elenkat fl-Anness II, b'waħda jew iżjed miċ-ċirkostanzi li ġejjin li ma jkunx jista' jirremedja waħdu, jiġifieri:</w:t>
      </w:r>
    </w:p>
    <w:p>
      <w:pPr>
        <w:rPr>
          <w:noProof/>
        </w:rPr>
      </w:pPr>
      <w:r>
        <w:rPr>
          <w:noProof/>
        </w:rPr>
        <w:t>(a)</w:t>
      </w:r>
      <w:r>
        <w:rPr>
          <w:noProof/>
        </w:rPr>
        <w:tab/>
        <w:t>żieda sostanzjali fl-għadd ta' ċittadini ta' dak il-pajjiż terz li jinsabu li jkunu qed joqogħdu fit-territorju tal-Istat Membru mingħajr id-dritt għal dan;</w:t>
      </w:r>
    </w:p>
    <w:p>
      <w:pPr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żieda sostanzjali fl-għadd ta’ applikazzjonijiet għal ażil miċ-ċittadini ta’ dak il-pajjiż terz li għalih ir-rata ta’ rikonoxximent hija baxxa; </w:t>
      </w: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>żieda sostanzjali fl-għadd ta’ applikazzjonijiet għar-riammissjoni rifjutati, ippreżentati mill-Istat Membru lil dak il-pajjiż terz għaċ-ċittadini tiegħu stess jew, fejn ftehim ta’ riammissjoni konkluż bejn l-Unjoni u dak l-Istat Membru, u dak il-pajjiż terz jipprevedi tali obbligu, għal ċittadini ta’ pajjiżi terzi li għaddew bi tranżitu minn dak il-pajjiż terz.</w:t>
      </w:r>
    </w:p>
    <w:p>
      <w:pPr>
        <w:rPr>
          <w:noProof/>
        </w:rPr>
      </w:pPr>
      <w:r>
        <w:rPr>
          <w:noProof/>
        </w:rPr>
        <w:t>In-notifika msemmija fl-ewwel subparagrafu għandha ssemmi r-raġunijiet li fuqha hija bbażata u għandha tinkludi data u statistika rilevanti kif ukoll spjegazzjoni dettaljata tal-miżuri preliminari li jkun ħa l-Istat Membru kkonċernat bil-ħsieb li jirrimedja s-sitwazzjoni. Il-Kummissjoni għandha tinforma lill-Parlament Ewropew u lill-Kunsill minnufih dwar tali notifika."</w:t>
      </w:r>
    </w:p>
    <w:p>
      <w:pPr>
        <w:pStyle w:val="Point0number"/>
        <w:rPr>
          <w:noProof/>
        </w:rPr>
      </w:pPr>
      <w:r>
        <w:rPr>
          <w:noProof/>
        </w:rPr>
        <w:t>jiddaħħal il-paragrafu li ġej:</w:t>
      </w:r>
    </w:p>
    <w:p>
      <w:pPr>
        <w:rPr>
          <w:noProof/>
        </w:rPr>
      </w:pPr>
      <w:r>
        <w:rPr>
          <w:noProof/>
        </w:rPr>
        <w:t>"2a.</w:t>
      </w:r>
      <w:r>
        <w:rPr>
          <w:noProof/>
        </w:rPr>
        <w:tab/>
        <w:t xml:space="preserve">Meta l-Kummissjoni jkollha informazzjoni kredibbli u konkreta taċ-ċirkustanzi msemmija fil-punti (a), (b) jew (c) tal-paragrafu 2, jew dak il-pajjiż terz ma jkunx qed jikkoopera dwar ir-riammissjoni, b’mod partikolari fejn ftehim ta’ riammissjoni jkun ġie konkluż bejn dak il-pajjiż terz u l-Unjoni, pereżempju:  </w:t>
      </w:r>
    </w:p>
    <w:p>
      <w:pPr>
        <w:pStyle w:val="Tiret1"/>
        <w:rPr>
          <w:noProof/>
        </w:rPr>
      </w:pPr>
      <w:r>
        <w:rPr>
          <w:noProof/>
        </w:rPr>
        <w:t xml:space="preserve">billi jiċħad jew ma jweġibx għal applikazzjonijiet ta’ riammissjoni, </w:t>
      </w:r>
    </w:p>
    <w:p>
      <w:pPr>
        <w:pStyle w:val="Tiret1"/>
        <w:rPr>
          <w:noProof/>
        </w:rPr>
      </w:pPr>
      <w:r>
        <w:rPr>
          <w:noProof/>
        </w:rPr>
        <w:t xml:space="preserve">billi jonqos milli joħroġ dokumenti tal-ivvjaġġar għall-finijiet tar-ritorn fi żmien l-iskadenzi speċifikati fil-ftehim jew li ma jiġux aċċettati dokumenti tal-ivvjaġġar Ewropej maħruġa wara li jgħaddu l-iskadenzi speċifikati fil-ftehim, </w:t>
      </w:r>
    </w:p>
    <w:p>
      <w:pPr>
        <w:pStyle w:val="Tiret1"/>
        <w:rPr>
          <w:noProof/>
        </w:rPr>
      </w:pPr>
      <w:r>
        <w:rPr>
          <w:noProof/>
        </w:rPr>
        <w:t xml:space="preserve">jew billi jtemm jew jissospendi l-ftehim, </w:t>
      </w:r>
    </w:p>
    <w:p>
      <w:pPr>
        <w:rPr>
          <w:noProof/>
        </w:rPr>
      </w:pPr>
      <w:r>
        <w:rPr>
          <w:noProof/>
        </w:rPr>
        <w:t>il-Kummissjoni tista’, fuq inizjattiva tagħha stess, tinforma lill-Parlament Ewropew u lill-Kunsill. Din l-informazzjoni tkun ekwivalenti għal notifika magħmula skont il-paragrafu 2."</w:t>
      </w:r>
    </w:p>
    <w:p>
      <w:pPr>
        <w:pStyle w:val="Point0number"/>
        <w:rPr>
          <w:noProof/>
        </w:rPr>
      </w:pPr>
      <w:r>
        <w:rPr>
          <w:noProof/>
        </w:rPr>
        <w:t>il-paragrafu 3 jinbidel b'dan li ġej:</w:t>
      </w:r>
    </w:p>
    <w:p>
      <w:pPr>
        <w:rPr>
          <w:noProof/>
        </w:rPr>
      </w:pPr>
      <w:r>
        <w:rPr>
          <w:noProof/>
        </w:rPr>
        <w:t>"3.</w:t>
      </w:r>
      <w:r>
        <w:rPr>
          <w:noProof/>
        </w:rPr>
        <w:tab/>
        <w:t>Il-Kummissjoni teżamina kull notifika magħmula skont il-paragrafu 2, filwaqt li tikkunsidra:</w:t>
      </w:r>
    </w:p>
    <w:p>
      <w:pPr>
        <w:rPr>
          <w:noProof/>
        </w:rPr>
      </w:pPr>
      <w:r>
        <w:rPr>
          <w:noProof/>
        </w:rPr>
        <w:lastRenderedPageBreak/>
        <w:t>(a)</w:t>
      </w:r>
      <w:r>
        <w:rPr>
          <w:noProof/>
        </w:rPr>
        <w:tab/>
        <w:t>jekk xi waħda mis-sitwazzjonijiet deskritti fil-paragrafi 2 u 2a tkunx preżenti;</w:t>
      </w:r>
    </w:p>
    <w:p>
      <w:pPr>
        <w:rPr>
          <w:noProof/>
        </w:rPr>
      </w:pPr>
      <w:r>
        <w:rPr>
          <w:noProof/>
        </w:rPr>
        <w:t>(b)</w:t>
      </w:r>
      <w:r>
        <w:rPr>
          <w:noProof/>
        </w:rPr>
        <w:tab/>
        <w:t>l-għadd ta' Stati Membri affettwati minn xi waħda mis-sitwazzjonijiet deskritti fil-paragrafi 2 u 2a;</w:t>
      </w: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>l-impatt globali taż-żidiet imsemmijin fil-paragrafu 2 fir-rigwrad tas-sitwazzjoni migratorja fl-Unjoni kif tkun tidher mid-dejta pprovduta mill-Istati Membri jew disponibbli lill-Kummissjoni;</w:t>
      </w:r>
    </w:p>
    <w:p>
      <w:pPr>
        <w:rPr>
          <w:noProof/>
        </w:rPr>
      </w:pPr>
      <w:r>
        <w:rPr>
          <w:noProof/>
        </w:rPr>
        <w:t>(d)</w:t>
      </w:r>
      <w:r>
        <w:rPr>
          <w:noProof/>
        </w:rPr>
        <w:tab/>
        <w:t>ir-rapporti mħejjija mill-[Aġenzija Ewropea għall-Ġestjoni ta' Kooperazzjoni Operazzjonali fil-Fruntieri Esterni tal-Istati Membri tal-Unjoni Ewropea], l-Uffiċċju Ewropew ta’ Appoġġ fil-Qasam tal-Ażil jew l-Uffiċċju Ewropew tal-Pulizija (Europol), jekk iċ-ċirkustanzi jirrikjedu dan fil-każ speċifiku nnotifikat;</w:t>
      </w:r>
    </w:p>
    <w:p>
      <w:pPr>
        <w:rPr>
          <w:noProof/>
        </w:rPr>
      </w:pPr>
      <w:r>
        <w:rPr>
          <w:noProof/>
        </w:rPr>
        <w:t>(e)</w:t>
      </w:r>
      <w:r>
        <w:rPr>
          <w:noProof/>
        </w:rPr>
        <w:tab/>
        <w:t>il-kwistjoni ġenerali tal-ordni pubblika u s-sigurtà interna, f'konsultazzjoni mal-Istat Membru kkonċernat.</w:t>
      </w:r>
    </w:p>
    <w:p>
      <w:pPr>
        <w:rPr>
          <w:noProof/>
        </w:rPr>
      </w:pPr>
      <w:r>
        <w:rPr>
          <w:noProof/>
        </w:rPr>
        <w:t>Il-Kummissjoni tinforma lill-Parlament Ewropew u lill-Kunsill bir-riżultati tal-eżami tagħha."</w:t>
      </w:r>
    </w:p>
    <w:p>
      <w:pPr>
        <w:pStyle w:val="Point0number"/>
        <w:rPr>
          <w:noProof/>
        </w:rPr>
      </w:pPr>
      <w:r>
        <w:rPr>
          <w:noProof/>
        </w:rPr>
        <w:t>fil-paragrafu 4, il-frażi "tliet xhur" jinbidel b’"xahar".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jorbot fl-intier tiegħu u japplika direttament fl-Istati Membri skont it-Trattati.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 539/2001 tal-15 ta' Marzu 2001 li jelenka l-pajjiżi terzi li ċ-ċittadini tagħhom għandu jkollhom viża fil-pussess tagħhom meta jaqsmu l-fruntieri esterni u dawk iċ-ċittadini li huma eżentati minn dik il-ħtieġa, ĠU L 81, 21.03.2001,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COM(2011) 290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1289/2013 tal-Parlament Ewropew u tal-Kunsill tal-11 ta’ Diċembru 2013 li jemenda r-Regolament tal-Kunsill (KE) Nru 539/2001 li jelenka l-pajjiżi terzi li ċ-ċittadini tagħhom għandu jkollhom viża fil-pussess tagħhom meta jaqsmu l-fruntieri esterni u dawk li ċ-ċittadini tagħhom huma eżentati minn dik il-ħtieġa, ĠU L 347, 20.12.2013, p. 74.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rStyle w:val="FootnoteReference"/>
        </w:rPr>
        <w:footnoteRef/>
      </w:r>
      <w:r>
        <w:rPr>
          <w:lang w:val="pt-PT"/>
        </w:rPr>
        <w:t>COM(2016) 142 final.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rStyle w:val="FootnoteReference"/>
        </w:rPr>
        <w:footnoteRef/>
      </w:r>
      <w:r>
        <w:rPr>
          <w:lang w:val="pt-PT"/>
        </w:rPr>
        <w:t>COM(2016) 236 final.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COM(2016) 279 final.</w:t>
      </w:r>
    </w:p>
  </w:footnote>
  <w:footnote w:id="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COM(2016) 277 final.</w:t>
      </w:r>
    </w:p>
  </w:footnote>
  <w:footnote w:id="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tal-Kunsill (KE) Nru 539/2001 tal-15 ta' Marzu 2001 li jelenka l-pajjiżi terzi li ċ-ċittadini tagħhom għandu jkollhom viża fil-pussess tagħhom meta jaqsmu l-fruntieri esterni u dawk iċ-ċittadini li huma eżentati minn dik il-ħtieġa, ĠU L 81, 21.03.2001, p. 1.</w:t>
      </w:r>
    </w:p>
  </w:footnote>
  <w:footnote w:id="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Id-Deċiżjoni tal-Kunsill 2000/365/KE tad-29 ta' Mejju 2000 dwar it-talba tar-Renju Unit tal-Gran Brittanja u l-Irlanda ta' Fuq biex jieħu parti f'xi dispożizzjonijiet tal-</w:t>
      </w:r>
      <w:r>
        <w:rPr>
          <w:i/>
          <w:lang w:val="pt-PT"/>
        </w:rPr>
        <w:t>acquis</w:t>
      </w:r>
      <w:r>
        <w:rPr>
          <w:lang w:val="pt-PT"/>
        </w:rPr>
        <w:t xml:space="preserve"> ta' Schengen, ĠU L 131, 1.6.2000, p. 43.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Id-Deċiżjoni tal-Kunsill 2002/192/KE tat-28 ta’ Frar 2002 rigward it-talba tal-Irlanda biex tiehu sehem f’xi dispożizzjonijiet tal-</w:t>
      </w:r>
      <w:r>
        <w:rPr>
          <w:i/>
          <w:lang w:val="pt-PT"/>
        </w:rPr>
        <w:t>acquis</w:t>
      </w:r>
      <w:r>
        <w:rPr>
          <w:lang w:val="pt-PT"/>
        </w:rPr>
        <w:t xml:space="preserve"> ta’ Schengen, ĠU L 64, 7.3.2002, p. 20.</w:t>
      </w:r>
    </w:p>
  </w:footnote>
  <w:footnote w:id="11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Id-Deċiżjoni tal-Kunsill 1999/437/KE tas-17 ta' Mejju 1999 dwar ċerti arranġamenti għall-applikazzjoni tal-Ftehim konkluż mill-Kunsill tal-Unjoni Ewropea u r-Repubblika tal-Iżlanda u r-Renju tan-Norveġja dwar l-assoċjazzjoni ta' dawn iż-żewġ Stati mal-implimentazzjoni, l-applikazzjoni u l-iżvilupp tal-</w:t>
      </w:r>
      <w:r>
        <w:rPr>
          <w:i/>
          <w:lang w:val="pt-PT"/>
        </w:rPr>
        <w:t>acquis</w:t>
      </w:r>
      <w:r>
        <w:rPr>
          <w:lang w:val="pt-PT"/>
        </w:rPr>
        <w:t xml:space="preserve"> ta' Schengen, ĠU L 176, 10.7.1999, p. 31.</w:t>
      </w:r>
    </w:p>
  </w:footnote>
  <w:footnote w:id="12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rPr>
          <w:lang w:val="sk-SK"/>
        </w:rPr>
        <w:tab/>
        <w:t>Id-Deċiżjoni tal-Kunsill 2008/146/KE tat-28 ta' Jannar 2008 dwar il-konklużjoni f'isem il-Komunità Ewropea, tal-Ftehim bejn l-Unjoni Ewropea, il-Komunità Ewropea u l-Konfederazzjoni Żvizzera dwar l-assoċjazzjoni tal-Konfederazzjoni Żvizzera mal-implimentazzjoni, l-applikazzjoni u l-iżvilupp tal-</w:t>
      </w:r>
      <w:r>
        <w:rPr>
          <w:i/>
          <w:lang w:val="sk-SK"/>
        </w:rPr>
        <w:t>Acquis</w:t>
      </w:r>
      <w:r>
        <w:rPr>
          <w:lang w:val="sk-SK"/>
        </w:rPr>
        <w:t xml:space="preserve"> ta' Schengen, ĠU L 53, 27.2.2008, p. 1.</w:t>
      </w:r>
    </w:p>
  </w:footnote>
  <w:footnote w:id="13">
    <w:p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rPr>
          <w:lang w:val="sk-SK"/>
        </w:rPr>
        <w:tab/>
        <w:t>Id-Deċiżjoni tal-Kunsill 2011/350/UE tas-7 ta’ Marzu 2011 dwar il-konklużjoni, f’isem l-Unjoni Ewropea, tal-Protokoll bejn l-Unjoni Ewropea, il-Komunità Ewropea, il-Konfederazzjoni Żvizzera u l-Prinċipat tal-Liechtenstein dwar l-adeżjoni tal-Prinċipat tal-Liechtenstein mal-Ftehim bejn l-Unjoni Ewropea, il-Komunità Ewropea u l-Konfederazzjoni Żvizzera dwar l-assoċjazzjoni tal-Konfederazzoni Żvizzera mal-implimentazzjoni, l-applikazzjoni u l-iżvilupp tal-</w:t>
      </w:r>
      <w:r>
        <w:rPr>
          <w:i/>
          <w:lang w:val="sk-SK"/>
        </w:rPr>
        <w:t>acquis</w:t>
      </w:r>
      <w:r>
        <w:rPr>
          <w:lang w:val="sk-SK"/>
        </w:rPr>
        <w:t xml:space="preserve"> ta’ Schengen, relatat mal-abolizzjoni tal-verifiki mal-fruntieri interni u l-moviment tal-persuni, ĠU L 160, 18.6.2011, p. 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24C5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4065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6CA82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4EF0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7F43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D905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6480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A8B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04 17:57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38C78D70E5CD49AA91DD03A968306DE2"/>
    <w:docVar w:name="LW_CROSSREFERENCE" w:val="&lt;UNUSED&gt;"/>
    <w:docVar w:name="LW_DocType" w:val="COM"/>
    <w:docVar w:name="LW_EMISSION" w:val="4.5.2016"/>
    <w:docVar w:name="LW_EMISSION_ISODATE" w:val="2016-05-04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42"/>
    <w:docVar w:name="LW_REF.II.NEW.CP_YEAR" w:val="2016"/>
    <w:docVar w:name="LW_REF.INST.NEW" w:val="COM"/>
    <w:docVar w:name="LW_REF.INST.NEW_ADOPTED" w:val="final"/>
    <w:docVar w:name="LW_REF.INST.NEW_TEXT" w:val="(2016) 290"/>
    <w:docVar w:name="LW_REF.INTERNE" w:val="&lt;UNUSED&gt;"/>
    <w:docVar w:name="LW_SOUS.TITRE.OBJ.CP" w:val="(revi\u380?joni tal-mekkani\u380?mu ta\u8217? sospensjoni)"/>
    <w:docVar w:name="LW_STATUT.CP" w:val="Proposta g\u295?al"/>
    <w:docVar w:name="LW_SUPERTITRE" w:val="&lt;UNUSED&gt;"/>
    <w:docVar w:name="LW_TITRE.OBJ.CP" w:val="li jemenda r-Regolament tal-Kunsill (KE) Nru 539/2001 li jelenka l-pajji\u380?i terzi li \u267?-\u267?ittadini tag\u295?hom g\u295?andu jkollhom vi\u380?a fil-pussess tag\u295?hom meta jaqsmu l-fruntieri esterni u dawk i\u267?-\u267?ittadini li huma e\u380?entati minn dik il-\u295?tie\u289?a"/>
    <w:docVar w:name="LW_TYPE.DOC.CP" w:val="REGOLAMENT TAL-PARLAMENT EWROPEW U TAL-KUNSILL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84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0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57FA-4111-492A-BF47-A5B2C92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2540</Words>
  <Characters>18826</Characters>
  <Application>Microsoft Office Word</Application>
  <DocSecurity>0</DocSecurity>
  <Lines>298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2016-05-03T22:03:00Z</cp:lastPrinted>
  <dcterms:created xsi:type="dcterms:W3CDTF">2016-05-04T15:23:00Z</dcterms:created>
  <dcterms:modified xsi:type="dcterms:W3CDTF">2016-05-04T15:57:00Z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