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21" w:rsidRDefault="00F760AB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748FAA1D21F48518BEB524090342E7C" style="width:451.5pt;height:366.75pt">
            <v:imagedata r:id="rId9" o:title=""/>
          </v:shape>
        </w:pict>
      </w:r>
    </w:p>
    <w:p w:rsidR="00327321" w:rsidRDefault="00327321">
      <w:pPr>
        <w:rPr>
          <w:noProof/>
        </w:rPr>
        <w:sectPr w:rsidR="00327321"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327321" w:rsidRDefault="00F760AB">
      <w:pPr>
        <w:pStyle w:val="Exposdesmotifstitre"/>
        <w:rPr>
          <w:noProof/>
        </w:rPr>
      </w:pPr>
      <w:r>
        <w:rPr>
          <w:noProof/>
        </w:rPr>
        <w:lastRenderedPageBreak/>
        <w:t>OBRAZLOŽENJE</w:t>
      </w:r>
    </w:p>
    <w:p w:rsidR="00327321" w:rsidRDefault="00F760AB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PRIJEDLOGA</w:t>
      </w:r>
    </w:p>
    <w:p w:rsidR="00327321" w:rsidRDefault="00F760AB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Razlozi i ciljevi prijedloga</w:t>
      </w:r>
    </w:p>
    <w:p w:rsidR="00327321" w:rsidRDefault="00F760AB">
      <w:pPr>
        <w:rPr>
          <w:noProof/>
          <w:szCs w:val="24"/>
        </w:rPr>
      </w:pPr>
      <w:r>
        <w:rPr>
          <w:noProof/>
        </w:rPr>
        <w:t xml:space="preserve">Europska unija (EU) i Turska </w:t>
      </w:r>
      <w:r>
        <w:rPr>
          <w:noProof/>
        </w:rPr>
        <w:t xml:space="preserve">pokrenule su 16. prosinca 2013. dijalog o liberalizaciji viznog režima te istodobno potpisale Sporazum EU-a i Turske o ponovnom prihvatu. Dijalog o liberalizaciji viznog režima temelji se na Planu za uvođenje bezviznog režima za Tursku („Plan”), dokumentu </w:t>
      </w:r>
      <w:r>
        <w:rPr>
          <w:noProof/>
        </w:rPr>
        <w:t>kojim se utvrđuju uvjeti koje Turska mora ispuniti kako bi Europski parlament i Vijeće mogli izmijeniti Uredbu (EZ) br. 539/2001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kojom bi se turskim državljanima koji posjeduju biometrijske putovnice u skladu sa standardima EU-a omogućilo da putuju u drža</w:t>
      </w:r>
      <w:r>
        <w:rPr>
          <w:noProof/>
        </w:rPr>
        <w:t>ve članice bez vize za kratkotrajni boravak (od 90 dana u razdoblju od 180 dana). U Planu su navedena 72 uvjeta razvrstana u pet tematskih područja („blokova”): sigurnost isprava, upravljanje migracijama, javni red i sigurnost, temeljna prava te ponovni pr</w:t>
      </w:r>
      <w:r>
        <w:rPr>
          <w:noProof/>
        </w:rPr>
        <w:t xml:space="preserve">ihvat nezakonitih migranata. </w:t>
      </w:r>
    </w:p>
    <w:p w:rsidR="00327321" w:rsidRDefault="00F760AB">
      <w:pPr>
        <w:rPr>
          <w:noProof/>
          <w:szCs w:val="24"/>
        </w:rPr>
      </w:pPr>
      <w:r>
        <w:rPr>
          <w:noProof/>
        </w:rPr>
        <w:t>Komisija je 20. listopada 2014. donijela prvo izvješće o napretku Turske u ispunjavanju uvjeta Plana za liberalizaciju viznog režima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(„prvo izvješće”). U njemu je ocijenjeno ispunjavanje svakog uvjeta te su donesene preporuke</w:t>
      </w:r>
      <w:r>
        <w:rPr>
          <w:noProof/>
        </w:rPr>
        <w:t xml:space="preserve"> za ostvarivanje njihova daljnjeg napretka.</w:t>
      </w:r>
    </w:p>
    <w:p w:rsidR="00327321" w:rsidRDefault="00F760AB">
      <w:pPr>
        <w:autoSpaceDE w:val="0"/>
        <w:autoSpaceDN w:val="0"/>
        <w:adjustRightInd w:val="0"/>
        <w:spacing w:before="0"/>
        <w:rPr>
          <w:i/>
          <w:noProof/>
          <w:szCs w:val="24"/>
        </w:rPr>
      </w:pPr>
      <w:r>
        <w:rPr>
          <w:noProof/>
        </w:rPr>
        <w:t>Na sastanku na vrhu EU-a i Turske 29. studenoga 2015. Turska se obvezala ubrzati provedbu Plana, prije primjene svih odredbi Sporazuma EU-a i Turske o ponovnom prihvatu, u cilju postizanja liberalizacije viznog r</w:t>
      </w:r>
      <w:r>
        <w:rPr>
          <w:noProof/>
        </w:rPr>
        <w:t>ežima do listopada 2016.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Tu je obvezu Europska unija pozdravila.</w:t>
      </w:r>
    </w:p>
    <w:p w:rsidR="00327321" w:rsidRDefault="00F760AB">
      <w:pPr>
        <w:autoSpaceDE w:val="0"/>
        <w:autoSpaceDN w:val="0"/>
        <w:adjustRightInd w:val="0"/>
        <w:spacing w:before="0"/>
        <w:rPr>
          <w:noProof/>
          <w:szCs w:val="24"/>
        </w:rPr>
      </w:pPr>
      <w:r>
        <w:rPr>
          <w:noProof/>
        </w:rPr>
        <w:t>Komisija je 4. ožujka 2016. donijela drugo izvješće o napretku Turske u ispunjavanju uvjeta plana za liberalizaciju viznog režima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(„drugo izvješće”) u kojem je ocijenila napredak Turske u p</w:t>
      </w:r>
      <w:r>
        <w:rPr>
          <w:noProof/>
        </w:rPr>
        <w:t>rovedbi uvjeta Plana. U njemu je zaključeno da su turska tijela od sastanka na vrhu EU-a i Turske 29. studenoga 2015. pojačala aktivnosti na provedbi Plana. Navedene su i posebne preporuke za mjere koje bi Turska trebala poduzeti za daljnji napredak u potp</w:t>
      </w:r>
      <w:r>
        <w:rPr>
          <w:noProof/>
        </w:rPr>
        <w:t>unom ispunjavanju svih uvjeta te je Komisija potakla turska tijela da ubrzaju proces reforme hitnim rješavanjem otvorenih pitanja utvrđenih u izvješću. U izvješću su potvrđena područja u kojima je Turska ispunila mjerila te utvrđene aktivnosti koje se treb</w:t>
      </w:r>
      <w:r>
        <w:rPr>
          <w:noProof/>
        </w:rPr>
        <w:t>aju poduzeti kako bi Turska ispunila sva mjerila Plana.</w:t>
      </w:r>
    </w:p>
    <w:p w:rsidR="00327321" w:rsidRDefault="00F760AB">
      <w:pPr>
        <w:autoSpaceDE w:val="0"/>
        <w:autoSpaceDN w:val="0"/>
        <w:adjustRightInd w:val="0"/>
        <w:spacing w:before="0"/>
        <w:rPr>
          <w:noProof/>
          <w:szCs w:val="24"/>
        </w:rPr>
      </w:pPr>
      <w:r>
        <w:rPr>
          <w:noProof/>
        </w:rPr>
        <w:t>Sastanci šefova država ili vlada EU-a i Turske održali su se 7. i 18. ožujka 2016. Posljednji sastanak zaključen je Izjavom EU-a i Turske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u kojoj se navodi da će se „ostvarenje Plana za liberalizacij</w:t>
      </w:r>
      <w:r>
        <w:rPr>
          <w:noProof/>
        </w:rPr>
        <w:t>u viznog režima ubrzati u odnosu na sve države članice sudionice s ciljem ukidanja viza za turske državljane najkasnije do kraja lipnja 2016., pod uvjetom da budu ispunjena sva mjerila. Turska će u tu svrhu poduzeti potrebne korake za ispunjenje preostalih</w:t>
      </w:r>
      <w:r>
        <w:rPr>
          <w:noProof/>
        </w:rPr>
        <w:t xml:space="preserve"> uvjeta kako bi Komisiji omogućila da nakon potrebne ocjene usklađenosti s mjerilima do kraja travnja podnese odgovarajući prijedlog, na temelju kojega će Europski parlament i Vijeće donijeti konačnu odluku.” </w:t>
      </w:r>
    </w:p>
    <w:p w:rsidR="00327321" w:rsidRDefault="00F760AB"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lastRenderedPageBreak/>
        <w:t>U trećem izvješću o napretku Turske u ispunjav</w:t>
      </w:r>
      <w:r>
        <w:rPr>
          <w:noProof/>
        </w:rPr>
        <w:t>anju uvjeta Plana za liberalizaciju viznog režima</w:t>
      </w:r>
      <w:r>
        <w:rPr>
          <w:rStyle w:val="FootnoteReference"/>
          <w:noProof/>
        </w:rPr>
        <w:footnoteReference w:id="6"/>
      </w:r>
      <w:r>
        <w:rPr>
          <w:noProof/>
        </w:rPr>
        <w:t>, podnesenom istodobno s ovim Prijedlogom, Komisija napominje da su na temelju jačeg angažmana i odlučnosti koje je Turska iskazala nakon sastanka na vrhu EU-a i Turske od 29. studenoga 2015., turska tijela</w:t>
      </w:r>
      <w:r>
        <w:rPr>
          <w:noProof/>
        </w:rPr>
        <w:t xml:space="preserve"> posljednjih mjeseci pojačala svoje napore u ispunjavanju tog uvjeta. Komisija priznaje dobar napredak koji su dosad ostvarila turska tijela i potiče ih da hitno pojačaju napore za ispunjavanje svih uvjeta kako bi se postigla liberalizacija viznog režima d</w:t>
      </w:r>
      <w:r>
        <w:rPr>
          <w:noProof/>
        </w:rPr>
        <w:t>o kraja lipnja.</w:t>
      </w:r>
    </w:p>
    <w:p w:rsidR="00327321" w:rsidRDefault="00F760AB"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 xml:space="preserve">Međutim, kako je navedeno u izvješću, turska tijela nisu još uspjela ostvariti taj ambiciozan cilj jer nije ispunjeno sedam od ukupno 72 uvjeta. Neki su od tih uvjeta od posebne važnosti. </w:t>
      </w:r>
    </w:p>
    <w:p w:rsidR="00327321" w:rsidRDefault="00F760AB">
      <w:pPr>
        <w:rPr>
          <w:noProof/>
          <w:szCs w:val="24"/>
        </w:rPr>
      </w:pPr>
      <w:r>
        <w:rPr>
          <w:noProof/>
        </w:rPr>
        <w:t>Zbog praktičnih i proceduralnih razloga, za ispunja</w:t>
      </w:r>
      <w:r>
        <w:rPr>
          <w:noProof/>
        </w:rPr>
        <w:t>vanje dva od sedam preostalih uvjeta potreban je dulji vremenski rok za provedbu. Stoga ih je bilo nemoguće u potpunosti ispuniti do podnošenja prijedloga. To se odnosi na sljedeća dva mjerila:</w:t>
      </w:r>
    </w:p>
    <w:p w:rsidR="00327321" w:rsidRDefault="00F760AB">
      <w:pPr>
        <w:pStyle w:val="Tiret0"/>
        <w:numPr>
          <w:ilvl w:val="0"/>
          <w:numId w:val="10"/>
        </w:numPr>
        <w:rPr>
          <w:noProof/>
        </w:rPr>
      </w:pPr>
      <w:r>
        <w:rPr>
          <w:noProof/>
        </w:rPr>
        <w:t xml:space="preserve">modernizaciju postojećih biometrijskih putovnica kako bi bile </w:t>
      </w:r>
      <w:r>
        <w:rPr>
          <w:noProof/>
        </w:rPr>
        <w:t xml:space="preserve">opremljene sigurnosnim značajkama u skladu s najnovijim standardima EU-a; </w:t>
      </w:r>
    </w:p>
    <w:p w:rsidR="00327321" w:rsidRDefault="00F760AB">
      <w:pPr>
        <w:pStyle w:val="Tiret0"/>
        <w:rPr>
          <w:noProof/>
        </w:rPr>
      </w:pPr>
      <w:r>
        <w:rPr>
          <w:noProof/>
        </w:rPr>
        <w:t>potpunu provedbu odredbi Sporazuma EU-a i Turske o ponovnom prihvatu, uključujući i odredbe povezane s ponovnim prihvatom državljana trećih zemalja.</w:t>
      </w:r>
    </w:p>
    <w:p w:rsidR="00327321" w:rsidRDefault="00F760AB">
      <w:pPr>
        <w:rPr>
          <w:noProof/>
          <w:szCs w:val="24"/>
        </w:rPr>
      </w:pPr>
      <w:r>
        <w:rPr>
          <w:noProof/>
        </w:rPr>
        <w:t>Kako je navedeno u izvješću, Kom</w:t>
      </w:r>
      <w:r>
        <w:rPr>
          <w:noProof/>
        </w:rPr>
        <w:t>isija i turska tijela dogovorili su praktične načine provedbe tih mjerila prije no što se u potpunosti ispune.</w:t>
      </w:r>
    </w:p>
    <w:p w:rsidR="00327321" w:rsidRDefault="00F760AB">
      <w:pPr>
        <w:rPr>
          <w:noProof/>
          <w:szCs w:val="24"/>
        </w:rPr>
      </w:pPr>
      <w:r>
        <w:rPr>
          <w:noProof/>
        </w:rPr>
        <w:t xml:space="preserve">Komisija poziva turska tijela da hitno poduzmu mjere potrebne za ispunjavanje preostalih mjerila Plana, posebno: </w:t>
      </w:r>
    </w:p>
    <w:p w:rsidR="00327321" w:rsidRDefault="00F760AB">
      <w:pPr>
        <w:pStyle w:val="Tiret0"/>
        <w:rPr>
          <w:noProof/>
        </w:rPr>
      </w:pPr>
      <w:r>
        <w:rPr>
          <w:noProof/>
        </w:rPr>
        <w:t xml:space="preserve">donošenje mjera za sprečavanje korupcije utvrđenih u Planu, tj. osiguravanje učinkovitog praćenja preporuka koje je izdala Skupina država protiv korupcije (GRECO) pri Vijeću Europe; </w:t>
      </w:r>
    </w:p>
    <w:p w:rsidR="00327321" w:rsidRDefault="00F760AB">
      <w:pPr>
        <w:pStyle w:val="Tiret0"/>
        <w:rPr>
          <w:noProof/>
        </w:rPr>
      </w:pPr>
      <w:r>
        <w:rPr>
          <w:noProof/>
        </w:rPr>
        <w:t xml:space="preserve">usklađivanje zakonodavstva o zaštiti osobnih podataka sa standardima EU-a, posebno kako bi se osiguralo da tijelo za zaštitu podataka može djelovati neovisno i da aktivnosti tijela za provedbu zakona budu obuhvaćene područjem primjene zakonodavstva; </w:t>
      </w:r>
    </w:p>
    <w:p w:rsidR="00327321" w:rsidRDefault="00F760AB">
      <w:pPr>
        <w:pStyle w:val="Tiret0"/>
        <w:rPr>
          <w:noProof/>
        </w:rPr>
      </w:pPr>
      <w:r>
        <w:rPr>
          <w:noProof/>
        </w:rPr>
        <w:t>vođen</w:t>
      </w:r>
      <w:r>
        <w:rPr>
          <w:noProof/>
        </w:rPr>
        <w:t xml:space="preserve">je pregovora o operativnoj suradnji s Europolom. To ovisi i o navedenim izmjenama zakonodavstva o zaštiti podataka; </w:t>
      </w:r>
    </w:p>
    <w:p w:rsidR="00327321" w:rsidRDefault="00F760AB">
      <w:pPr>
        <w:pStyle w:val="Tiret0"/>
        <w:rPr>
          <w:noProof/>
        </w:rPr>
      </w:pPr>
      <w:r>
        <w:rPr>
          <w:noProof/>
        </w:rPr>
        <w:t xml:space="preserve">pružanje učinkovite pravosudne suradnje u kaznenim stvarima svim državama članicama EU-a; </w:t>
      </w:r>
    </w:p>
    <w:p w:rsidR="00327321" w:rsidRDefault="00F760AB">
      <w:pPr>
        <w:pStyle w:val="Tiret0"/>
        <w:rPr>
          <w:noProof/>
        </w:rPr>
      </w:pPr>
      <w:r>
        <w:rPr>
          <w:noProof/>
        </w:rPr>
        <w:t>revizija zakonodavstva i praksi povezanih s tero</w:t>
      </w:r>
      <w:r>
        <w:rPr>
          <w:noProof/>
        </w:rPr>
        <w:t xml:space="preserve">rizmom u skladu s europskim standardima, posebno boljim usklađivanjem definicije terorizma s definicijom utvrđenom u Okvirnoj odluci 2002/475/PUP izmijenjenoj radi smanjenja opsega definicije i uvođenja kriterija proporcionalnosti. </w:t>
      </w:r>
    </w:p>
    <w:p w:rsidR="00327321" w:rsidRDefault="00F760AB">
      <w:pPr>
        <w:rPr>
          <w:rFonts w:eastAsia="Calibri"/>
          <w:noProof/>
          <w:szCs w:val="24"/>
        </w:rPr>
      </w:pPr>
      <w:r>
        <w:rPr>
          <w:noProof/>
        </w:rPr>
        <w:t>Pod uvjetom da turska t</w:t>
      </w:r>
      <w:r>
        <w:rPr>
          <w:noProof/>
        </w:rPr>
        <w:t>ijela hitno ispune preostala mjerila Plana, na što su se obvezala 18. ožujka 2016., Komisija je odlučila podnijeti prijedlog o izmjeni Uredbe (EZ) br. 539/2001 o ukidanju zahtjeva za vize za građane Turske koji su nositelji biometrijskih putovnica u skladu</w:t>
      </w:r>
      <w:r>
        <w:rPr>
          <w:noProof/>
        </w:rPr>
        <w:t xml:space="preserve"> sa standardima EU-a.  </w:t>
      </w:r>
    </w:p>
    <w:p w:rsidR="00327321" w:rsidRDefault="00F760AB">
      <w:pPr>
        <w:rPr>
          <w:noProof/>
        </w:rPr>
      </w:pPr>
      <w:r>
        <w:rPr>
          <w:noProof/>
        </w:rPr>
        <w:t>Kako bi pomogla suzakonodavcima u postupku odlučivanja, Komisija će nastaviti pratiti mjere koje poduzimaju turska tijela za ispunjenje preostalih uvjeta Plana.</w:t>
      </w:r>
    </w:p>
    <w:p w:rsidR="00327321" w:rsidRDefault="00F760AB">
      <w:pPr>
        <w:rPr>
          <w:noProof/>
          <w:szCs w:val="24"/>
        </w:rPr>
      </w:pPr>
      <w:r>
        <w:rPr>
          <w:noProof/>
        </w:rPr>
        <w:t>Podnošenjem prijedloga početkom svibnja omogućuje se da od trenutka kad</w:t>
      </w:r>
      <w:r>
        <w:rPr>
          <w:noProof/>
        </w:rPr>
        <w:t xml:space="preserve">a se nacrt dostavi nacionalnim parlamentima do donošenja prijedloga krajem lipnja, kako je navedeno u Izjavi </w:t>
      </w:r>
      <w:r>
        <w:rPr>
          <w:noProof/>
        </w:rPr>
        <w:lastRenderedPageBreak/>
        <w:t>EU-a i Turske od 18. ožujka 2016., protekne osam tjedana, što je u skladu s člankom 4. Protokola br. 1 Ugovora o ulozi nacionalnih parlamenata u Eu</w:t>
      </w:r>
      <w:r>
        <w:rPr>
          <w:noProof/>
        </w:rPr>
        <w:t>ropskoj uniji. Prijedlogom se stoga omogućuje ostvarenje ključnog elementa Izjave EU-a i Turske, koju su 18. ožujka dogovorili šefovi država ili vlada.</w:t>
      </w:r>
    </w:p>
    <w:p w:rsidR="00327321" w:rsidRDefault="00F760AB"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Dosljednost s postojećim odredbama politike u određenom području</w:t>
      </w:r>
    </w:p>
    <w:p w:rsidR="00327321" w:rsidRDefault="00F760AB">
      <w:pPr>
        <w:widowControl w:val="0"/>
        <w:autoSpaceDE w:val="0"/>
        <w:autoSpaceDN w:val="0"/>
        <w:adjustRightInd w:val="0"/>
        <w:rPr>
          <w:rFonts w:eastAsia="Calibri"/>
          <w:noProof/>
        </w:rPr>
      </w:pPr>
      <w:r>
        <w:rPr>
          <w:noProof/>
        </w:rPr>
        <w:t>U Uredbi Vijeća (EZ) br. 539/2001 nav</w:t>
      </w:r>
      <w:r>
        <w:rPr>
          <w:noProof/>
        </w:rPr>
        <w:t>ode se treće zemlje čiji državljani moraju imati vizu pri prelasku vanjskih granica država članica i zemlje čiji su državljani izuzeti od tog zahtjeva. Uredba (EZ) br. 539/2001 primjenjuje se u svim državama članicama, osim Irske i Ujedinjene Kraljevine, k</w:t>
      </w:r>
      <w:r>
        <w:rPr>
          <w:noProof/>
        </w:rPr>
        <w:t>ao i u Islandu, Lihtenštajnu, Norveškoj i Švicarskoj. Ta je Uredba dio zajedničke vizne politike EU-a za kratak boravak od 90 dana u bilo kojem razdoblju od 180 dana.</w:t>
      </w:r>
    </w:p>
    <w:p w:rsidR="00327321" w:rsidRDefault="00F760AB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Turska je trenutačno navedena u Prilogu I. Uredbi (EZ) br. 539/2001, tj. među zemljama či</w:t>
      </w:r>
      <w:r>
        <w:rPr>
          <w:noProof/>
        </w:rPr>
        <w:t xml:space="preserve">ji državljani moraju imati vizu pri putovanju na područje država članica EU-a. </w:t>
      </w:r>
    </w:p>
    <w:p w:rsidR="00327321" w:rsidRDefault="00F760AB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Uredba (EZ) br. 539/2001 zadnje je izmijenjena Uredbom (EU) br. 259/2014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kad je Moldova nakon provedbe svojeg VLAP-a premještena na popis zemalja čijim državljanima nisu potre</w:t>
      </w:r>
      <w:r>
        <w:rPr>
          <w:noProof/>
        </w:rPr>
        <w:t>bne vize te Uredbom (EU) br. 509/2014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kad su pet karipskih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i jedanaest pacifičkih država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te Kolumbija, Peru i Ujedinjeni Arapski Emirati izuzeti od zahtjeva za vizu, podložno sklapanju sporazuma o ukidanju viza između EU-a i tih trećih zemalja, nakon re</w:t>
      </w:r>
      <w:r>
        <w:rPr>
          <w:noProof/>
        </w:rPr>
        <w:t>dovitog preispitivanja viznih popisa. Komisija je 9. ožujka 2016. i 20. travnja 2016. dala prijedloge izmjene Uredbe (EZ) br. 539/2001, kojima se Gruzija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i Ukrajina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premještaju na popis zemalja čijim državljanima nisu potrebne vize nakon uspješne provedb</w:t>
      </w:r>
      <w:r>
        <w:rPr>
          <w:noProof/>
        </w:rPr>
        <w:t>e svojih planova za liberalizaciju viznog režima.</w:t>
      </w:r>
    </w:p>
    <w:p w:rsidR="00327321" w:rsidRDefault="00F760AB">
      <w:pPr>
        <w:widowControl w:val="0"/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>Kriteriji koje bi trebalo uzeti u obzir pri utvrđivanju, na temelju pojedinačne ocjene, trećih zemalja čiji državljani moraju imati vizu ili su izuzeti od tog zahtjeva utvrđeni su u članku –1. Uredbe (EZ) b</w:t>
      </w:r>
      <w:r>
        <w:rPr>
          <w:noProof/>
        </w:rPr>
        <w:t>r. 539/2001 (kako je uvedeno Uredbom (EU) br. 509/2014). Ti se kriteriji odnose na „nezakonitu imigraciju, javni poredak i sigurnost, ekonomske pogodnosti, posebno u vidu turizma i vanjske trgovine te na vanjske odnose Unije s predmetnim trećim zemljama, p</w:t>
      </w:r>
      <w:r>
        <w:rPr>
          <w:noProof/>
        </w:rPr>
        <w:t>osebno uključujući pitanja ljudskih prava i temeljnih sloboda kao i posljedice regionalne usklađenosti i uzajamnosti”</w:t>
      </w:r>
      <w:r>
        <w:rPr>
          <w:rStyle w:val="FootnoteReference"/>
          <w:noProof/>
        </w:rPr>
        <w:footnoteReference w:id="13"/>
      </w:r>
      <w:r>
        <w:rPr>
          <w:noProof/>
        </w:rPr>
        <w:t>. Posebnu pozornost trebalo bi posvetiti sigurnosti putnih isprava koje izdaju dotične treće zemlje.</w:t>
      </w:r>
    </w:p>
    <w:p w:rsidR="00327321" w:rsidRDefault="00F760AB">
      <w:pPr>
        <w:widowControl w:val="0"/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 xml:space="preserve">U pogledu reciprociteta turska vlada </w:t>
      </w:r>
      <w:r>
        <w:rPr>
          <w:noProof/>
        </w:rPr>
        <w:t>donijela je 2. svibnja 2016.odluku da će građani svih država članica moći ući u Tursku bez vize od datuma ukidanja zahtjeva za vizu za građane Turske.</w:t>
      </w:r>
    </w:p>
    <w:p w:rsidR="00327321" w:rsidRDefault="00F760AB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lastRenderedPageBreak/>
        <w:t>•</w:t>
      </w:r>
      <w:r>
        <w:rPr>
          <w:noProof/>
        </w:rPr>
        <w:tab/>
        <w:t>Dosljednost u odnosu na druge politike Unije</w:t>
      </w:r>
    </w:p>
    <w:p w:rsidR="00327321" w:rsidRDefault="00F760A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Calibri"/>
          <w:noProof/>
          <w:highlight w:val="yellow"/>
        </w:rPr>
      </w:pPr>
      <w:r>
        <w:rPr>
          <w:noProof/>
        </w:rPr>
        <w:t>Komisija je 6. travnja 2016. predložila uvođenje sustava u</w:t>
      </w:r>
      <w:r>
        <w:rPr>
          <w:noProof/>
        </w:rPr>
        <w:t>laska u EU / izlaska iz EU-a kako bi se ojačale vanjske granice schengenskog prostora</w:t>
      </w:r>
      <w:r>
        <w:rPr>
          <w:rStyle w:val="FootnoteReference"/>
          <w:noProof/>
        </w:rPr>
        <w:footnoteReference w:id="14"/>
      </w:r>
      <w:r>
        <w:rPr>
          <w:noProof/>
        </w:rPr>
        <w:t>. Glavni su ciljevi ovog prijedloga poboljšanje kvalitete graničnih kontrola za državljane trećih zemalja i osiguranje sustavnog i pouzdanog utvrđivanja osoba koje su pre</w:t>
      </w:r>
      <w:r>
        <w:rPr>
          <w:noProof/>
        </w:rPr>
        <w:t>koračile dopušteno trajanje boravka. Budući će sustav ulaska/izlaska stoga biti važan element kako bi se osigurao zakonit boravak državljana trećih zemalja u schengenskom prostoru bez vize te doprinijelo sprečavanju nezakonitih migracija državljana iz zema</w:t>
      </w:r>
      <w:r>
        <w:rPr>
          <w:noProof/>
        </w:rPr>
        <w:t xml:space="preserve">lja čijim državljanima nisu potrebne vize. </w:t>
      </w:r>
    </w:p>
    <w:p w:rsidR="00327321" w:rsidRDefault="00F760AB">
      <w:pPr>
        <w:pStyle w:val="Text2"/>
        <w:shd w:val="clear" w:color="auto" w:fill="FFFFFF" w:themeFill="background1"/>
        <w:ind w:left="0"/>
        <w:rPr>
          <w:noProof/>
          <w:szCs w:val="24"/>
        </w:rPr>
      </w:pPr>
      <w:r>
        <w:rPr>
          <w:noProof/>
        </w:rPr>
        <w:t>Nadalje, Komisija je u svojoj Komunikaciji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najavila da će procjenjivati potrebu, izvedivost i proporcionalnost uspostave sustava EU-a za informacije o putovanjima i njihovu odobrenju (ETIAS). Komisija se obvezal</w:t>
      </w:r>
      <w:r>
        <w:rPr>
          <w:noProof/>
        </w:rPr>
        <w:t>a tijekom 2016. istražiti je li takva dodatna razina kontrole državljana zemalja čijim državljanima nisu potrebne vize izvediva i proporcionalna te će djelotvorno pridonijeti održavanju i jačanju sigurnosti schengenskog prostora.</w:t>
      </w:r>
    </w:p>
    <w:p w:rsidR="00327321" w:rsidRDefault="00F760AB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PRAVNA OSNOVA, SUPSIDIJ</w:t>
      </w:r>
      <w:r>
        <w:rPr>
          <w:noProof/>
        </w:rPr>
        <w:t>ARNOST I PROPORCIONALNOST</w:t>
      </w:r>
    </w:p>
    <w:p w:rsidR="00327321" w:rsidRDefault="00F760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Pravna osnova</w:t>
      </w:r>
    </w:p>
    <w:p w:rsidR="00327321" w:rsidRDefault="00F760A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Calibri"/>
          <w:noProof/>
        </w:rPr>
      </w:pPr>
      <w:r>
        <w:rPr>
          <w:noProof/>
        </w:rPr>
        <w:t xml:space="preserve">Budući da će se ovim prijedlogom izmijeniti zajednička vizna politika EU-a, pravna je osnova prijedloga članak 77. stavak 2. točka (a) Ugovora o funkcioniranju Europske unije (UFEU). Predložena će Uredba </w:t>
      </w:r>
      <w:r>
        <w:rPr>
          <w:noProof/>
        </w:rPr>
        <w:t>predstavljati razvoj schengenske pravne stečevine.</w:t>
      </w:r>
    </w:p>
    <w:p w:rsidR="00327321" w:rsidRDefault="00F760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Supsidijarnost, proporcionalnost i odabir instrumenta</w:t>
      </w:r>
    </w:p>
    <w:p w:rsidR="00327321" w:rsidRDefault="00F760A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Calibri"/>
          <w:noProof/>
        </w:rPr>
      </w:pPr>
      <w:r>
        <w:rPr>
          <w:noProof/>
        </w:rPr>
        <w:t>Budući da je Uredba (EZ) br. 539/2001 pravni akt EU-a, može se izmijeniti samo jednakovrijednim pravnim aktom. Države članice ne mogu pojedinačno rad</w:t>
      </w:r>
      <w:r>
        <w:rPr>
          <w:noProof/>
        </w:rPr>
        <w:t>iti na postizanju cilja politike. Nisu dostupne druge (nezakonodavne) mogućnosti za postizanje cilja politike.</w:t>
      </w:r>
    </w:p>
    <w:p w:rsidR="00327321" w:rsidRDefault="00F760AB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REZULTATI EX POST EVALUACIJA, SAVJETOVANJA S DIONICIMA I PROCJENE UČINAKA</w:t>
      </w:r>
    </w:p>
    <w:p w:rsidR="00327321" w:rsidRDefault="00F760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Savjetovanja s dionicima</w:t>
      </w:r>
    </w:p>
    <w:p w:rsidR="00327321" w:rsidRDefault="00F760A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i/>
          <w:noProof/>
        </w:rPr>
      </w:pPr>
      <w:r>
        <w:rPr>
          <w:noProof/>
        </w:rPr>
        <w:t>Održane su redovne rasprave s državama čl</w:t>
      </w:r>
      <w:r>
        <w:rPr>
          <w:noProof/>
        </w:rPr>
        <w:t>anicama u Vijeću za pravosuđe i unutarnje poslove, COREPER-u, Radnoj skupini Vijeća za proširenje (COELA), sastanci sa savjetnicima za pravosuđe i unutarnje poslove država članica te nekoliko izlaganja Europskom parlamentu o trenutačnom stanju u dijalogu o</w:t>
      </w:r>
      <w:r>
        <w:rPr>
          <w:noProof/>
        </w:rPr>
        <w:t xml:space="preserve"> liberalizaciji viznog režima, plenarno i u Odboru za građanske slobode, pravosuđe i unutarnje poslove (LIBE).  </w:t>
      </w:r>
    </w:p>
    <w:p w:rsidR="00327321" w:rsidRDefault="00F760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Prikupljanje i primjena stručnog znanja</w:t>
      </w:r>
    </w:p>
    <w:p w:rsidR="00327321" w:rsidRDefault="00F760AB">
      <w:pPr>
        <w:rPr>
          <w:rFonts w:eastAsia="Arial Unicode MS"/>
          <w:noProof/>
        </w:rPr>
      </w:pPr>
      <w:r>
        <w:rPr>
          <w:noProof/>
        </w:rPr>
        <w:t>Komisija je prikupila sveobuhvatne podatke o primjeni svih zahtjeva u okviru Plana u Turskoj. Tijekom</w:t>
      </w:r>
      <w:r>
        <w:rPr>
          <w:noProof/>
        </w:rPr>
        <w:t xml:space="preserve"> dijaloga o liberalizaciji viznog režima s Turskom stručnjaci iz službi Komisije, Europske službe za vanjsko djelovanje (ESVD), država članica EU-a i relevantnih agencija EU-a (Frontex, EASO, Europol, Eurojust) analizirali su tursko zakonodavstvo u područj</w:t>
      </w:r>
      <w:r>
        <w:rPr>
          <w:noProof/>
        </w:rPr>
        <w:t xml:space="preserve">ima obuhvaćenima dijalogom o liberalizaciji viznog režima i njegovu provedbu, </w:t>
      </w:r>
      <w:r>
        <w:rPr>
          <w:noProof/>
        </w:rPr>
        <w:lastRenderedPageBreak/>
        <w:t>posebno u pogledu pripreme izvješća. Održano je nekoliko razgovora o tehničkim pitanjima, obavile su se terenske posjete te je prikupljena znatna dokumentacija uz pomoć turskih n</w:t>
      </w:r>
      <w:r>
        <w:rPr>
          <w:noProof/>
        </w:rPr>
        <w:t xml:space="preserve">adležnih tijela i stručnjaka.    </w:t>
      </w:r>
    </w:p>
    <w:p w:rsidR="00327321" w:rsidRDefault="00F760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Procjena učinka</w:t>
      </w:r>
    </w:p>
    <w:p w:rsidR="00327321" w:rsidRDefault="00F760AB"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>Uz drugo izvješće Komisije od 4. ožujka 2016. priložen je Radni dokument službi Komisije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u kojem se na temelju statističkih podataka Eurostata, podataka prikupljenih od relevantnih agencija EU-a i utvrđe</w:t>
      </w:r>
      <w:r>
        <w:rPr>
          <w:noProof/>
        </w:rPr>
        <w:t xml:space="preserve">nih kretanja procjenjuje mogući učinak liberalizacije viznog režima za Tursku na stanje migracija u Europskoj uniji. </w:t>
      </w:r>
    </w:p>
    <w:p w:rsidR="00327321" w:rsidRDefault="00F760AB"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>Uz treće izvješće, koje se izdaje istodobno s ovim Prijedlogom, prilaže se Radni dokument službi Komisije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u kojem se uz svaki uvjet pruža</w:t>
      </w:r>
      <w:r>
        <w:rPr>
          <w:noProof/>
        </w:rPr>
        <w:t xml:space="preserve">ju činjenični podaci o trenutačnom stanju njegova ispunjenja. Taj dokument uključuje i procjenu mogućeg utjecaja liberalizacije viznog režima za Tursku na sigurnosno stanje u Europskoj uniji.  </w:t>
      </w:r>
    </w:p>
    <w:p w:rsidR="00327321" w:rsidRDefault="00F760A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potrebna daljnja procjena učinka.</w:t>
      </w:r>
    </w:p>
    <w:p w:rsidR="00327321" w:rsidRDefault="00F760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Temeljna prava</w:t>
      </w:r>
    </w:p>
    <w:p w:rsidR="00327321" w:rsidRDefault="00F760A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Ovim s</w:t>
      </w:r>
      <w:r>
        <w:rPr>
          <w:noProof/>
        </w:rPr>
        <w:t>e Prijedlogom ne utječe negativno na zaštitu temeljnih prava u Europskoj uniji. Ispunjavanjem mjerila Plana poboljšat će se zaštita ljudskih prava u Turskoj.</w:t>
      </w:r>
    </w:p>
    <w:p w:rsidR="00327321" w:rsidRDefault="00F760AB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UTJECAJ NA PRORAČUN</w:t>
      </w:r>
    </w:p>
    <w:p w:rsidR="00327321" w:rsidRDefault="00F760A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nije primjenjivo</w:t>
      </w:r>
    </w:p>
    <w:p w:rsidR="00327321" w:rsidRDefault="00F760AB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OSTALI DIJELOVI</w:t>
      </w:r>
    </w:p>
    <w:p w:rsidR="00327321" w:rsidRDefault="00F760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Planovi provedbe i mehanizmi praćenja</w:t>
      </w:r>
      <w:r>
        <w:rPr>
          <w:noProof/>
        </w:rPr>
        <w:t>, evaluacije i izvješćivanja</w:t>
      </w:r>
    </w:p>
    <w:p w:rsidR="00327321" w:rsidRDefault="00F760A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Izmijenjena Uredba izravno će se primjenjivati od dana stupanja na snagu i države članice odmah će je početi primjenjivati. Nije potreban plan provedbe. </w:t>
      </w:r>
    </w:p>
    <w:p w:rsidR="00327321" w:rsidRDefault="00F760AB">
      <w:pPr>
        <w:spacing w:before="0"/>
        <w:rPr>
          <w:noProof/>
        </w:rPr>
      </w:pPr>
      <w:r>
        <w:rPr>
          <w:noProof/>
        </w:rPr>
        <w:t>Komisija će i dalje aktivno pratiti trajnu provedbu svih mjerila iz pet b</w:t>
      </w:r>
      <w:r>
        <w:rPr>
          <w:noProof/>
        </w:rPr>
        <w:t xml:space="preserve">lokova Plana u Turskoj putem postojećih struktura i dijaloga za pridruživanje te, prema potrebi, putem </w:t>
      </w:r>
      <w:r>
        <w:rPr>
          <w:i/>
          <w:noProof/>
        </w:rPr>
        <w:t>ad hoc</w:t>
      </w:r>
      <w:r>
        <w:rPr>
          <w:noProof/>
        </w:rPr>
        <w:t xml:space="preserve"> mehanizama praćenja. </w:t>
      </w:r>
    </w:p>
    <w:p w:rsidR="00327321" w:rsidRDefault="00F760AB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Čak i nakon odobrenja bezviznog režima za Tursku, Komisija će organiziranjem redovitih sastanka Zajedničkog odbora EU-a i </w:t>
      </w:r>
      <w:r>
        <w:rPr>
          <w:noProof/>
        </w:rPr>
        <w:t>Turske za ponovni prihvat nastaviti pratiti provedbu odredaba Sporazuma EU-a i Turske o ponovnom prihvatu u Turskoj. Poštovanje tih odredaba u odnosu na sve države članice EU-a jedan je od temeljnih zahtjeva bezviznog režima.</w:t>
      </w:r>
    </w:p>
    <w:p w:rsidR="00327321" w:rsidRDefault="00F760AB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Detaljno obrazloženje posebn</w:t>
      </w:r>
      <w:r>
        <w:rPr>
          <w:noProof/>
        </w:rPr>
        <w:t>ih odredbi prijedloga</w:t>
      </w:r>
    </w:p>
    <w:p w:rsidR="00327321" w:rsidRDefault="00F760AB">
      <w:pPr>
        <w:rPr>
          <w:noProof/>
        </w:rPr>
      </w:pPr>
      <w:r>
        <w:rPr>
          <w:noProof/>
        </w:rPr>
        <w:t>Izmijenit će se Uredba (EZ) br. 539/2001 tako da se Turska premjesti iz Priloga I. (popis zemalja čijim su državljanima potrebne vize) u Prilog II. (popis zemalja čijim državljanima nisu potrebne vize). U skladu s Planom dodat će se b</w:t>
      </w:r>
      <w:r>
        <w:rPr>
          <w:noProof/>
        </w:rPr>
        <w:t>ilješka u kojoj će se navesti da se izuzeće od zahtjeva za vizu primjenjuje na nositelje biometrijskih putovnica izdanih u skladu sa standardima Uredbe Vijeća (EZ) br. 2252/2004, posebno putovnica s otiscima prstiju šifriranim u sustavu dodatne kontrole pr</w:t>
      </w:r>
      <w:r>
        <w:rPr>
          <w:noProof/>
        </w:rPr>
        <w:t xml:space="preserve">istupa (EAC). </w:t>
      </w:r>
    </w:p>
    <w:p w:rsidR="00327321" w:rsidRDefault="00F760AB">
      <w:pPr>
        <w:rPr>
          <w:noProof/>
        </w:rPr>
      </w:pPr>
      <w:r>
        <w:rPr>
          <w:noProof/>
        </w:rPr>
        <w:t>Turska je obavijestila Komisiju da će dovršiti rad na svim potrebnim reformama u cilju izdavanja biometrijskih putovnica koje su potpuno u skladu sa standardima EU-a do kraja 2016. Turska će istodobno osigurati da će već do početka lipnja sv</w:t>
      </w:r>
      <w:r>
        <w:rPr>
          <w:noProof/>
        </w:rPr>
        <w:t>e putovnice, koje će se izdati, sadržavati fotografiju i otiske prstiju nositelja na čipu te će biti potpuno u skladu s normama Međunarodne organizacije civilnog zrakoplovstva (ICAO). U tim će putovnicama otisci prstiju biti zaštićeni šifriranjem u sustavu</w:t>
      </w:r>
      <w:r>
        <w:rPr>
          <w:noProof/>
        </w:rPr>
        <w:t xml:space="preserve"> proširene kontrole pristupa (EAC). Stoga će se izuzeće od zahtjeva za vizu iznimno primjenjivati i na nositelje navedenih putovnica ako su izdane između 1. lipnja 2016. i 31. prosinca 2016. To izuzeće prestaje važiti 31. prosinca 2017. Prije uvođenja bezv</w:t>
      </w:r>
      <w:r>
        <w:rPr>
          <w:noProof/>
        </w:rPr>
        <w:t>iznog režima Turska treba svim državama članicama staviti na raspolaganje certifikate za autentifikaciju i očitavanje podataka pohranjenih na čipovima turskih putovnica.</w:t>
      </w:r>
    </w:p>
    <w:p w:rsidR="00327321" w:rsidRDefault="00327321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  <w:sectPr w:rsidR="00327321"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pgNumType w:start="2"/>
          <w:cols w:space="708"/>
          <w:docGrid w:linePitch="360"/>
        </w:sectPr>
      </w:pPr>
    </w:p>
    <w:p w:rsidR="00327321" w:rsidRDefault="00F760AB">
      <w:pPr>
        <w:pStyle w:val="Rfrenceinterinstitutionnelle"/>
        <w:rPr>
          <w:noProof/>
        </w:rPr>
      </w:pPr>
      <w:r>
        <w:rPr>
          <w:noProof/>
        </w:rPr>
        <w:t>2016/0141 (COD)</w:t>
      </w:r>
    </w:p>
    <w:p w:rsidR="00327321" w:rsidRDefault="00F760AB">
      <w:pPr>
        <w:pStyle w:val="Statut"/>
        <w:rPr>
          <w:noProof/>
        </w:rPr>
      </w:pPr>
      <w:r>
        <w:rPr>
          <w:noProof/>
        </w:rPr>
        <w:t>Prijedlog</w:t>
      </w:r>
    </w:p>
    <w:p w:rsidR="00327321" w:rsidRDefault="00F760AB">
      <w:pPr>
        <w:pStyle w:val="Typedudocument"/>
        <w:rPr>
          <w:noProof/>
        </w:rPr>
      </w:pPr>
      <w:r>
        <w:rPr>
          <w:noProof/>
        </w:rPr>
        <w:t>UREDBE EUROPSKOG PARLAMENTA I VIJEĆA</w:t>
      </w:r>
    </w:p>
    <w:p w:rsidR="00327321" w:rsidRDefault="00F760AB">
      <w:pPr>
        <w:pStyle w:val="Titreobjet"/>
        <w:rPr>
          <w:noProof/>
        </w:rPr>
      </w:pPr>
      <w:r>
        <w:rPr>
          <w:noProof/>
        </w:rPr>
        <w:t>o izmjeni Uredbe (EZ) br. 539/2001 o popisu trećih zemalja čiji državljani moraju imati vizu pri prelasku vanjskih granica i zemalja čiji su državljani su izuzeti od t</w:t>
      </w:r>
      <w:r>
        <w:rPr>
          <w:noProof/>
        </w:rPr>
        <w:t>og zahtjeva</w:t>
      </w:r>
    </w:p>
    <w:p w:rsidR="00327321" w:rsidRDefault="00F760AB">
      <w:pPr>
        <w:pStyle w:val="Sous-titreobjet"/>
        <w:rPr>
          <w:noProof/>
        </w:rPr>
      </w:pPr>
      <w:r>
        <w:rPr>
          <w:noProof/>
        </w:rPr>
        <w:t>(Turska)</w:t>
      </w:r>
    </w:p>
    <w:p w:rsidR="00327321" w:rsidRDefault="00F760AB">
      <w:pPr>
        <w:pStyle w:val="Institutionquiagit"/>
        <w:rPr>
          <w:noProof/>
        </w:rPr>
      </w:pPr>
      <w:r>
        <w:rPr>
          <w:noProof/>
        </w:rPr>
        <w:t>EUROPSKI PARLAMENT I VIJEĆE EUROPSKE UNIJE,</w:t>
      </w:r>
    </w:p>
    <w:p w:rsidR="00327321" w:rsidRDefault="00F760AB">
      <w:pPr>
        <w:rPr>
          <w:noProof/>
        </w:rPr>
      </w:pPr>
      <w:r>
        <w:rPr>
          <w:noProof/>
        </w:rPr>
        <w:t>uzimajući u obzir Ugovor o funkcioniranju Europske unije, a posebno njegov članak 77. stavak 2. točku (a),</w:t>
      </w:r>
    </w:p>
    <w:p w:rsidR="00327321" w:rsidRDefault="00F760AB">
      <w:pPr>
        <w:rPr>
          <w:noProof/>
        </w:rPr>
      </w:pPr>
      <w:r>
        <w:rPr>
          <w:noProof/>
        </w:rPr>
        <w:t>uzimajući u obzir prijedlog Europske komisije,</w:t>
      </w:r>
    </w:p>
    <w:p w:rsidR="00327321" w:rsidRDefault="00F760AB">
      <w:pPr>
        <w:rPr>
          <w:noProof/>
        </w:rPr>
      </w:pPr>
      <w:r>
        <w:rPr>
          <w:noProof/>
        </w:rPr>
        <w:t>nakon prosljeđivanja nacrta zakonodav</w:t>
      </w:r>
      <w:r>
        <w:rPr>
          <w:noProof/>
        </w:rPr>
        <w:t>nog akta nacionalnim parlamentima,</w:t>
      </w:r>
    </w:p>
    <w:p w:rsidR="00327321" w:rsidRDefault="00F760AB">
      <w:pPr>
        <w:rPr>
          <w:noProof/>
        </w:rPr>
      </w:pPr>
      <w:r>
        <w:rPr>
          <w:noProof/>
        </w:rPr>
        <w:t>djelujući u skladu s redovnim zakonodavnim postupkom,</w:t>
      </w:r>
    </w:p>
    <w:p w:rsidR="00327321" w:rsidRDefault="00F760AB">
      <w:pPr>
        <w:rPr>
          <w:noProof/>
        </w:rPr>
      </w:pPr>
      <w:r>
        <w:rPr>
          <w:noProof/>
        </w:rPr>
        <w:t>budući da:</w:t>
      </w:r>
    </w:p>
    <w:p w:rsidR="00327321" w:rsidRDefault="00F760AB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U Uredbi Vijeća (EZ) br. 539/2001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 navode se treće zemlje čiji državljani moraju imati vizu pri prelasku vanjskih granica država članica i zemlje čiji s</w:t>
      </w:r>
      <w:r>
        <w:rPr>
          <w:noProof/>
        </w:rPr>
        <w:t>u državljani izuzeti od tog zahtjeva. Sadržaj popisa trećih zemalja iz Priloga I. i II. treba biti i ostati dosljedan kriterijima utvrđenima u toj Uredbi. Upućivanja na treće zemlje za koje se promijenila situacija u pogledu tih kriterija treba prenijeti i</w:t>
      </w:r>
      <w:r>
        <w:rPr>
          <w:noProof/>
        </w:rPr>
        <w:t>z jednog priloga u drugi, prema potrebi.</w:t>
      </w:r>
    </w:p>
    <w:p w:rsidR="00327321" w:rsidRDefault="00F760AB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Kriteriji koje bi trebalo uzeti u obzir pri utvrđivanju, na temelju pojedinačne ocjene, trećih zemalja čiji državljani moraju imati vizu ili su izuzeti od tog zahtjeva utvrđeni su u članku –1. Uredbe (EZ) br. 53</w:t>
      </w:r>
      <w:r>
        <w:rPr>
          <w:noProof/>
        </w:rPr>
        <w:t>9/2001. Ti se kriteriji odnose na „nezakonitu imigraciju, javni poredak i sigurnost, ekonomske pogodnosti, posebno u vidu turizma i vanjske trgovine te na vanjske odnose Unije s predmetnim trećim zemljama, posebno uključujući pitanja ljudskih prava i temel</w:t>
      </w:r>
      <w:r>
        <w:rPr>
          <w:noProof/>
        </w:rPr>
        <w:t>jnih sloboda kao i posljedice regionalne usklađenosti i uzajamnosti”.</w:t>
      </w:r>
    </w:p>
    <w:p w:rsidR="00327321" w:rsidRDefault="00F760AB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Nakon sastanka na vrhu EU-a i Turske 29. studenoga 2015. i 18. ožujka 2016. dogovoreno je da će se ubrzati ostvarenje Plana za liberalizaciju viznog režima koji je Komisija podnijela turskoj vladi 16. prosinca 2013. u pogledu svih sudjelujućih država člani</w:t>
      </w:r>
      <w:r>
        <w:rPr>
          <w:noProof/>
        </w:rPr>
        <w:t xml:space="preserve">ca radi ukidanja vize za državljane Turske najkasnije do kraja lipnja 2016. </w:t>
      </w:r>
    </w:p>
    <w:p w:rsidR="00327321" w:rsidRDefault="00F760AB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Liberalizacija viznog režima za Tursku ključna je sastavnica Izjave EU-a i Turske od 18. ožujka 2016. U Izjavi se navodi da se zahtjev za vizu za državljane Turske mora ukinut</w:t>
      </w:r>
      <w:r>
        <w:rPr>
          <w:noProof/>
        </w:rPr>
        <w:t>i najkasnije do kraja lipnja 2016. Podnošenjem prijedloga za liberalizaciju viznog režima na početku svibnja nacionalnim se parlamentima omogućuje razdoblje od osam tjedana u skladu s člankom 4. Protokola br. 1 Ugovora o ulozi nacionalnih parlamenata u Eur</w:t>
      </w:r>
      <w:r>
        <w:rPr>
          <w:noProof/>
        </w:rPr>
        <w:t>opskoj uniji do njegova donošenja krajem lipnja.</w:t>
      </w:r>
    </w:p>
    <w:p w:rsidR="00327321" w:rsidRDefault="00F760AB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[Turska je ispunila uvjete Plana za liberalizaciju viznog režima. Na temelju te procjene i uzimajući u obzir sve kriterije iz članka –1. Uredbe (EZ) br. 539/2001 potrebno je izuzeti turske državljane od </w:t>
      </w:r>
      <w:r>
        <w:rPr>
          <w:noProof/>
        </w:rPr>
        <w:t>zahtjeva za vizu kada putuju na državno područje država članica.]</w:t>
      </w:r>
    </w:p>
    <w:p w:rsidR="00327321" w:rsidRDefault="00F760AB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Tursku bi stoga trebalo premjestiti iz Priloga I. Uredbi (EZ) br. 539/2001 u njezin Prilog II. </w:t>
      </w:r>
    </w:p>
    <w:p w:rsidR="00327321" w:rsidRDefault="00F760AB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Izuzeće od zahtjeva za vizu ovisi o i daljnjoj provedbi uvjeta iz Plana za liberalizac</w:t>
      </w:r>
      <w:r>
        <w:rPr>
          <w:noProof/>
        </w:rPr>
        <w:t>iju viznog režima i Izjave Europske unije i Turske od 18. ožujka 2016. Komisija će aktivno pratiti provedbu uvjeta i Izjave. Izuzeće od zahtjeva za vizu EU može suspendirati u skladu s mehanizmom suspenzije uspostavljenim člankom 1.a Uredbe (EZ) br. 539/20</w:t>
      </w:r>
      <w:r>
        <w:rPr>
          <w:noProof/>
        </w:rPr>
        <w:t xml:space="preserve">01, kako je izmijenjena Uredbom </w:t>
      </w:r>
      <w:r w:rsidRPr="00F760AB">
        <w:rPr>
          <w:noProof/>
        </w:rPr>
        <w:t>xxx</w:t>
      </w:r>
      <w:r w:rsidRPr="00F760AB">
        <w:rPr>
          <w:noProof/>
        </w:rPr>
        <w:t>,</w:t>
      </w:r>
      <w:r>
        <w:rPr>
          <w:noProof/>
        </w:rPr>
        <w:t xml:space="preserve"> ako se ispune uvjeti u toj Uredbi. </w:t>
      </w:r>
    </w:p>
    <w:p w:rsidR="00327321" w:rsidRDefault="00F760AB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To se izuzeće od zahtjeva za vizu primjenjuje samo na nositelje biometrijskih putovnica izdanih u skladu sa standardima Uredbe Vijeća (EZ) br. 2252/2004</w:t>
      </w:r>
      <w:r>
        <w:rPr>
          <w:rStyle w:val="FootnoteReference"/>
          <w:noProof/>
        </w:rPr>
        <w:footnoteReference w:id="19"/>
      </w:r>
      <w:r>
        <w:rPr>
          <w:noProof/>
        </w:rPr>
        <w:t>. Izuzeće se iznimno primj</w:t>
      </w:r>
      <w:r>
        <w:rPr>
          <w:noProof/>
        </w:rPr>
        <w:t xml:space="preserve">enjuje i na nositelje biometrijskih putovnica koje sadržavaju otiske prstiju nositelja, izdanih u skladu s normama Međunarodne organizacije za civilno zrakoplovstvo (ICAO), ako su te putovnice izdane u razdoblju između 1. lipnja 2016. i 31. prosinca 2016. </w:t>
      </w:r>
      <w:r>
        <w:rPr>
          <w:noProof/>
        </w:rPr>
        <w:t>To izuzeće prestaje važiti 31. prosinca 2017.</w:t>
      </w:r>
    </w:p>
    <w:p w:rsidR="00327321" w:rsidRDefault="00F760AB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Ova Uredba predstavlja razvoj odredaba schengenske pravne stečevine, u kojoj Ujedinjena Kraljevina ne sudjeluje, u skladu s Odlukom Vijeća 2000/365/EZ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. Ujedinjena Kraljevina stoga ne sudjeluje u donošenju </w:t>
      </w:r>
      <w:r>
        <w:rPr>
          <w:noProof/>
        </w:rPr>
        <w:t xml:space="preserve">ove Uredbe te ona za nju nije obvezujuća niti se na nju primjenjuje. </w:t>
      </w:r>
    </w:p>
    <w:p w:rsidR="00327321" w:rsidRDefault="00F760AB"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Ova Uredba predstavlja razvoj odredaba schengenske pravne stečevine, u kojoj Irska ne sudjeluje, u skladu s Odlukom Vijeća 2002/192/EZ</w:t>
      </w:r>
      <w:r>
        <w:rPr>
          <w:rStyle w:val="FootnoteReference"/>
          <w:noProof/>
        </w:rPr>
        <w:footnoteReference w:id="21"/>
      </w:r>
      <w:r>
        <w:rPr>
          <w:noProof/>
        </w:rPr>
        <w:t>. Irska stoga ne sudjeluje u donošenju ove Ure</w:t>
      </w:r>
      <w:r>
        <w:rPr>
          <w:noProof/>
        </w:rPr>
        <w:t xml:space="preserve">dbe te ona za nju nije obvezujuća niti se na nju primjenjuje. </w:t>
      </w:r>
    </w:p>
    <w:p w:rsidR="00327321" w:rsidRDefault="00F760AB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U pogledu Islanda i Norveške, ova Uredba predstavlja razvoj odredaba schengenske pravne stečevine u smislu Sporazuma sklopljenog između Vijeća Europske unije i Republike Islanda i Kraljevi</w:t>
      </w:r>
      <w:r>
        <w:rPr>
          <w:noProof/>
        </w:rPr>
        <w:t>ne Norveške o pridruživanju tih dviju država provedbi, primjeni i razvoju schengenske pravne stečevine, koje su obuhvaćene područjem iz članka 1. točke B Odluke Vijeća 1999/437/EZ</w:t>
      </w:r>
      <w:r>
        <w:rPr>
          <w:rStyle w:val="FootnoteReference"/>
          <w:noProof/>
        </w:rPr>
        <w:footnoteReference w:id="22"/>
      </w:r>
      <w:r>
        <w:rPr>
          <w:noProof/>
        </w:rPr>
        <w:t>.</w:t>
      </w:r>
    </w:p>
    <w:p w:rsidR="00327321" w:rsidRDefault="00F760AB"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U pogledu Švicarske, ova Uredba predstavlja razvoj odredaba schengens</w:t>
      </w:r>
      <w:r>
        <w:rPr>
          <w:noProof/>
        </w:rPr>
        <w:t xml:space="preserve">ke pravne stečevine u smislu Sporazuma između Europske unije, Europske zajednice i Švicarske Konfederacije o pridruživanju Švicarske Konfederacije provedbi, primjeni i razvoju schengenske pravne stečevine, koje su obuhvaćene područjem iz članka 1. točke B </w:t>
      </w:r>
      <w:r>
        <w:rPr>
          <w:noProof/>
        </w:rPr>
        <w:t>Odluke 1999/437/EZ u vezi s člankom 3. Odluke Vijeća 2008/146/EZ</w:t>
      </w:r>
      <w:r>
        <w:rPr>
          <w:rStyle w:val="FootnoteReference"/>
          <w:noProof/>
        </w:rPr>
        <w:footnoteReference w:id="23"/>
      </w:r>
      <w:r>
        <w:rPr>
          <w:noProof/>
        </w:rPr>
        <w:t>.</w:t>
      </w:r>
    </w:p>
    <w:p w:rsidR="00327321" w:rsidRDefault="00F760AB"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U pogledu Lihtenštajna, ova Uredba predstavlja razvoj odredaba schengenske pravne stečevine u smislu Protokola potpisanog između Europske unije, Europske zajednice, Švicarske Konfedera</w:t>
      </w:r>
      <w:r>
        <w:rPr>
          <w:noProof/>
        </w:rPr>
        <w:t>cije i Kneževine Lihtenštajna o pristupanju Kneževine Lihtenštajna Sporazumu između Europske unije, Europske zajednice i Švicarske Konfederacije o pridruživanju Švicarske Konfederacije provedbi, primjeni i razvoju schengenske pravne stečevine, koje su obuh</w:t>
      </w:r>
      <w:r>
        <w:rPr>
          <w:noProof/>
        </w:rPr>
        <w:t>vaćene područjem iz članka 1. točke B Odluke Vijeća 1999/437/EZ u vezi s člankom 3. Odluke Vijeća 2011/350/EU</w:t>
      </w:r>
      <w:r>
        <w:rPr>
          <w:rStyle w:val="FootnoteReference"/>
          <w:noProof/>
        </w:rPr>
        <w:footnoteReference w:id="24"/>
      </w:r>
      <w:r>
        <w:rPr>
          <w:noProof/>
        </w:rPr>
        <w:t>,</w:t>
      </w:r>
    </w:p>
    <w:p w:rsidR="00327321" w:rsidRDefault="00F760AB">
      <w:pPr>
        <w:pStyle w:val="Formuledadoption"/>
        <w:rPr>
          <w:noProof/>
        </w:rPr>
      </w:pPr>
      <w:r>
        <w:rPr>
          <w:noProof/>
        </w:rPr>
        <w:t>DONIJELI SU OVU UREDBU:</w:t>
      </w:r>
    </w:p>
    <w:p w:rsidR="00327321" w:rsidRDefault="00F760AB">
      <w:pPr>
        <w:pStyle w:val="Titrearticle"/>
        <w:rPr>
          <w:noProof/>
        </w:rPr>
      </w:pPr>
      <w:r>
        <w:rPr>
          <w:noProof/>
        </w:rPr>
        <w:t>Članak 1.</w:t>
      </w:r>
    </w:p>
    <w:p w:rsidR="00327321" w:rsidRDefault="00F760AB">
      <w:pPr>
        <w:spacing w:before="0" w:after="0"/>
        <w:rPr>
          <w:noProof/>
        </w:rPr>
      </w:pPr>
      <w:r>
        <w:rPr>
          <w:noProof/>
        </w:rPr>
        <w:t>Uredba (EZ) br. 539/2001 mijenja se kako slijedi:</w:t>
      </w:r>
    </w:p>
    <w:p w:rsidR="00327321" w:rsidRDefault="00F760AB">
      <w:pPr>
        <w:pStyle w:val="ManualNumPar1"/>
        <w:rPr>
          <w:noProof/>
        </w:rPr>
      </w:pPr>
      <w:bookmarkStart w:id="1" w:name="DQPStarAt1DQPStarAt79EC7D75A4DA4C888ED46"/>
      <w:bookmarkEnd w:id="1"/>
      <w:r>
        <w:rPr>
          <w:noProof/>
        </w:rPr>
        <w:tab/>
        <w:t>(a)</w:t>
      </w:r>
      <w:r>
        <w:rPr>
          <w:noProof/>
        </w:rPr>
        <w:tab/>
      </w:r>
      <w:r>
        <w:rPr>
          <w:noProof/>
        </w:rPr>
        <w:t xml:space="preserve">u Prilogu I. dijelu 1. („DRŽAVE”) briše se upućivanje na Tursku; </w:t>
      </w:r>
    </w:p>
    <w:p w:rsidR="00327321" w:rsidRDefault="00F760AB">
      <w:pPr>
        <w:pStyle w:val="ManualNumPar1"/>
        <w:rPr>
          <w:noProof/>
        </w:rPr>
      </w:pPr>
      <w:r>
        <w:rPr>
          <w:noProof/>
        </w:rPr>
        <w:tab/>
        <w:t>(b)</w:t>
      </w:r>
      <w:r>
        <w:rPr>
          <w:noProof/>
        </w:rPr>
        <w:tab/>
        <w:t>u Prilogu II. dijelu 1. („DRŽAVE”) umeće se sljedeće upućivanje:</w:t>
      </w:r>
    </w:p>
    <w:p w:rsidR="00327321" w:rsidRDefault="00F760AB">
      <w:pPr>
        <w:pStyle w:val="Text1"/>
        <w:rPr>
          <w:noProof/>
        </w:rPr>
      </w:pPr>
      <w:r>
        <w:rPr>
          <w:noProof/>
        </w:rPr>
        <w:t>„Turska”*</w:t>
      </w:r>
    </w:p>
    <w:p w:rsidR="00327321" w:rsidRDefault="00F760AB">
      <w:pPr>
        <w:pStyle w:val="Text1"/>
        <w:rPr>
          <w:noProof/>
        </w:rPr>
      </w:pPr>
      <w:r>
        <w:rPr>
          <w:noProof/>
        </w:rPr>
        <w:t>______________</w:t>
      </w:r>
    </w:p>
    <w:p w:rsidR="00327321" w:rsidRDefault="00F760AB">
      <w:pPr>
        <w:rPr>
          <w:noProof/>
        </w:rPr>
      </w:pPr>
      <w:r>
        <w:rPr>
          <w:noProof/>
        </w:rPr>
        <w:t>*</w:t>
      </w:r>
      <w:r>
        <w:rPr>
          <w:noProof/>
        </w:rPr>
        <w:tab/>
        <w:t xml:space="preserve">Izuzeće od zahtjeva za vizu primjenjuje se samo na nositelje biometrijskih putovnica koje su </w:t>
      </w:r>
      <w:r>
        <w:rPr>
          <w:noProof/>
        </w:rPr>
        <w:t>izdane u skladu s Uredbom Vijeća (EZ) br. 2252/2004 od 13. prosinca 2004. o standardima za sigurnosna obilježja i biometrijske podatke u putovnicama i putnim ispravama koje izdaju države članice, SL L 385, 29.12.2004., str. 1. Izuzeće se iznimno primjenjuj</w:t>
      </w:r>
      <w:r>
        <w:rPr>
          <w:noProof/>
        </w:rPr>
        <w:t>e i na nositelje biometrijskih putovnica koje sadržavaju otiske prstiju nositelja, izdanih u skladu s normama Međunarodne organizacije za civilno zrakoplovstvo (ICAO), ako su te putovnice izdane u razdoblju između 1. lipnja 2016. i 31. prosinca 2016. To iz</w:t>
      </w:r>
      <w:r>
        <w:rPr>
          <w:noProof/>
        </w:rPr>
        <w:t>uzeće prestaje važiti 31. prosinca 2017.</w:t>
      </w:r>
    </w:p>
    <w:p w:rsidR="00327321" w:rsidRDefault="00F760AB">
      <w:pPr>
        <w:pStyle w:val="Titrearticle"/>
        <w:rPr>
          <w:noProof/>
        </w:rPr>
      </w:pPr>
      <w:r>
        <w:rPr>
          <w:noProof/>
        </w:rPr>
        <w:t>Članak 2.</w:t>
      </w:r>
    </w:p>
    <w:p w:rsidR="00327321" w:rsidRDefault="00F760AB">
      <w:pPr>
        <w:rPr>
          <w:noProof/>
        </w:rPr>
      </w:pPr>
      <w:r>
        <w:rPr>
          <w:noProof/>
        </w:rPr>
        <w:t xml:space="preserve">Ova Uredba stupa na snagu sljedećeg dana od dana objave u </w:t>
      </w:r>
      <w:r>
        <w:rPr>
          <w:i/>
          <w:noProof/>
        </w:rPr>
        <w:t>Službenom listu Europske unije</w:t>
      </w:r>
      <w:r>
        <w:rPr>
          <w:noProof/>
        </w:rPr>
        <w:t>.</w:t>
      </w:r>
    </w:p>
    <w:p w:rsidR="00327321" w:rsidRDefault="00F760AB">
      <w:pPr>
        <w:pStyle w:val="Applicationdirecte"/>
        <w:keepNext/>
        <w:keepLines/>
        <w:rPr>
          <w:noProof/>
        </w:rPr>
      </w:pPr>
      <w:r>
        <w:rPr>
          <w:noProof/>
        </w:rPr>
        <w:t>Ova je Uredba u cijelosti obvezujuća i izravno se primjenjuje u državama članicama u skladu s Ugovorima.</w:t>
      </w:r>
    </w:p>
    <w:p w:rsidR="00327321" w:rsidRDefault="00F760AB">
      <w:pPr>
        <w:pStyle w:val="Fait"/>
        <w:rPr>
          <w:noProof/>
        </w:rPr>
      </w:pPr>
      <w:r>
        <w:rPr>
          <w:noProof/>
        </w:rPr>
        <w:t>Sastavljen</w:t>
      </w:r>
      <w:r>
        <w:rPr>
          <w:noProof/>
        </w:rPr>
        <w:t>o u Bruxellesu</w:t>
      </w:r>
    </w:p>
    <w:p w:rsidR="00327321" w:rsidRDefault="00F760AB">
      <w:pPr>
        <w:pStyle w:val="Institutionquisigne"/>
        <w:rPr>
          <w:noProof/>
        </w:rPr>
      </w:pPr>
      <w:r>
        <w:rPr>
          <w:noProof/>
        </w:rPr>
        <w:t>Za Europski parlament</w:t>
      </w:r>
      <w:r>
        <w:rPr>
          <w:noProof/>
        </w:rPr>
        <w:tab/>
        <w:t>Za Vijeće</w:t>
      </w:r>
    </w:p>
    <w:p w:rsidR="00327321" w:rsidRDefault="00F760AB">
      <w:pPr>
        <w:pStyle w:val="Personnequisigne"/>
        <w:rPr>
          <w:noProof/>
        </w:rPr>
      </w:pPr>
      <w:r>
        <w:rPr>
          <w:noProof/>
        </w:rPr>
        <w:t>Predsjednik</w:t>
      </w:r>
      <w:r>
        <w:rPr>
          <w:noProof/>
        </w:rPr>
        <w:tab/>
        <w:t>Predsjednik</w:t>
      </w:r>
    </w:p>
    <w:sectPr w:rsidR="00327321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21" w:rsidRDefault="00F760AB">
      <w:pPr>
        <w:spacing w:before="0" w:after="0"/>
      </w:pPr>
      <w:r>
        <w:separator/>
      </w:r>
    </w:p>
  </w:endnote>
  <w:endnote w:type="continuationSeparator" w:id="0">
    <w:p w:rsidR="00327321" w:rsidRDefault="00F760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21" w:rsidRDefault="00F760AB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HR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21" w:rsidRDefault="00F760AB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21" w:rsidRDefault="00327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21" w:rsidRDefault="00F760AB">
      <w:pPr>
        <w:spacing w:before="0" w:after="0"/>
      </w:pPr>
      <w:r>
        <w:separator/>
      </w:r>
    </w:p>
  </w:footnote>
  <w:footnote w:type="continuationSeparator" w:id="0">
    <w:p w:rsidR="00327321" w:rsidRDefault="00F760AB">
      <w:pPr>
        <w:spacing w:before="0" w:after="0"/>
      </w:pPr>
      <w:r>
        <w:continuationSeparator/>
      </w:r>
    </w:p>
  </w:footnote>
  <w:footnote w:id="1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  <w:t>Uredba Vijeća (EZ) br. 539/2001 od 15. ožujka 2001. o popisu trećih zemalja čiji državljani moraju imati vizu pri prelasku vanjskih granica i zemalja čiji su državljani izuzeti od</w:t>
      </w:r>
      <w:r>
        <w:t xml:space="preserve"> tog zahtjeva, SL L 81, 21.3.2001., str. 1.</w:t>
      </w:r>
    </w:p>
  </w:footnote>
  <w:footnote w:id="2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>COM(2014) 646 završna verzija.</w:t>
      </w:r>
    </w:p>
  </w:footnote>
  <w:footnote w:id="3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Izjava donesena na sastanku šefova država ili vlada EU-a </w:t>
      </w:r>
      <w:proofErr w:type="spellStart"/>
      <w:r>
        <w:t>sTurskom</w:t>
      </w:r>
      <w:proofErr w:type="spellEnd"/>
      <w:r>
        <w:t>:  http://www.consilium.europa.eu/hr/press/press-releases/2015/11/29-eu-turkey-meeting-statement/</w:t>
      </w:r>
    </w:p>
  </w:footnote>
  <w:footnote w:id="4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>COM(2016) 14</w:t>
      </w:r>
      <w:r>
        <w:t>0 završna verzija.</w:t>
      </w:r>
    </w:p>
  </w:footnote>
  <w:footnote w:id="5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Izjava donesena na sastanku šefova država ili vlada EU-a </w:t>
      </w:r>
      <w:proofErr w:type="spellStart"/>
      <w:r>
        <w:t>sTurskom</w:t>
      </w:r>
      <w:proofErr w:type="spellEnd"/>
      <w:r>
        <w:t>: http://www.consilium.europa.eu/hr/press/press-releases/2016/03/18-eu-turkey-statement/</w:t>
      </w:r>
    </w:p>
  </w:footnote>
  <w:footnote w:id="6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COM(2016) 278 </w:t>
      </w:r>
      <w:proofErr w:type="spellStart"/>
      <w:r>
        <w:t>final</w:t>
      </w:r>
      <w:proofErr w:type="spellEnd"/>
      <w:r>
        <w:t>.</w:t>
      </w:r>
    </w:p>
  </w:footnote>
  <w:footnote w:id="7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>Uredba (EU) br. 259/2014 Europskog parlamenta i Vijeća od 3. t</w:t>
      </w:r>
      <w:r>
        <w:t>ravnja 2014. o izmjeni Uredbe Vijeća (EZ) br. 539/2001 o popisu trećih zemalja čiji državljani moraju imati vizu pri prelasku vanjskih granica i zemalja čiji su državljani izuzeti od tog zahtjeva, SL L 105, 8.4.2014., str. 9.</w:t>
      </w:r>
    </w:p>
  </w:footnote>
  <w:footnote w:id="8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>Uredba (EU) br. 509/2014 Eur</w:t>
      </w:r>
      <w:r>
        <w:t>opskog parlamenta i Vijeća od 15. svibnja 2014. o izmjeni Uredbe Vijeća (EZ) br. 539/2001 o popisu trećih zemalja čiji državljani moraju imati vizu pri prelasku vanjskih granica i zemalja čiji su državljani izuzeti od tog zahtjeva, SL L 149, 20.5.2014., st</w:t>
      </w:r>
      <w:r>
        <w:t>r. 67.</w:t>
      </w:r>
    </w:p>
  </w:footnote>
  <w:footnote w:id="9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>Dominika, Grenada, Sveta Lucija, Sveti Vincent i Grenadini, Trinidad i Tobago.</w:t>
      </w:r>
    </w:p>
  </w:footnote>
  <w:footnote w:id="10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Kiribati, Maršalovi Otoci, Mikronezija, Nauru, Palau, Samoa, </w:t>
      </w:r>
      <w:proofErr w:type="spellStart"/>
      <w:r>
        <w:t>Salomonovi</w:t>
      </w:r>
      <w:proofErr w:type="spellEnd"/>
      <w:r>
        <w:t xml:space="preserve"> Otoci, Istočni Timor, Tonga, Tuvalu, Vanuatu.</w:t>
      </w:r>
    </w:p>
  </w:footnote>
  <w:footnote w:id="11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>COM(2016) 142 završna verzija.</w:t>
      </w:r>
    </w:p>
  </w:footnote>
  <w:footnote w:id="12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>COM(2016) 236</w:t>
      </w:r>
      <w:r>
        <w:t xml:space="preserve"> završna verzija.</w:t>
      </w:r>
    </w:p>
  </w:footnote>
  <w:footnote w:id="13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>Uredba Vijeća (EZ) br. 539/2001 od 15. ožujka 2001. o popisu trećih zemalja čiji državljani moraju imati vizu pri prelasku vanjskih granica i zemalja čiji su državljani izuzeti od tog zahtjeva.</w:t>
      </w:r>
    </w:p>
  </w:footnote>
  <w:footnote w:id="14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Prijedlog Uredbe Europskog parlamenta i </w:t>
      </w:r>
      <w:r>
        <w:t>Vijeća o uspostavi sustava ulaska/izlaska (EES) za registriranje podataka o ulasku i izlasku te zabrani ulaska državljanima trećih zemalja koji prelaze vanjske granice država članica Europske unije i o utvrđivanju uvjeta za pristup EES-u za potrebe kazneno</w:t>
      </w:r>
      <w:r>
        <w:t>g progona, COM(2016) 194 završna verzija.</w:t>
      </w:r>
    </w:p>
  </w:footnote>
  <w:footnote w:id="15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>Komunikacija Komisije Europskom parlamentu i Vijeću „Jači i pametniji informacijski sustavi za granice i sigurnost”, COM(2016) 205 završna verzija.</w:t>
      </w:r>
    </w:p>
  </w:footnote>
  <w:footnote w:id="16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SWD(2016) 97 </w:t>
      </w:r>
      <w:proofErr w:type="spellStart"/>
      <w:r>
        <w:t>final</w:t>
      </w:r>
      <w:proofErr w:type="spellEnd"/>
      <w:r>
        <w:t>.</w:t>
      </w:r>
    </w:p>
  </w:footnote>
  <w:footnote w:id="17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SWD(2016) 161 </w:t>
      </w:r>
      <w:proofErr w:type="spellStart"/>
      <w:r>
        <w:t>final</w:t>
      </w:r>
      <w:proofErr w:type="spellEnd"/>
      <w:r>
        <w:t>.</w:t>
      </w:r>
    </w:p>
  </w:footnote>
  <w:footnote w:id="18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>Uredba Vijeća (EZ) br. 539/20</w:t>
      </w:r>
      <w:r>
        <w:t>01 od 15. ožujka 2001. o popisu trećih zemalja čiji državljani moraju imati vizu pri prelasku vanjskih granica i zemalja čiji su državljani izuzeti od tog zahtjeva, SL L 81, 21.3.2001., str. 1.</w:t>
      </w:r>
    </w:p>
  </w:footnote>
  <w:footnote w:id="19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>Uredba Vijeća (EZ) br. 2252/2004 od 13. prosinca 2004. o sta</w:t>
      </w:r>
      <w:r>
        <w:t>ndardima za sigurnosna obilježja i biometrijske podatke u putovnicama i putnim ispravama koje izdaju države članice, SL L 385, 29.12.2004., str. 1.</w:t>
      </w:r>
    </w:p>
  </w:footnote>
  <w:footnote w:id="20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Odluka Vijeća 2000/365/EZ od 29. svibnja 2000. o zahtjevu Ujedinjene Kraljevine Velike Britanije i </w:t>
      </w:r>
      <w:r>
        <w:t xml:space="preserve">Sjeverne Irske za sudjelovanje u pojedinim odredbama </w:t>
      </w:r>
      <w:proofErr w:type="spellStart"/>
      <w:r>
        <w:t>schengenske</w:t>
      </w:r>
      <w:proofErr w:type="spellEnd"/>
      <w:r>
        <w:t xml:space="preserve"> pravne stečevine, SL L 131, 1.6.2000., str. 43.</w:t>
      </w:r>
    </w:p>
  </w:footnote>
  <w:footnote w:id="21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Odluka Vijeća 2002/192/EZ od 28. veljače 2002. o zahtjevu Irske za sudjelovanje u provedbi nekih odredbi </w:t>
      </w:r>
      <w:proofErr w:type="spellStart"/>
      <w:r>
        <w:t>schengenske</w:t>
      </w:r>
      <w:proofErr w:type="spellEnd"/>
      <w:r>
        <w:t xml:space="preserve"> pravne stečevine, SL L 6</w:t>
      </w:r>
      <w:r>
        <w:t>4, 7.3.2002., str. 20.</w:t>
      </w:r>
    </w:p>
  </w:footnote>
  <w:footnote w:id="22">
    <w:p w:rsidR="00327321" w:rsidRDefault="00F760AB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ab/>
      </w:r>
      <w:r>
        <w:t>Odluka Vijeća 1999/437/EZ od 17. svibnja 1999. o određenim aranžmanima za primjenu Sporazuma sklopljenog između Vijeća Europske unije i Republike Islanda i Kraljevine Norveške o pridruživanju tih dviju država provedbi, primjeni i r</w:t>
      </w:r>
      <w:r>
        <w:t xml:space="preserve">azvoju </w:t>
      </w:r>
      <w:proofErr w:type="spellStart"/>
      <w:r>
        <w:t>schengenske</w:t>
      </w:r>
      <w:proofErr w:type="spellEnd"/>
      <w:r>
        <w:t xml:space="preserve"> pravne stečevine, SL L 176, 10.7.1999., str. 31.</w:t>
      </w:r>
    </w:p>
  </w:footnote>
  <w:footnote w:id="23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rPr>
          <w:lang w:val="sk-SK"/>
        </w:rPr>
        <w:tab/>
      </w:r>
      <w:r>
        <w:t>Odluka Vijeća 2008/146/EZ od 28. siječnja 2008. o sklapanju, u ime Europske zajednice, Sporazuma između Europske unije, Europske zajednice i Švicarske Konfederacije o pridruživanju Švica</w:t>
      </w:r>
      <w:r>
        <w:t xml:space="preserve">rske Konfederacije provedbi, primjeni i razvoju </w:t>
      </w:r>
      <w:proofErr w:type="spellStart"/>
      <w:r>
        <w:t>schengenske</w:t>
      </w:r>
      <w:proofErr w:type="spellEnd"/>
      <w:r>
        <w:t xml:space="preserve"> pravne stečevine, SL L 53, 27.2.2008., str. 1.</w:t>
      </w:r>
    </w:p>
  </w:footnote>
  <w:footnote w:id="24">
    <w:p w:rsidR="00327321" w:rsidRDefault="00F760AB">
      <w:pPr>
        <w:pStyle w:val="FootnoteText"/>
      </w:pPr>
      <w:r>
        <w:rPr>
          <w:rStyle w:val="FootnoteReference"/>
        </w:rPr>
        <w:footnoteRef/>
      </w:r>
      <w:r>
        <w:tab/>
      </w:r>
      <w:r>
        <w:t>Odluka Vijeća 2011/350/EU od 7. ožujka 2011. o sklapanju Protokola između Europske unije, Europske zajednice, Švicarske Konfederacije i Kneževine L</w:t>
      </w:r>
      <w:r>
        <w:t xml:space="preserve">ihtenštajna o pristupanju Kneževine Lihtenštajna Sporazumu Europske unije, Europske zajednice i Švicarske Konfederacije o pristupanju Švicarske Konfederacije provedbi, primjeni i razvoju </w:t>
      </w:r>
      <w:proofErr w:type="spellStart"/>
      <w:r>
        <w:t>schengenske</w:t>
      </w:r>
      <w:proofErr w:type="spellEnd"/>
      <w:r>
        <w:t xml:space="preserve"> pravne stečevine, u vezi s ukidanjem kontrola na unutarnj</w:t>
      </w:r>
      <w:r>
        <w:t>im granicama i kretanju osoba, u ime Europske unije, SL L 160, 18.6.2011., str. 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52C77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A8078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41622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4D499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1001C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97C9F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7AA7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488B3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8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5-04 14:24:1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D748FAA1D21F48518BEB524090342E7C"/>
    <w:docVar w:name="LW_CROSSREFERENCE" w:val="&lt;UNUSED&gt;"/>
    <w:docVar w:name="LW_DocType" w:val="COM"/>
    <w:docVar w:name="LW_EMISSION" w:val="4.5.2016."/>
    <w:docVar w:name="LW_EMISSION_ISODATE" w:val="2016-05-04"/>
    <w:docVar w:name="LW_EMISSION_LOCATION" w:val="BRX"/>
    <w:docVar w:name="LW_EMISSION_PREFIX" w:val="Bruxelles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HR"/>
    <w:docVar w:name="LW_MARKING" w:val="&lt;UNUSED&gt;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41"/>
    <w:docVar w:name="LW_REF.II.NEW.CP_YEAR" w:val="2016"/>
    <w:docVar w:name="LW_REF.INST.NEW" w:val="COM"/>
    <w:docVar w:name="LW_REF.INST.NEW_ADOPTED" w:val="final"/>
    <w:docVar w:name="LW_REF.INST.NEW_TEXT" w:val="(2016) 279"/>
    <w:docVar w:name="LW_REF.INTERNE" w:val="&lt;UNUSED&gt;"/>
    <w:docVar w:name="LW_SOUS.TITRE.OBJ.CP" w:val="(Turska)"/>
    <w:docVar w:name="LW_STATUT.CP" w:val="Prijedlog"/>
    <w:docVar w:name="LW_SUPERTITRE" w:val="&lt;UNUSED&gt;"/>
    <w:docVar w:name="LW_TITRE.OBJ.CP" w:val="o izmjeni Uredbe (EZ) br. 539/2001 o popisu tre\u263?ih zemalja \u269?iji dr\u382?avljani moraju imati vizu pri prelasku vanjskih granica i zemalja \u269?iji su dr\u382?avljani su izuzeti od tog zahtjeva"/>
    <w:docVar w:name="LW_TYPE.DOC.CP" w:val="UREDBE EUROPSKOG PARLAMENTA I VIJE\u262?A"/>
  </w:docVars>
  <w:rsids>
    <w:rsidRoot w:val="00327321"/>
    <w:rsid w:val="00327321"/>
    <w:rsid w:val="00F7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character" w:customStyle="1" w:styleId="bumpedfont15">
    <w:name w:val="bumpedfont15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character" w:customStyle="1" w:styleId="bumpedfont15">
    <w:name w:val="bumpedfont15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09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12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7F73-1163-4DC8-AC59-192B8774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10</Pages>
  <Words>3189</Words>
  <Characters>18277</Characters>
  <Application>Microsoft Office Word</Application>
  <DocSecurity>0</DocSecurity>
  <Lines>299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22</cp:revision>
  <cp:lastPrinted>2016-05-03T18:08:00Z</cp:lastPrinted>
  <dcterms:created xsi:type="dcterms:W3CDTF">2016-05-04T12:23:00Z</dcterms:created>
  <dcterms:modified xsi:type="dcterms:W3CDTF">2016-05-04T13:36:00Z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Yellow (DQC version 03)</vt:lpwstr>
  </property>
</Properties>
</file>