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C40DDA530524045815CFF731CFB8372" style="width:450.75pt;height:452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LIITE</w:t>
      </w:r>
    </w:p>
    <w:p>
      <w:pPr>
        <w:rPr>
          <w:b/>
          <w:i/>
          <w:noProof/>
        </w:rPr>
      </w:pPr>
      <w:r>
        <w:rPr>
          <w:b/>
          <w:noProof/>
        </w:rPr>
        <w:t>”Liite III: Raja-arvot ja muut niihin suoranaisesti liittyvät säännökset (16 artikla)</w:t>
      </w:r>
    </w:p>
    <w:p>
      <w:pPr>
        <w:pStyle w:val="ManualHeading1"/>
        <w:rPr>
          <w:i/>
          <w:noProof/>
        </w:rPr>
      </w:pPr>
      <w:r>
        <w:rPr>
          <w:noProof/>
        </w:rPr>
        <w:t>A. TYÖSSÄ TAPAHTUVAN ALTISTUMISEN RAJA-ARVOT</w:t>
      </w:r>
    </w:p>
    <w:p>
      <w:pPr>
        <w:rPr>
          <w:rFonts w:eastAsia="Times New Roman"/>
          <w:noProof/>
          <w:szCs w:val="24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1212"/>
        <w:gridCol w:w="2683"/>
        <w:gridCol w:w="1354"/>
        <w:gridCol w:w="1022"/>
        <w:gridCol w:w="1187"/>
        <w:gridCol w:w="1417"/>
      </w:tblGrid>
      <w:tr>
        <w:trPr>
          <w:trHeight w:val="509"/>
          <w:tblHeader/>
        </w:trPr>
        <w:tc>
          <w:tcPr>
            <w:tcW w:w="1185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CAS-nro</w:t>
            </w:r>
            <w:r>
              <w:rPr>
                <w:noProof/>
              </w:rPr>
              <w:t xml:space="preserve"> 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)</w:t>
            </w:r>
          </w:p>
        </w:tc>
        <w:tc>
          <w:tcPr>
            <w:tcW w:w="1333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EY-nro</w:t>
            </w:r>
            <w:r>
              <w:rPr>
                <w:noProof/>
              </w:rPr>
              <w:t xml:space="preserve"> (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>)</w:t>
            </w:r>
          </w:p>
        </w:tc>
        <w:tc>
          <w:tcPr>
            <w:tcW w:w="2310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AINEEN NIMI</w:t>
            </w:r>
          </w:p>
        </w:tc>
        <w:tc>
          <w:tcPr>
            <w:tcW w:w="3809" w:type="dxa"/>
            <w:gridSpan w:val="3"/>
          </w:tcPr>
          <w:p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RAJA-ARVOT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 w:val="restart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Huomautus</w:t>
            </w:r>
            <w:r>
              <w:rPr>
                <w:noProof/>
              </w:rPr>
              <w:t xml:space="preserve"> (</w:t>
            </w:r>
            <w:r>
              <w:rPr>
                <w:rStyle w:val="FootnoteReference"/>
                <w:noProof/>
              </w:rPr>
              <w:footnoteReference w:id="4"/>
            </w:r>
            <w:r>
              <w:rPr>
                <w:noProof/>
              </w:rPr>
              <w:t>)</w:t>
            </w:r>
          </w:p>
        </w:tc>
      </w:tr>
      <w:tr>
        <w:trPr>
          <w:tblHeader/>
        </w:trPr>
        <w:tc>
          <w:tcPr>
            <w:tcW w:w="1185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333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310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457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 xml:space="preserve">3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ppm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6"/>
            </w:r>
            <w:r>
              <w:rPr>
                <w:noProof/>
              </w:rPr>
              <w:t>)</w:t>
            </w:r>
          </w:p>
        </w:tc>
        <w:tc>
          <w:tcPr>
            <w:tcW w:w="1256" w:type="dxa"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f/ml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7"/>
            </w:r>
            <w:r>
              <w:rPr>
                <w:noProof/>
              </w:rPr>
              <w:t>)</w:t>
            </w:r>
          </w:p>
        </w:tc>
        <w:tc>
          <w:tcPr>
            <w:tcW w:w="1350" w:type="dxa"/>
            <w:vMerge/>
          </w:tcPr>
          <w:p>
            <w:pPr>
              <w:rPr>
                <w:rFonts w:eastAsia="Times New Roman"/>
                <w:b/>
                <w:noProof/>
                <w:szCs w:val="24"/>
              </w:rPr>
            </w:pP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Kovapuupölyt 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 (</w:t>
            </w:r>
            <w:r>
              <w:rPr>
                <w:rStyle w:val="FootnoteReference"/>
                <w:noProof/>
              </w:rPr>
              <w:footnoteReference w:id="8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Kromi(VI)yhdisteet, jotka ovat direktiivin 2 artiklan a alakohdan i alakohdassa tarkoitettuja syöpää aiheuttavia aineita 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(kromina)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0,025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Tulenkestävät keraamiset kuidut, </w:t>
            </w:r>
          </w:p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jotka ovat direktiivin 2 artiklan a alakohdan i alakohdassa tarkoitettuja syöpää aiheuttavia aineita 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0,3</w:t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Hengitettävä kiteinen piidioksidi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 (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)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71-43-2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200-753-7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Bentseeni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3,25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Iho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75-01-4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200-831-0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Vinyylikloridimonomeeri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2,6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75-21-8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200-849-9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Etyleenioksidi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1,8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Iho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hyperlink r:id="rId16">
              <w:r>
                <w:rPr>
                  <w:noProof/>
                </w:rPr>
                <w:t>75-56-9</w:t>
              </w:r>
            </w:hyperlink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200-879-2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1,2-Epoksipropaani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2,4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1 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79-06-1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201-173-7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Akryyliamidi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Iho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79-46-9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201-209-1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2-Nitropropaani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95-53-4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202-429-0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i/>
                <w:noProof/>
              </w:rPr>
              <w:t>o</w:t>
            </w:r>
            <w:r>
              <w:rPr>
                <w:noProof/>
              </w:rPr>
              <w:t>-Toluidiini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106-99-0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203-450-8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1,3-Butadieeni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2,2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302-01-2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206-114-9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Hydratsiini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0,013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Iho</w:t>
            </w:r>
          </w:p>
        </w:tc>
      </w:tr>
      <w:tr>
        <w:tc>
          <w:tcPr>
            <w:tcW w:w="1185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593-60-2 </w:t>
            </w:r>
          </w:p>
        </w:tc>
        <w:tc>
          <w:tcPr>
            <w:tcW w:w="1333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209-800-6</w:t>
            </w:r>
          </w:p>
        </w:tc>
        <w:tc>
          <w:tcPr>
            <w:tcW w:w="231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Bromietyleeni</w:t>
            </w:r>
          </w:p>
        </w:tc>
        <w:tc>
          <w:tcPr>
            <w:tcW w:w="1457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4,4</w:t>
            </w:r>
          </w:p>
        </w:tc>
        <w:tc>
          <w:tcPr>
            <w:tcW w:w="109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256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  <w:tc>
          <w:tcPr>
            <w:tcW w:w="1350" w:type="dxa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sym w:font="Symbol" w:char="F02D"/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B. MUUT NIIHIN SUORANAISESTI LIITTYVÄT SÄÄNNÖKSET</w:t>
      </w:r>
    </w:p>
    <w:p>
      <w:pPr>
        <w:pStyle w:val="Text1"/>
        <w:ind w:left="0"/>
        <w:rPr>
          <w:noProof/>
        </w:rPr>
      </w:pPr>
      <w:r>
        <w:rPr>
          <w:noProof/>
        </w:rPr>
        <w:t>p.m”</w:t>
      </w:r>
    </w:p>
    <w:p>
      <w:pPr>
        <w:rPr>
          <w:noProof/>
        </w:rPr>
      </w:pPr>
    </w:p>
    <w:sectPr>
      <w:footerReference w:type="default" r:id="rId17"/>
      <w:footerReference w:type="first" r:id="rId18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CAS-nro: Chemical Abstract Service -rekisterinumero.</w:t>
      </w:r>
    </w:p>
  </w:footnote>
  <w:footnote w:id="2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EY-numero eli EINECS-, ELINCS- tai No Longer Polymers -numero on aineen virallinen numero Euroopan unionissa asetuksen (EY) N:o 1272/2008 liitteessä VI olevan 1 osan 1.1.1.2 kohdassa määritellyn mukaisesti.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Mitattu tai laskettu suhteessa kahdeksan tunnin viiteaikaan.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Huomattava kehon kokonaiskuormituksen lisääntyminen ihon kautta altistumalla mahdollista. </w:t>
      </w:r>
    </w:p>
  </w:footnote>
  <w:footnote w:id="5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mg/m</w:t>
      </w:r>
      <w:r>
        <w:rPr>
          <w:vertAlign w:val="superscript"/>
        </w:rPr>
        <w:t>3</w:t>
      </w:r>
      <w:r>
        <w:t xml:space="preserve"> = milligrammaa ilmakuutiometriä kohti 20 °C:ssa ja 101,3 kPa:ssa (760 mm elohopeamittarilla).</w:t>
      </w:r>
    </w:p>
  </w:footnote>
  <w:footnote w:id="6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ppm = miljoonasosaa tilavuutena ilmassa (ml/m</w:t>
      </w:r>
      <w:r>
        <w:rPr>
          <w:vertAlign w:val="superscript"/>
        </w:rPr>
        <w:t>3</w:t>
      </w:r>
      <w:r>
        <w:t>).</w:t>
      </w:r>
    </w:p>
  </w:footnote>
  <w:footnote w:id="7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f/ml = kuituja millilitrassa.</w:t>
      </w:r>
    </w:p>
  </w:footnote>
  <w:footnote w:id="8">
    <w:p>
      <w:pPr>
        <w:spacing w:before="0" w:after="0"/>
        <w:ind w:left="720" w:hanging="720"/>
      </w:pPr>
      <w:r>
        <w:rPr>
          <w:rStyle w:val="FootnoteReference"/>
        </w:rPr>
        <w:footnoteRef/>
      </w:r>
      <w:r>
        <w:tab/>
      </w:r>
      <w:r>
        <w:rPr>
          <w:sz w:val="20"/>
        </w:rPr>
        <w:t>Hengittyvä osuus: jos kovapuupölyjä on sekoittunut muihin puupölyihin, raja-arvoa sovelletaan kaikkiin seoksessa mukana oleviin puupölyihin.</w:t>
      </w:r>
    </w:p>
  </w:footnote>
  <w:footnote w:id="9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Keuhkorakkuloihin päätyvä osuus.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C6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8022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6A7F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E3C63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0601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A410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BEC9B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A60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12 10:03:3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1"/>
    <w:docVar w:name="DQCStatus" w:val="Yellow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5C40DDA530524045815CFF731CFB8372"/>
    <w:docVar w:name="LW_CROSSREFERENCE" w:val="{SWD(2016) 152 final}_x000b_{SWD(2016) 153 final}"/>
    <w:docVar w:name="LW_DocType" w:val="ANNEX"/>
    <w:docVar w:name="LW_EMISSION" w:val="13.5.2016"/>
    <w:docVar w:name="LW_EMISSION_ISODATE" w:val="2016-05-13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" w:val="työntekijöiden suojelemisesta syöpäsairauden vaaraa aiheuttaville tekijöille tai perimän muutoksia aiheuttaville aineille altistumiseen työssä liittyviltä vaaroilta annetun direktiivin 2004/37/EY muuttamisesta"/>
    <w:docVar w:name="LW_OBJETACTEPRINCIPAL.CP" w:val="työntekijöiden suojelemisesta syöpäsairauden vaaraa aiheuttaville tekijöille tai perimän muutoksia aiheuttaville aineille altistumiseen työssä liittyviltä vaaroilta annetun direktiivin 2004/37/EY muuttamisesta"/>
    <w:docVar w:name="LW_PART_NBR" w:val="1"/>
    <w:docVar w:name="LW_PART_NBR_TOTAL" w:val="1"/>
    <w:docVar w:name="LW_REF.INST.NEW" w:val="COM"/>
    <w:docVar w:name="LW_REF.INST.NEW_ADOPTED" w:val="final"/>
    <w:docVar w:name="LW_REF.INST.NEW_TEXT" w:val="(2016) 248"/>
    <w:docVar w:name="LW_REF.INTERNE" w:val="&lt;UNUSED&gt;"/>
    <w:docVar w:name="LW_SUPERTITRE" w:val="&lt;UNUSED&gt;"/>
    <w:docVar w:name="LW_TITRE.OBJ.CP" w:val="&lt;UNUSED&gt;"/>
    <w:docVar w:name="LW_TYPE.DOC" w:val="LIITE"/>
    <w:docVar w:name="LW_TYPE.DOC.CP" w:val="LIITE"/>
    <w:docVar w:name="LW_TYPEACTEPRINCIPAL" w:val="Ehdotus_x000b_EUROOPAN PARLAMENTIN JA NEUVOSTON DIREKTIIVIKSI_x000b_"/>
    <w:docVar w:name="LW_TYPEACTEPRINCIPAL.CP" w:val="Ehdotus_x000b_EUROOPAN PARLAMENTIN JA NEUVOSTON DIREKTIIVIKSI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tools.wmflabs.org/magnustools/cas.php?cas=75-56-9&amp;language=fr&amp;title=Oxyde_de_propyl.C3.A8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718B-D089-46C7-97C6-249F9FE1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201</Words>
  <Characters>1056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DIGIT/A3</cp:lastModifiedBy>
  <cp:revision>9</cp:revision>
  <cp:lastPrinted>2016-04-28T13:30:00Z</cp:lastPrinted>
  <dcterms:created xsi:type="dcterms:W3CDTF">2016-05-12T08:03:00Z</dcterms:created>
  <dcterms:modified xsi:type="dcterms:W3CDTF">2016-05-13T08:44:00Z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