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70" w:rsidRDefault="00CA633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3BEFBA1885D4A5CAEDC5F8623CB7042" style="width:450.75pt;height:334.5pt">
            <v:imagedata r:id="rId9" o:title=""/>
          </v:shape>
        </w:pict>
      </w:r>
    </w:p>
    <w:bookmarkEnd w:id="0"/>
    <w:p w:rsidR="00C46F70" w:rsidRDefault="00C46F70">
      <w:pPr>
        <w:pStyle w:val="Pagedecouverture"/>
        <w:rPr>
          <w:noProof/>
        </w:rPr>
        <w:sectPr w:rsidR="00C46F70">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1"/>
          <w:cols w:space="720"/>
          <w:docGrid w:linePitch="326"/>
        </w:sectPr>
      </w:pPr>
    </w:p>
    <w:p w:rsidR="00C46F70" w:rsidRDefault="00CA6337">
      <w:pPr>
        <w:pStyle w:val="Heading"/>
        <w:numPr>
          <w:ilvl w:val="0"/>
          <w:numId w:val="2"/>
        </w:numPr>
        <w:rPr>
          <w:rFonts w:ascii="Times New Roman" w:eastAsia="Times New Roman" w:hAnsi="Times New Roman" w:cs="Times New Roman"/>
          <w:noProof/>
          <w:color w:val="000000"/>
          <w:u w:color="000000"/>
        </w:rPr>
      </w:pPr>
      <w:r>
        <w:rPr>
          <w:rFonts w:ascii="Times New Roman" w:hAnsi="Times New Roman"/>
          <w:noProof/>
          <w:color w:val="000000"/>
          <w:u w:color="000000"/>
        </w:rPr>
        <w:lastRenderedPageBreak/>
        <w:t>KONTEKSTS</w:t>
      </w:r>
    </w:p>
    <w:p w:rsidR="00C46F70" w:rsidRDefault="00CA6337">
      <w:pPr>
        <w:pStyle w:val="ListParagraph"/>
        <w:spacing w:before="240"/>
        <w:ind w:left="0"/>
        <w:jc w:val="both"/>
        <w:rPr>
          <w:rFonts w:ascii="Times New Roman" w:eastAsia="Times New Roman" w:hAnsi="Times New Roman" w:cs="Times New Roman"/>
          <w:noProof/>
          <w:sz w:val="24"/>
          <w:szCs w:val="24"/>
        </w:rPr>
      </w:pPr>
      <w:r>
        <w:rPr>
          <w:rFonts w:ascii="Times New Roman" w:hAnsi="Times New Roman"/>
          <w:noProof/>
          <w:sz w:val="24"/>
        </w:rPr>
        <w:t xml:space="preserve">Cilvēku tirdzniecība ir pieaugušo un bērnu pirkšana, pārdošana un ekspluatācija. Tā ir parādība, kam ir negatīva ietekme uz cilvēkiem, sabiedrību un ekonomiku. </w:t>
      </w:r>
      <w:r>
        <w:rPr>
          <w:rFonts w:ascii="Times New Roman" w:hAnsi="Times New Roman"/>
          <w:b/>
          <w:noProof/>
          <w:sz w:val="24"/>
        </w:rPr>
        <w:t>Tirgotāji izmanto cilvēku neaizsargātību</w:t>
      </w:r>
      <w:r>
        <w:rPr>
          <w:rFonts w:ascii="Times New Roman" w:hAnsi="Times New Roman"/>
          <w:noProof/>
          <w:sz w:val="24"/>
        </w:rPr>
        <w:t>, kuru var pastiprināt tādi faktori kā nabadzība, diskri</w:t>
      </w:r>
      <w:r>
        <w:rPr>
          <w:rFonts w:ascii="Times New Roman" w:hAnsi="Times New Roman"/>
          <w:noProof/>
          <w:sz w:val="24"/>
        </w:rPr>
        <w:t xml:space="preserve">minācija, dzimumu nevienlīdzība, vardarbība pret sievietēm, nepietiekama izglītības pieejamība, etniskie konflikti un dabas katastrofas. </w:t>
      </w:r>
    </w:p>
    <w:p w:rsidR="00C46F70" w:rsidRDefault="00CA6337">
      <w:pPr>
        <w:pStyle w:val="ListParagraph"/>
        <w:ind w:left="0"/>
        <w:jc w:val="both"/>
        <w:rPr>
          <w:rFonts w:ascii="Times New Roman" w:eastAsia="Times New Roman" w:hAnsi="Times New Roman" w:cs="Times New Roman"/>
          <w:noProof/>
          <w:sz w:val="24"/>
          <w:szCs w:val="24"/>
        </w:rPr>
      </w:pPr>
      <w:r>
        <w:rPr>
          <w:rFonts w:ascii="Times New Roman" w:hAnsi="Times New Roman"/>
          <w:b/>
          <w:noProof/>
          <w:sz w:val="24"/>
        </w:rPr>
        <w:t>Cilvēku tirdzniecība ir noziegums, ko izdarīt mudina pieprasījums un peļņa</w:t>
      </w:r>
      <w:r>
        <w:rPr>
          <w:rFonts w:ascii="Times New Roman" w:hAnsi="Times New Roman"/>
          <w:noProof/>
          <w:sz w:val="24"/>
        </w:rPr>
        <w:t>. Gan likumīgā, gan nelikumīgā ekonomiskā da</w:t>
      </w:r>
      <w:r>
        <w:rPr>
          <w:rFonts w:ascii="Times New Roman" w:hAnsi="Times New Roman"/>
          <w:noProof/>
          <w:sz w:val="24"/>
        </w:rPr>
        <w:t>rbībā gūtā peļņa rada piedāvājuma un pieprasījuma sarežģītu mijiedarbību, kurai ir jāpievēršas, lai izskaustu šo noziegumu.</w:t>
      </w:r>
    </w:p>
    <w:p w:rsidR="00C46F70" w:rsidRDefault="00CA6337">
      <w:pPr>
        <w:pStyle w:val="ListParagraph"/>
        <w:ind w:left="0"/>
        <w:jc w:val="both"/>
        <w:rPr>
          <w:rFonts w:ascii="Times New Roman" w:hAnsi="Times New Roman"/>
          <w:noProof/>
          <w:sz w:val="24"/>
          <w:szCs w:val="24"/>
        </w:rPr>
      </w:pPr>
      <w:r>
        <w:rPr>
          <w:rFonts w:ascii="Times New Roman" w:hAnsi="Times New Roman"/>
          <w:b/>
          <w:noProof/>
          <w:sz w:val="24"/>
        </w:rPr>
        <w:t xml:space="preserve">Cilvēku tirdzniecība </w:t>
      </w:r>
      <w:r>
        <w:rPr>
          <w:rFonts w:ascii="Times New Roman" w:hAnsi="Times New Roman"/>
          <w:noProof/>
          <w:sz w:val="24"/>
        </w:rPr>
        <w:t xml:space="preserve">ir rupjš pamattiesību pārkāpums un ir nepārprotami aizliegta </w:t>
      </w:r>
      <w:r>
        <w:rPr>
          <w:rFonts w:ascii="Times New Roman" w:hAnsi="Times New Roman"/>
          <w:b/>
          <w:noProof/>
          <w:sz w:val="24"/>
        </w:rPr>
        <w:t>ar Eiropas Savienības Pamattiesību hartu</w:t>
      </w:r>
      <w:r>
        <w:rPr>
          <w:rFonts w:ascii="Times New Roman" w:hAnsi="Times New Roman"/>
          <w:noProof/>
          <w:sz w:val="24"/>
        </w:rPr>
        <w:t>. Tā ir mi</w:t>
      </w:r>
      <w:r>
        <w:rPr>
          <w:rFonts w:ascii="Times New Roman" w:hAnsi="Times New Roman"/>
          <w:noProof/>
          <w:sz w:val="24"/>
        </w:rPr>
        <w:t>nēta kā noziegums arī Līguma par Eiropas Savienības darbību 83. pantā. Līguma 83. pantā uzskaitītie noziegumi ir tā sauktie “eironoziegumi”. Tie ir īpaši smagi noziegumi ar pārrobežu dimensiju.</w:t>
      </w:r>
    </w:p>
    <w:p w:rsidR="00C46F70" w:rsidRDefault="00CA6337">
      <w:pPr>
        <w:pStyle w:val="ListParagraph"/>
        <w:ind w:left="0"/>
        <w:jc w:val="both"/>
        <w:rPr>
          <w:rFonts w:ascii="Times New Roman" w:hAnsi="Times New Roman"/>
          <w:noProof/>
          <w:sz w:val="24"/>
          <w:szCs w:val="24"/>
        </w:rPr>
      </w:pPr>
      <w:r>
        <w:rPr>
          <w:rFonts w:ascii="Times New Roman" w:hAnsi="Times New Roman"/>
          <w:noProof/>
          <w:sz w:val="24"/>
        </w:rPr>
        <w:t>Tādēļ ir svarīga dalībvalstu sadarbība un koordinācija, kā tas</w:t>
      </w:r>
      <w:r>
        <w:rPr>
          <w:rFonts w:ascii="Times New Roman" w:hAnsi="Times New Roman"/>
          <w:noProof/>
          <w:sz w:val="24"/>
        </w:rPr>
        <w:t xml:space="preserve"> izklāstīts </w:t>
      </w:r>
      <w:r>
        <w:rPr>
          <w:rFonts w:ascii="Times New Roman" w:hAnsi="Times New Roman"/>
          <w:b/>
          <w:noProof/>
          <w:sz w:val="24"/>
        </w:rPr>
        <w:t>Direktīvā 2011/36/ES par cilvēku tirdzniecības novēršanu un apkarošanu un cietušo aizsardzību</w:t>
      </w:r>
      <w:r>
        <w:rPr>
          <w:rStyle w:val="FootnoteReference"/>
          <w:rFonts w:ascii="Times New Roman" w:hAnsi="Times New Roman"/>
          <w:noProof/>
          <w:sz w:val="24"/>
        </w:rPr>
        <w:footnoteReference w:id="2"/>
      </w:r>
      <w:r>
        <w:rPr>
          <w:rFonts w:ascii="Times New Roman" w:hAnsi="Times New Roman"/>
          <w:noProof/>
          <w:sz w:val="24"/>
        </w:rPr>
        <w:t xml:space="preserve"> (“Cilvēku tirdzniecības novēršanas direktīva”). Direktīvas 20. pants paredz, ka, lai sniegtu ieguldījumu koordinētā un saliedētā ES Stratēģijā cīņai </w:t>
      </w:r>
      <w:r>
        <w:rPr>
          <w:rFonts w:ascii="Times New Roman" w:hAnsi="Times New Roman"/>
          <w:noProof/>
          <w:sz w:val="24"/>
        </w:rPr>
        <w:t>pret cilvēku tirdzniecību, “dalībvalstis nosūta koordinatoram cilvēku tirdzniecības apkarošanas jomā (</w:t>
      </w:r>
      <w:r>
        <w:rPr>
          <w:rFonts w:ascii="Times New Roman" w:hAnsi="Times New Roman"/>
          <w:i/>
          <w:noProof/>
          <w:sz w:val="24"/>
        </w:rPr>
        <w:t>ATC</w:t>
      </w:r>
      <w:r>
        <w:rPr>
          <w:rFonts w:ascii="Times New Roman" w:hAnsi="Times New Roman"/>
          <w:noProof/>
          <w:sz w:val="24"/>
        </w:rPr>
        <w:t xml:space="preserve">) 19. pantā minēto informāciju, pamatojoties uz to, ka </w:t>
      </w:r>
      <w:r>
        <w:rPr>
          <w:rFonts w:ascii="Times New Roman" w:hAnsi="Times New Roman"/>
          <w:i/>
          <w:noProof/>
          <w:sz w:val="24"/>
        </w:rPr>
        <w:t>ATC</w:t>
      </w:r>
      <w:r>
        <w:rPr>
          <w:rFonts w:ascii="Times New Roman" w:hAnsi="Times New Roman"/>
          <w:noProof/>
          <w:sz w:val="24"/>
        </w:rPr>
        <w:t xml:space="preserve"> reizi divos gados dod ieguldījumu ziņojumā, ko Komisija sniedz par gūtajiem panākumiem cīņā pret cilvēku tirdzniecību”.</w:t>
      </w:r>
    </w:p>
    <w:p w:rsidR="00C46F70" w:rsidRDefault="00CA6337">
      <w:pPr>
        <w:pStyle w:val="ListParagraph"/>
        <w:ind w:left="0"/>
        <w:jc w:val="both"/>
        <w:rPr>
          <w:rFonts w:ascii="Times New Roman" w:hAnsi="Times New Roman"/>
          <w:noProof/>
          <w:sz w:val="24"/>
          <w:szCs w:val="24"/>
        </w:rPr>
      </w:pPr>
      <w:r>
        <w:rPr>
          <w:rFonts w:ascii="Times New Roman" w:hAnsi="Times New Roman"/>
          <w:noProof/>
          <w:sz w:val="24"/>
        </w:rPr>
        <w:t>Tādēļ Komisija ir iecēlusi amatā ES koordinatoru cilvēku tirdzniecības apkarošanas jomā, kurš ir atbildīgs par koordinācijas un saskaņo</w:t>
      </w:r>
      <w:r>
        <w:rPr>
          <w:rFonts w:ascii="Times New Roman" w:hAnsi="Times New Roman"/>
          <w:noProof/>
          <w:sz w:val="24"/>
        </w:rPr>
        <w:t>tības uzlabošanu starp ES iestādēm, ES aģentūrām, dalībvalstīm un starptautiskiem dalībniekiem un par jaunu ES politiku izstrādi un pašreizējo ES politiku uzlabošanu, lai novērstu cilvēku tirdzniecību</w:t>
      </w:r>
      <w:r>
        <w:rPr>
          <w:rStyle w:val="FootnoteReference"/>
          <w:rFonts w:ascii="Times New Roman" w:hAnsi="Times New Roman"/>
          <w:noProof/>
          <w:sz w:val="24"/>
        </w:rPr>
        <w:footnoteReference w:id="3"/>
      </w:r>
      <w:r>
        <w:rPr>
          <w:rFonts w:ascii="Times New Roman" w:hAnsi="Times New Roman"/>
          <w:noProof/>
          <w:sz w:val="24"/>
        </w:rPr>
        <w:t>.</w:t>
      </w:r>
    </w:p>
    <w:p w:rsidR="00C46F70" w:rsidRDefault="00CA6337">
      <w:pPr>
        <w:pStyle w:val="ListParagraph"/>
        <w:ind w:left="0"/>
        <w:jc w:val="both"/>
        <w:rPr>
          <w:rFonts w:ascii="Times New Roman" w:hAnsi="Times New Roman"/>
          <w:noProof/>
          <w:sz w:val="24"/>
          <w:szCs w:val="24"/>
        </w:rPr>
      </w:pPr>
      <w:r>
        <w:rPr>
          <w:rFonts w:ascii="Times New Roman" w:hAnsi="Times New Roman"/>
          <w:noProof/>
          <w:sz w:val="24"/>
        </w:rPr>
        <w:t xml:space="preserve">Šis ir </w:t>
      </w:r>
      <w:r>
        <w:rPr>
          <w:rFonts w:ascii="Times New Roman" w:hAnsi="Times New Roman"/>
          <w:b/>
          <w:noProof/>
          <w:sz w:val="24"/>
        </w:rPr>
        <w:t>pirmais Komisijas ziņojums par cilvēku tirdzni</w:t>
      </w:r>
      <w:r>
        <w:rPr>
          <w:rFonts w:ascii="Times New Roman" w:hAnsi="Times New Roman"/>
          <w:b/>
          <w:noProof/>
          <w:sz w:val="24"/>
        </w:rPr>
        <w:t>ecību pēc Cilvēku tirdzniecības novēršanas direktīvas pieņemšanas</w:t>
      </w:r>
      <w:r>
        <w:rPr>
          <w:rFonts w:ascii="Times New Roman" w:hAnsi="Times New Roman"/>
          <w:noProof/>
          <w:sz w:val="24"/>
        </w:rPr>
        <w:t>. Saskaņā ar šīs direktīvas 27. apsvērumu un 19. pantu ziņojums ir iedalīts 3 galvenajās sadaļās: cilvēku tirdzniecības tendences, pret tirdzniecību vērstu īpašu pasākumu rezultāti un dalībva</w:t>
      </w:r>
      <w:r>
        <w:rPr>
          <w:rFonts w:ascii="Times New Roman" w:hAnsi="Times New Roman"/>
          <w:noProof/>
          <w:sz w:val="24"/>
        </w:rPr>
        <w:t>lstu sniegtā statistika. Tam ir pievienots Komisijas dienestu darba dokuments</w:t>
      </w:r>
      <w:r>
        <w:rPr>
          <w:rStyle w:val="FootnoteReference"/>
          <w:rFonts w:ascii="Times New Roman" w:hAnsi="Times New Roman"/>
          <w:noProof/>
          <w:sz w:val="24"/>
        </w:rPr>
        <w:footnoteReference w:id="4"/>
      </w:r>
      <w:r>
        <w:rPr>
          <w:rFonts w:ascii="Times New Roman" w:hAnsi="Times New Roman"/>
          <w:noProof/>
          <w:sz w:val="24"/>
        </w:rPr>
        <w:t>, kas nodrošina sīku un visaptverošu faktu informāciju, kura papildina šajā ziņojumā ietverto informāciju. Turklāt ziņojumā tiek aplūkoti Komisijas un citu attiecīgo ieinteresēto</w:t>
      </w:r>
      <w:r>
        <w:rPr>
          <w:rFonts w:ascii="Times New Roman" w:hAnsi="Times New Roman"/>
          <w:noProof/>
          <w:sz w:val="24"/>
        </w:rPr>
        <w:t xml:space="preserve"> personu veiktie pasākumi saskaņā ar </w:t>
      </w:r>
      <w:r>
        <w:rPr>
          <w:rFonts w:ascii="Times New Roman" w:hAnsi="Times New Roman"/>
          <w:b/>
          <w:noProof/>
          <w:sz w:val="24"/>
        </w:rPr>
        <w:t>ES Stratēģiju cilvēku tirdzniecības izskaušanai 2012.–2016. gadā</w:t>
      </w:r>
      <w:r>
        <w:rPr>
          <w:rStyle w:val="FootnoteReference"/>
          <w:rFonts w:ascii="Times New Roman" w:hAnsi="Times New Roman"/>
          <w:noProof/>
          <w:sz w:val="24"/>
        </w:rPr>
        <w:footnoteReference w:id="5"/>
      </w:r>
      <w:r>
        <w:rPr>
          <w:rFonts w:ascii="Times New Roman" w:hAnsi="Times New Roman"/>
          <w:noProof/>
          <w:sz w:val="24"/>
        </w:rPr>
        <w:t xml:space="preserve"> (“ES Stratēģija”). Šā ziņojuma rezultāti akcentē Komisijas politikas ievirzes un palīdzēs izstrādāt </w:t>
      </w:r>
      <w:r>
        <w:rPr>
          <w:rFonts w:ascii="Times New Roman" w:hAnsi="Times New Roman"/>
          <w:b/>
          <w:noProof/>
          <w:sz w:val="24"/>
        </w:rPr>
        <w:t>Stratēģiju cilvēku tirdzniecības izskaušanai laikposm</w:t>
      </w:r>
      <w:r>
        <w:rPr>
          <w:rFonts w:ascii="Times New Roman" w:hAnsi="Times New Roman"/>
          <w:b/>
          <w:noProof/>
          <w:sz w:val="24"/>
        </w:rPr>
        <w:t>am pēc 2016. gada</w:t>
      </w:r>
      <w:r>
        <w:rPr>
          <w:rFonts w:ascii="Times New Roman" w:hAnsi="Times New Roman"/>
          <w:noProof/>
          <w:sz w:val="24"/>
        </w:rPr>
        <w:t>, kas tiks publicēta 2016. gadā.</w:t>
      </w:r>
    </w:p>
    <w:p w:rsidR="00C46F70" w:rsidRDefault="00CA6337">
      <w:pPr>
        <w:pStyle w:val="Body"/>
        <w:jc w:val="both"/>
        <w:rPr>
          <w:rFonts w:ascii="Times New Roman" w:hAnsi="Times New Roman"/>
          <w:noProof/>
          <w:sz w:val="24"/>
          <w:szCs w:val="24"/>
        </w:rPr>
      </w:pPr>
      <w:r>
        <w:rPr>
          <w:rFonts w:ascii="Times New Roman" w:hAnsi="Times New Roman"/>
          <w:noProof/>
          <w:sz w:val="24"/>
        </w:rPr>
        <w:lastRenderedPageBreak/>
        <w:t>Turklāt ziņojumā tiek aplūkotas galvenās ES politikas, kas pievēršas cilvēku tirdzniecības jautājumam, tostarp Eiropas programma migrācijas jomā</w:t>
      </w:r>
      <w:r>
        <w:rPr>
          <w:rStyle w:val="FootnoteReference"/>
          <w:rFonts w:ascii="Times New Roman" w:hAnsi="Times New Roman"/>
          <w:noProof/>
          <w:sz w:val="24"/>
        </w:rPr>
        <w:footnoteReference w:id="6"/>
      </w:r>
      <w:r>
        <w:rPr>
          <w:rFonts w:ascii="Times New Roman" w:hAnsi="Times New Roman"/>
          <w:noProof/>
          <w:sz w:val="24"/>
        </w:rPr>
        <w:t>, Eiropas Drošības programma</w:t>
      </w:r>
      <w:r>
        <w:rPr>
          <w:rStyle w:val="FootnoteReference"/>
          <w:rFonts w:ascii="Times New Roman" w:hAnsi="Times New Roman"/>
          <w:noProof/>
          <w:sz w:val="24"/>
        </w:rPr>
        <w:footnoteReference w:id="7"/>
      </w:r>
      <w:r>
        <w:rPr>
          <w:rFonts w:ascii="Times New Roman" w:hAnsi="Times New Roman"/>
          <w:noProof/>
          <w:sz w:val="24"/>
        </w:rPr>
        <w:t>, ES Rīcības plāns cīņai pret mi</w:t>
      </w:r>
      <w:r>
        <w:rPr>
          <w:rFonts w:ascii="Times New Roman" w:hAnsi="Times New Roman"/>
          <w:noProof/>
          <w:sz w:val="24"/>
        </w:rPr>
        <w:t>grantu kontrabandu (2015.–2020. gads)</w:t>
      </w:r>
      <w:r>
        <w:rPr>
          <w:rStyle w:val="FootnoteReference"/>
          <w:rFonts w:ascii="Times New Roman" w:hAnsi="Times New Roman"/>
          <w:noProof/>
          <w:sz w:val="24"/>
        </w:rPr>
        <w:footnoteReference w:id="8"/>
      </w:r>
      <w:r>
        <w:rPr>
          <w:rFonts w:ascii="Times New Roman" w:hAnsi="Times New Roman"/>
          <w:noProof/>
          <w:sz w:val="24"/>
        </w:rPr>
        <w:t>, Rīcības plāns cilvēktiesību un demokrātijas jomā (2015.–2019. gads)</w:t>
      </w:r>
      <w:r>
        <w:rPr>
          <w:rFonts w:ascii="Times New Roman" w:hAnsi="Times New Roman"/>
          <w:noProof/>
          <w:color w:val="auto"/>
          <w:sz w:val="24"/>
          <w:vertAlign w:val="superscript"/>
        </w:rPr>
        <w:footnoteReference w:id="9"/>
      </w:r>
      <w:r>
        <w:rPr>
          <w:rFonts w:ascii="Times New Roman" w:hAnsi="Times New Roman"/>
          <w:noProof/>
          <w:sz w:val="24"/>
        </w:rPr>
        <w:t>, jaunais satvars ES pasākumiem saistībā ar dzimumu līdztiesības un pilnvērtīgu iespēju nodrošināšanu sievietēm ES ārējās attiecībās (2016.–2020. ga</w:t>
      </w:r>
      <w:r>
        <w:rPr>
          <w:rFonts w:ascii="Times New Roman" w:hAnsi="Times New Roman"/>
          <w:noProof/>
          <w:sz w:val="24"/>
        </w:rPr>
        <w:t>ds)</w:t>
      </w:r>
      <w:r>
        <w:rPr>
          <w:rStyle w:val="FootnoteReference"/>
          <w:rFonts w:ascii="Times New Roman" w:hAnsi="Times New Roman"/>
          <w:noProof/>
          <w:sz w:val="24"/>
        </w:rPr>
        <w:footnoteReference w:id="10"/>
      </w:r>
      <w:r>
        <w:rPr>
          <w:rFonts w:ascii="Times New Roman" w:hAnsi="Times New Roman"/>
          <w:noProof/>
          <w:sz w:val="24"/>
        </w:rPr>
        <w:t xml:space="preserve"> un ES Stratēģiskā iesaiste dzimumu līdztiesības jomā (2016.–2019. gads)</w:t>
      </w:r>
      <w:r>
        <w:rPr>
          <w:rStyle w:val="FootnoteReference"/>
          <w:rFonts w:ascii="Times New Roman" w:hAnsi="Times New Roman"/>
          <w:noProof/>
          <w:sz w:val="24"/>
        </w:rPr>
        <w:footnoteReference w:id="11"/>
      </w:r>
      <w:r>
        <w:rPr>
          <w:rFonts w:ascii="Times New Roman" w:hAnsi="Times New Roman"/>
          <w:noProof/>
          <w:sz w:val="24"/>
        </w:rPr>
        <w:t>.</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Šajā ziņojumā galvenā uzmanība pievērsta jautājumiem, kuros Cilvēku tirdzniecības novēršanas direktīvas un ES Stratēģijas visaptverošā pieeja ir ļoti būtiska. Proti, tajā tiek aplūkots panāktais progress “3 P” īstenošanā — </w:t>
      </w:r>
      <w:r>
        <w:rPr>
          <w:rFonts w:ascii="Times New Roman" w:hAnsi="Times New Roman"/>
          <w:b/>
          <w:noProof/>
          <w:sz w:val="24"/>
        </w:rPr>
        <w:t xml:space="preserve">saukšana pie kriminālatbildības </w:t>
      </w:r>
      <w:r>
        <w:rPr>
          <w:rFonts w:ascii="Times New Roman" w:hAnsi="Times New Roman"/>
          <w:noProof/>
          <w:sz w:val="24"/>
        </w:rPr>
        <w:t>(</w:t>
      </w:r>
      <w:r>
        <w:rPr>
          <w:rFonts w:ascii="Times New Roman" w:hAnsi="Times New Roman"/>
          <w:i/>
          <w:noProof/>
          <w:sz w:val="24"/>
        </w:rPr>
        <w:t>prosecution</w:t>
      </w:r>
      <w:r>
        <w:rPr>
          <w:rFonts w:ascii="Times New Roman" w:hAnsi="Times New Roman"/>
          <w:noProof/>
          <w:sz w:val="24"/>
        </w:rPr>
        <w:t xml:space="preserve">) (pievēršoties finanšu izmeklēšanām), </w:t>
      </w:r>
      <w:r>
        <w:rPr>
          <w:rFonts w:ascii="Times New Roman" w:hAnsi="Times New Roman"/>
          <w:b/>
          <w:noProof/>
          <w:sz w:val="24"/>
        </w:rPr>
        <w:t xml:space="preserve">aizsardzība </w:t>
      </w:r>
      <w:r>
        <w:rPr>
          <w:rFonts w:ascii="Times New Roman" w:hAnsi="Times New Roman"/>
          <w:noProof/>
          <w:sz w:val="24"/>
        </w:rPr>
        <w:t>(</w:t>
      </w:r>
      <w:r>
        <w:rPr>
          <w:rFonts w:ascii="Times New Roman" w:hAnsi="Times New Roman"/>
          <w:i/>
          <w:noProof/>
          <w:sz w:val="24"/>
        </w:rPr>
        <w:t>protection</w:t>
      </w:r>
      <w:r>
        <w:rPr>
          <w:rFonts w:ascii="Times New Roman" w:hAnsi="Times New Roman"/>
          <w:noProof/>
          <w:sz w:val="24"/>
        </w:rPr>
        <w:t xml:space="preserve">) (pievēršoties valstu mehānismu izveidošanai cietušo nosūtīšanai uz atbalsta dienestiem) un </w:t>
      </w:r>
      <w:r>
        <w:rPr>
          <w:rFonts w:ascii="Times New Roman" w:hAnsi="Times New Roman"/>
          <w:b/>
          <w:noProof/>
          <w:sz w:val="24"/>
        </w:rPr>
        <w:t xml:space="preserve">novēršana </w:t>
      </w:r>
      <w:r>
        <w:rPr>
          <w:rFonts w:ascii="Times New Roman" w:hAnsi="Times New Roman"/>
          <w:noProof/>
          <w:sz w:val="24"/>
        </w:rPr>
        <w:t>(</w:t>
      </w:r>
      <w:r>
        <w:rPr>
          <w:rFonts w:ascii="Times New Roman" w:hAnsi="Times New Roman"/>
          <w:i/>
          <w:noProof/>
          <w:sz w:val="24"/>
        </w:rPr>
        <w:t>prevention</w:t>
      </w:r>
      <w:r>
        <w:rPr>
          <w:rFonts w:ascii="Times New Roman" w:hAnsi="Times New Roman"/>
          <w:noProof/>
          <w:sz w:val="24"/>
        </w:rPr>
        <w:t>) (pievēršoties dalībvalstu veiktajiem pasākumiem nozieguma novēršana</w:t>
      </w:r>
      <w:r>
        <w:rPr>
          <w:rFonts w:ascii="Times New Roman" w:hAnsi="Times New Roman"/>
          <w:noProof/>
          <w:sz w:val="24"/>
        </w:rPr>
        <w:t>i, kā paredzēts Cilvēku tirdzniecības novēršanas direktīvas 18. pantā).</w:t>
      </w:r>
    </w:p>
    <w:p w:rsidR="00C46F70" w:rsidRDefault="00CA6337">
      <w:pPr>
        <w:pStyle w:val="ListParagraph"/>
        <w:ind w:left="0"/>
        <w:jc w:val="both"/>
        <w:rPr>
          <w:rFonts w:ascii="Times New Roman" w:eastAsia="Times New Roman" w:hAnsi="Times New Roman" w:cs="Times New Roman"/>
          <w:b/>
          <w:bCs/>
          <w:noProof/>
          <w:sz w:val="24"/>
          <w:szCs w:val="24"/>
        </w:rPr>
      </w:pPr>
      <w:r>
        <w:rPr>
          <w:rFonts w:ascii="Times New Roman" w:hAnsi="Times New Roman"/>
          <w:noProof/>
          <w:sz w:val="24"/>
        </w:rPr>
        <w:t xml:space="preserve">Ziņojuma pamatā ir informācija no trim galvenajiem avotiem: </w:t>
      </w:r>
      <w:r>
        <w:rPr>
          <w:rFonts w:ascii="Times New Roman" w:hAnsi="Times New Roman"/>
          <w:b/>
          <w:noProof/>
          <w:sz w:val="24"/>
        </w:rPr>
        <w:t>valstu ziņotāju vai līdzvērtīgu mehānismu</w:t>
      </w:r>
      <w:r>
        <w:rPr>
          <w:rFonts w:ascii="Times New Roman" w:hAnsi="Times New Roman"/>
          <w:noProof/>
          <w:sz w:val="24"/>
        </w:rPr>
        <w:t xml:space="preserve"> (</w:t>
      </w:r>
      <w:r>
        <w:rPr>
          <w:rFonts w:ascii="Times New Roman" w:hAnsi="Times New Roman"/>
          <w:b/>
          <w:i/>
          <w:noProof/>
          <w:sz w:val="24"/>
        </w:rPr>
        <w:t>NREM</w:t>
      </w:r>
      <w:r>
        <w:rPr>
          <w:rFonts w:ascii="Times New Roman" w:hAnsi="Times New Roman"/>
          <w:noProof/>
          <w:sz w:val="24"/>
        </w:rPr>
        <w:t>) apkopotā informācija, ko dalībvalstis iesniedz ES koordinatoram cilvēku tirdzniecības apkarošanas jomā saskaņā ar Cilvēku tirdzniecības novēršanas direktīvas 19. un 20. pantu; komentāri, ko iesniegušas pilsoniskās sabiedrības organizācijas, kuras darboja</w:t>
      </w:r>
      <w:r>
        <w:rPr>
          <w:rFonts w:ascii="Times New Roman" w:hAnsi="Times New Roman"/>
          <w:noProof/>
          <w:sz w:val="24"/>
        </w:rPr>
        <w:t xml:space="preserve">s </w:t>
      </w:r>
      <w:r>
        <w:rPr>
          <w:rFonts w:ascii="Times New Roman" w:hAnsi="Times New Roman"/>
          <w:b/>
          <w:noProof/>
          <w:sz w:val="24"/>
        </w:rPr>
        <w:t>ES pilsoniskās sabiedrības platformā pret cilvēku tirdzniecību</w:t>
      </w:r>
      <w:r>
        <w:rPr>
          <w:rStyle w:val="FootnoteReference"/>
          <w:rFonts w:ascii="Times New Roman" w:hAnsi="Times New Roman"/>
          <w:noProof/>
          <w:sz w:val="24"/>
        </w:rPr>
        <w:footnoteReference w:id="12"/>
      </w:r>
      <w:r>
        <w:rPr>
          <w:rFonts w:ascii="Times New Roman" w:hAnsi="Times New Roman"/>
          <w:noProof/>
          <w:sz w:val="24"/>
        </w:rPr>
        <w:t xml:space="preserve"> un </w:t>
      </w:r>
      <w:r>
        <w:rPr>
          <w:rFonts w:ascii="Times New Roman" w:hAnsi="Times New Roman"/>
          <w:b/>
          <w:noProof/>
          <w:sz w:val="24"/>
        </w:rPr>
        <w:t>ES pilsoniskās sabiedrības e-platformā</w:t>
      </w:r>
      <w:r>
        <w:rPr>
          <w:rFonts w:ascii="Times New Roman" w:hAnsi="Times New Roman"/>
          <w:noProof/>
          <w:sz w:val="24"/>
        </w:rPr>
        <w:t xml:space="preserve">, un informācija no attiecīgajām </w:t>
      </w:r>
      <w:r>
        <w:rPr>
          <w:rFonts w:ascii="Times New Roman" w:hAnsi="Times New Roman"/>
          <w:b/>
          <w:noProof/>
          <w:sz w:val="24"/>
        </w:rPr>
        <w:t>ES aģentūrām, starptautiskajām un reģionālajām organizācijām</w:t>
      </w:r>
      <w:r>
        <w:rPr>
          <w:rFonts w:ascii="Times New Roman" w:hAnsi="Times New Roman"/>
          <w:noProof/>
          <w:sz w:val="24"/>
        </w:rPr>
        <w:t>.</w:t>
      </w:r>
    </w:p>
    <w:p w:rsidR="00C46F70" w:rsidRDefault="00CA6337">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Dalībvalstu iesniegtā informācija galvenokārt aptver </w:t>
      </w:r>
      <w:r>
        <w:rPr>
          <w:rFonts w:ascii="Times New Roman" w:hAnsi="Times New Roman"/>
          <w:b/>
          <w:noProof/>
          <w:sz w:val="24"/>
        </w:rPr>
        <w:t>2</w:t>
      </w:r>
      <w:r>
        <w:rPr>
          <w:rFonts w:ascii="Times New Roman" w:hAnsi="Times New Roman"/>
          <w:b/>
          <w:noProof/>
          <w:sz w:val="24"/>
        </w:rPr>
        <w:t>011.–2013. gada periodu</w:t>
      </w:r>
      <w:r>
        <w:rPr>
          <w:rFonts w:ascii="Times New Roman" w:hAnsi="Times New Roman"/>
          <w:noProof/>
          <w:sz w:val="24"/>
        </w:rPr>
        <w:t xml:space="preserve">. Tomēr ziņojumā ir ietverta arī aktuālāka informācija, tostarp </w:t>
      </w:r>
      <w:r>
        <w:rPr>
          <w:rFonts w:ascii="Times New Roman" w:hAnsi="Times New Roman"/>
          <w:b/>
          <w:noProof/>
          <w:sz w:val="24"/>
        </w:rPr>
        <w:t>2013.–2014. gada statistikas dati</w:t>
      </w:r>
      <w:r>
        <w:rPr>
          <w:rStyle w:val="FootnoteReference"/>
          <w:rFonts w:ascii="Times New Roman" w:hAnsi="Times New Roman"/>
          <w:noProof/>
          <w:sz w:val="24"/>
        </w:rPr>
        <w:footnoteReference w:id="13"/>
      </w:r>
      <w:r>
        <w:rPr>
          <w:rFonts w:ascii="Times New Roman" w:hAnsi="Times New Roman"/>
          <w:noProof/>
          <w:sz w:val="24"/>
        </w:rPr>
        <w:t>.</w:t>
      </w:r>
    </w:p>
    <w:p w:rsidR="00C46F70" w:rsidRDefault="00CA6337">
      <w:pPr>
        <w:pStyle w:val="Heading"/>
        <w:numPr>
          <w:ilvl w:val="0"/>
          <w:numId w:val="5"/>
        </w:numPr>
        <w:rPr>
          <w:rFonts w:ascii="Times New Roman" w:eastAsia="Times New Roman" w:hAnsi="Times New Roman" w:cs="Times New Roman"/>
          <w:noProof/>
          <w:color w:val="000000"/>
          <w:u w:color="000000"/>
        </w:rPr>
      </w:pPr>
      <w:r>
        <w:rPr>
          <w:rFonts w:ascii="Times New Roman" w:hAnsi="Times New Roman"/>
          <w:noProof/>
          <w:color w:val="000000"/>
          <w:u w:color="000000"/>
        </w:rPr>
        <w:t>TENDENCES UN PROBLĒMAS ATTIECĪBĀ UZ CILVĒKU TIRDZNIECĪBAS NOVĒRŠANU ES</w:t>
      </w:r>
    </w:p>
    <w:p w:rsidR="00C46F70" w:rsidRDefault="00CA6337">
      <w:pPr>
        <w:pStyle w:val="Body"/>
        <w:spacing w:before="240"/>
        <w:jc w:val="both"/>
        <w:rPr>
          <w:rFonts w:ascii="Times New Roman" w:eastAsia="Times New Roman" w:hAnsi="Times New Roman" w:cs="Times New Roman"/>
          <w:b/>
          <w:bCs/>
          <w:noProof/>
          <w:sz w:val="24"/>
          <w:szCs w:val="24"/>
          <w:u w:val="single"/>
        </w:rPr>
      </w:pPr>
      <w:r>
        <w:rPr>
          <w:rFonts w:ascii="Times New Roman" w:hAnsi="Times New Roman"/>
          <w:noProof/>
          <w:sz w:val="24"/>
        </w:rPr>
        <w:t>Novērtēt sarežģītā cilvēku tirdzniecības nozieguma precīzu apm</w:t>
      </w:r>
      <w:r>
        <w:rPr>
          <w:rFonts w:ascii="Times New Roman" w:hAnsi="Times New Roman"/>
          <w:noProof/>
          <w:sz w:val="24"/>
        </w:rPr>
        <w:t xml:space="preserve">ēru ES līmenī ir problemātiski, jo tas ir saistīts ar citām noziedzīgām darbībām un pastāv atšķirības valstu </w:t>
      </w:r>
      <w:r>
        <w:rPr>
          <w:rFonts w:ascii="Times New Roman" w:hAnsi="Times New Roman"/>
          <w:noProof/>
          <w:sz w:val="24"/>
        </w:rPr>
        <w:lastRenderedPageBreak/>
        <w:t xml:space="preserve">tiesību aktos. Pēdējos gados Komisija ar </w:t>
      </w:r>
      <w:r>
        <w:rPr>
          <w:rFonts w:ascii="Times New Roman" w:hAnsi="Times New Roman"/>
          <w:i/>
          <w:noProof/>
          <w:sz w:val="24"/>
        </w:rPr>
        <w:t>Eurostat</w:t>
      </w:r>
      <w:r>
        <w:rPr>
          <w:rFonts w:ascii="Times New Roman" w:hAnsi="Times New Roman"/>
          <w:noProof/>
          <w:sz w:val="24"/>
        </w:rPr>
        <w:t xml:space="preserve"> palīdzību ir vākusi attiecīgās statistikas datus. Jaunākais </w:t>
      </w:r>
      <w:r>
        <w:rPr>
          <w:rFonts w:ascii="Times New Roman" w:hAnsi="Times New Roman"/>
          <w:i/>
          <w:noProof/>
          <w:sz w:val="24"/>
        </w:rPr>
        <w:t>Eurostat</w:t>
      </w:r>
      <w:r>
        <w:rPr>
          <w:rFonts w:ascii="Times New Roman" w:hAnsi="Times New Roman"/>
          <w:noProof/>
          <w:sz w:val="24"/>
        </w:rPr>
        <w:t xml:space="preserve"> ziņojums par cilvēku tirdzni</w:t>
      </w:r>
      <w:r>
        <w:rPr>
          <w:rFonts w:ascii="Times New Roman" w:hAnsi="Times New Roman"/>
          <w:noProof/>
          <w:sz w:val="24"/>
        </w:rPr>
        <w:t>ecību</w:t>
      </w:r>
      <w:r>
        <w:rPr>
          <w:rFonts w:ascii="Times New Roman" w:hAnsi="Times New Roman"/>
          <w:noProof/>
          <w:color w:val="auto"/>
          <w:sz w:val="24"/>
          <w:vertAlign w:val="superscript"/>
        </w:rPr>
        <w:footnoteReference w:id="14"/>
      </w:r>
      <w:r>
        <w:rPr>
          <w:rFonts w:ascii="Times New Roman" w:hAnsi="Times New Roman"/>
          <w:noProof/>
          <w:sz w:val="24"/>
        </w:rPr>
        <w:t xml:space="preserve"> tika publicēts 2015. gadā un aptver 2010.–2012. gada periodu.</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Statistikas datos, kurus dalībvalstis iesniedza šim ziņojumam par </w:t>
      </w:r>
      <w:r>
        <w:rPr>
          <w:rFonts w:ascii="Times New Roman" w:hAnsi="Times New Roman"/>
          <w:b/>
          <w:noProof/>
          <w:sz w:val="24"/>
        </w:rPr>
        <w:t>2013.–2014. gada periodu</w:t>
      </w:r>
      <w:r>
        <w:rPr>
          <w:rStyle w:val="FootnoteReference"/>
          <w:rFonts w:ascii="Times New Roman" w:hAnsi="Times New Roman"/>
          <w:noProof/>
          <w:sz w:val="24"/>
        </w:rPr>
        <w:footnoteReference w:id="15"/>
      </w:r>
      <w:r>
        <w:rPr>
          <w:rFonts w:ascii="Times New Roman" w:hAnsi="Times New Roman"/>
          <w:noProof/>
          <w:sz w:val="24"/>
        </w:rPr>
        <w:t>, norādītās tendences saskan ar iepriekšējā perioda tendencēm. Ir svarīgi uzsvērt, ka minētie da</w:t>
      </w:r>
      <w:r>
        <w:rPr>
          <w:rFonts w:ascii="Times New Roman" w:hAnsi="Times New Roman"/>
          <w:noProof/>
          <w:sz w:val="24"/>
        </w:rPr>
        <w:t>ti attiecas uz “reģistrētiem cietušajiem” (gan identificētajiem, gan potenciālajiem)</w:t>
      </w:r>
      <w:r>
        <w:rPr>
          <w:rStyle w:val="FootnoteReference"/>
          <w:rFonts w:ascii="Times New Roman" w:hAnsi="Times New Roman"/>
          <w:noProof/>
          <w:sz w:val="24"/>
        </w:rPr>
        <w:footnoteReference w:id="16"/>
      </w:r>
      <w:r>
        <w:rPr>
          <w:rFonts w:ascii="Times New Roman" w:hAnsi="Times New Roman"/>
          <w:noProof/>
          <w:sz w:val="24"/>
        </w:rPr>
        <w:t>. Tomēr, ņemot vērā cilvēku tirdzniecības komplekso raksturu, ir pamatoti sagaidīt, ka faktiskais cilvēku tirdzniecība cietušo skaits ES patiesībā ir krietni lielāks.</w:t>
      </w:r>
    </w:p>
    <w:p w:rsidR="00C46F70" w:rsidRDefault="00CA6337">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noProof/>
          <w:sz w:val="24"/>
        </w:rPr>
        <w:t>Eiro</w:t>
      </w:r>
      <w:r>
        <w:rPr>
          <w:rFonts w:ascii="Times New Roman" w:hAnsi="Times New Roman"/>
          <w:noProof/>
          <w:sz w:val="24"/>
        </w:rPr>
        <w:t xml:space="preserve">pas Savienībā kopumā bija </w:t>
      </w:r>
      <w:r>
        <w:rPr>
          <w:rFonts w:ascii="Times New Roman" w:hAnsi="Times New Roman"/>
          <w:b/>
          <w:noProof/>
          <w:sz w:val="24"/>
        </w:rPr>
        <w:t>15 846 </w:t>
      </w:r>
      <w:r>
        <w:rPr>
          <w:rFonts w:ascii="Times New Roman" w:hAnsi="Times New Roman"/>
          <w:noProof/>
          <w:sz w:val="24"/>
        </w:rPr>
        <w:t xml:space="preserve">cilvēku tirdzniecībā </w:t>
      </w:r>
      <w:r>
        <w:rPr>
          <w:rFonts w:ascii="Times New Roman" w:hAnsi="Times New Roman"/>
          <w:b/>
          <w:noProof/>
          <w:sz w:val="24"/>
        </w:rPr>
        <w:t>“reģistrētu cietušo”</w:t>
      </w:r>
      <w:r>
        <w:rPr>
          <w:rFonts w:ascii="Times New Roman" w:hAnsi="Times New Roman"/>
          <w:noProof/>
          <w:sz w:val="24"/>
        </w:rPr>
        <w:t xml:space="preserve"> (gan identificētu, gan potenciālu).</w:t>
      </w:r>
    </w:p>
    <w:p w:rsidR="00C46F70" w:rsidRDefault="00CA6337">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noProof/>
          <w:sz w:val="24"/>
        </w:rPr>
        <w:t xml:space="preserve">Cilvēku tirdzniecība </w:t>
      </w:r>
      <w:r>
        <w:rPr>
          <w:rFonts w:ascii="Times New Roman" w:hAnsi="Times New Roman"/>
          <w:b/>
          <w:noProof/>
          <w:sz w:val="24"/>
        </w:rPr>
        <w:t>seksuālās izmantošanas</w:t>
      </w:r>
      <w:r>
        <w:rPr>
          <w:rFonts w:ascii="Times New Roman" w:hAnsi="Times New Roman"/>
          <w:noProof/>
          <w:sz w:val="24"/>
        </w:rPr>
        <w:t xml:space="preserve"> mērķiem joprojām ir visplašāk izplatīta (67 % no reģistrētajiem cietušajiem), nākamā ir darbaspēka ekspluatācija (21 % no reģistrētajiem cietušajiem). Atlikušie 12 % tika reģistrēti kā cilvēku tirdzniecībā cietušie saistībā ar citiem ekspluatācijas veidie</w:t>
      </w:r>
      <w:r>
        <w:rPr>
          <w:rFonts w:ascii="Times New Roman" w:hAnsi="Times New Roman"/>
          <w:noProof/>
          <w:sz w:val="24"/>
        </w:rPr>
        <w:t>m.</w:t>
      </w:r>
    </w:p>
    <w:p w:rsidR="00C46F70" w:rsidRDefault="00CA6337">
      <w:pPr>
        <w:pStyle w:val="ListParagraph"/>
        <w:numPr>
          <w:ilvl w:val="0"/>
          <w:numId w:val="16"/>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Vairāk nekā trīs ceturtdaļas reģistrētu cietušo bija sievietes (76%).</w:t>
      </w:r>
    </w:p>
    <w:p w:rsidR="00C46F70" w:rsidRDefault="00CA6337">
      <w:pPr>
        <w:pStyle w:val="ListParagraph"/>
        <w:numPr>
          <w:ilvl w:val="0"/>
          <w:numId w:val="16"/>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Vismaz 15% reģistrētu cietušo bija bērni</w:t>
      </w:r>
      <w:r>
        <w:rPr>
          <w:rStyle w:val="FootnoteReference"/>
          <w:rFonts w:ascii="Times New Roman" w:eastAsia="Times New Roman" w:hAnsi="Times New Roman" w:cs="Times New Roman"/>
          <w:noProof/>
          <w:sz w:val="24"/>
          <w:szCs w:val="24"/>
        </w:rPr>
        <w:footnoteReference w:id="17"/>
      </w:r>
      <w:r>
        <w:rPr>
          <w:rFonts w:ascii="Times New Roman" w:eastAsia="Times New Roman" w:hAnsi="Times New Roman" w:cs="Times New Roman"/>
          <w:noProof/>
          <w:sz w:val="24"/>
          <w:szCs w:val="24"/>
        </w:rPr>
        <w:t>.</w:t>
      </w:r>
    </w:p>
    <w:p w:rsidR="00C46F70" w:rsidRDefault="00CA6337">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b/>
          <w:noProof/>
          <w:sz w:val="24"/>
        </w:rPr>
        <w:t>65 %</w:t>
      </w:r>
      <w:r>
        <w:rPr>
          <w:rFonts w:ascii="Times New Roman" w:hAnsi="Times New Roman"/>
          <w:noProof/>
          <w:sz w:val="24"/>
        </w:rPr>
        <w:t xml:space="preserve"> no reģistrētajiem cietušajiem bija </w:t>
      </w:r>
      <w:r>
        <w:rPr>
          <w:rFonts w:ascii="Times New Roman" w:hAnsi="Times New Roman"/>
          <w:b/>
          <w:noProof/>
          <w:sz w:val="24"/>
        </w:rPr>
        <w:t>ES iedzīvotāji.</w:t>
      </w:r>
    </w:p>
    <w:p w:rsidR="00C46F70" w:rsidRDefault="00CA6337">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b/>
          <w:noProof/>
          <w:sz w:val="24"/>
        </w:rPr>
        <w:t>Piecas visbiežāk sastopamās ES valstspiederības</w:t>
      </w:r>
      <w:r>
        <w:rPr>
          <w:rFonts w:ascii="Times New Roman" w:hAnsi="Times New Roman"/>
          <w:noProof/>
          <w:sz w:val="24"/>
        </w:rPr>
        <w:t xml:space="preserve"> 2013.–2014. gadā reģistrētiem cietuš</w:t>
      </w:r>
      <w:r>
        <w:rPr>
          <w:rFonts w:ascii="Times New Roman" w:hAnsi="Times New Roman"/>
          <w:noProof/>
          <w:sz w:val="24"/>
        </w:rPr>
        <w:t>ajiem bija Rumānija, Bulgārija, Nīderlande, Ungārija un Polija. Šīs ir tās pašas valstis, kas tika konstatētas 2010.–2012. gadā.</w:t>
      </w:r>
    </w:p>
    <w:p w:rsidR="00C46F70" w:rsidRDefault="00CA6337">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b/>
          <w:noProof/>
          <w:sz w:val="24"/>
        </w:rPr>
        <w:t xml:space="preserve">Piecas visbiežāk sastopamās trešo valstu valstspiederības </w:t>
      </w:r>
      <w:r>
        <w:rPr>
          <w:rFonts w:ascii="Times New Roman" w:hAnsi="Times New Roman"/>
          <w:noProof/>
          <w:sz w:val="24"/>
        </w:rPr>
        <w:t>bija Nigērija, Ķīna, Albānija, Vjetnama un Maroka.</w:t>
      </w:r>
    </w:p>
    <w:p w:rsidR="00C46F70" w:rsidRDefault="00CA6337">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b/>
          <w:noProof/>
          <w:sz w:val="24"/>
        </w:rPr>
        <w:t>6 324</w:t>
      </w:r>
      <w:r>
        <w:rPr>
          <w:rFonts w:ascii="Times New Roman" w:hAnsi="Times New Roman"/>
          <w:noProof/>
          <w:sz w:val="24"/>
        </w:rPr>
        <w:t> cilvēkiem ir</w:t>
      </w:r>
      <w:r>
        <w:rPr>
          <w:rFonts w:ascii="Times New Roman" w:hAnsi="Times New Roman"/>
          <w:noProof/>
          <w:sz w:val="24"/>
        </w:rPr>
        <w:t xml:space="preserve"> bijis oficiāls kontakts ar policiju vai kriminālās tiesvedības sistēmu</w:t>
      </w:r>
      <w:r>
        <w:rPr>
          <w:rStyle w:val="FootnoteReference"/>
          <w:rFonts w:ascii="Times New Roman" w:hAnsi="Times New Roman"/>
          <w:noProof/>
          <w:sz w:val="24"/>
        </w:rPr>
        <w:footnoteReference w:id="18"/>
      </w:r>
      <w:r>
        <w:rPr>
          <w:rFonts w:ascii="Times New Roman" w:hAnsi="Times New Roman"/>
          <w:noProof/>
          <w:sz w:val="24"/>
        </w:rPr>
        <w:t xml:space="preserve"> saistībā ar cilvēku tirdzniecības noziegumu</w:t>
      </w:r>
      <w:r>
        <w:rPr>
          <w:rStyle w:val="FootnoteReference"/>
          <w:rFonts w:ascii="Times New Roman" w:hAnsi="Times New Roman"/>
          <w:noProof/>
          <w:sz w:val="24"/>
        </w:rPr>
        <w:footnoteReference w:id="19"/>
      </w:r>
      <w:r>
        <w:rPr>
          <w:rFonts w:ascii="Times New Roman" w:hAnsi="Times New Roman"/>
          <w:noProof/>
          <w:sz w:val="24"/>
        </w:rPr>
        <w:t>.</w:t>
      </w:r>
    </w:p>
    <w:p w:rsidR="00C46F70" w:rsidRDefault="00CA6337">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noProof/>
          <w:sz w:val="24"/>
        </w:rPr>
        <w:t xml:space="preserve">Kopumā tika ziņots par </w:t>
      </w:r>
      <w:r>
        <w:rPr>
          <w:rFonts w:ascii="Times New Roman" w:hAnsi="Times New Roman"/>
          <w:b/>
          <w:noProof/>
          <w:sz w:val="24"/>
        </w:rPr>
        <w:t>4079</w:t>
      </w:r>
      <w:r>
        <w:rPr>
          <w:rFonts w:ascii="Times New Roman" w:hAnsi="Times New Roman"/>
          <w:noProof/>
          <w:sz w:val="24"/>
        </w:rPr>
        <w:t xml:space="preserve"> kriminālprocesa uzsākšanas un </w:t>
      </w:r>
      <w:r>
        <w:rPr>
          <w:rFonts w:ascii="Times New Roman" w:hAnsi="Times New Roman"/>
          <w:b/>
          <w:noProof/>
          <w:sz w:val="24"/>
        </w:rPr>
        <w:t>3129</w:t>
      </w:r>
      <w:r>
        <w:rPr>
          <w:rFonts w:ascii="Times New Roman" w:hAnsi="Times New Roman"/>
          <w:noProof/>
          <w:sz w:val="24"/>
        </w:rPr>
        <w:t xml:space="preserve"> notiesāšanas gadījumiem saistībā ar cilvēku tirdzniecību ES.</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Sīkāka statis</w:t>
      </w:r>
      <w:r>
        <w:rPr>
          <w:rFonts w:ascii="Times New Roman" w:hAnsi="Times New Roman"/>
          <w:noProof/>
          <w:sz w:val="24"/>
        </w:rPr>
        <w:t>tikas datu analīze ir pieejama šim ziņojumam pievienotajā dienestu darba dokumentā.</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Salīdzinot pa gadiem, reģistrēto cietušo kopējais skaits par 2013.–2014. gadu sniegtajos datos ir zemāks kā </w:t>
      </w:r>
      <w:r>
        <w:rPr>
          <w:rFonts w:ascii="Times New Roman" w:hAnsi="Times New Roman"/>
          <w:i/>
          <w:noProof/>
          <w:sz w:val="24"/>
        </w:rPr>
        <w:t>Eurostat</w:t>
      </w:r>
      <w:r>
        <w:rPr>
          <w:rFonts w:ascii="Times New Roman" w:hAnsi="Times New Roman"/>
          <w:noProof/>
          <w:sz w:val="24"/>
        </w:rPr>
        <w:t xml:space="preserve"> darba dokumentā 2010.–2012. gadam norādītais (8034 — 20</w:t>
      </w:r>
      <w:r>
        <w:rPr>
          <w:rFonts w:ascii="Times New Roman" w:hAnsi="Times New Roman"/>
          <w:noProof/>
          <w:sz w:val="24"/>
        </w:rPr>
        <w:t>13. gadā un 7812 — 2014. gadā salīdzinājumā ar 9710 — 2010. gadā, 9438 — 2011. gadā un 10 998 — 2012. gadā). Lai gan abiem laikposmiem izmantotās datu vākšanas metodes bija līdzīgas, pētījumu datus šobrīd nav ieteicams salīdzināt ne pēc abiem laikposmiem k</w:t>
      </w:r>
      <w:r>
        <w:rPr>
          <w:rFonts w:ascii="Times New Roman" w:hAnsi="Times New Roman"/>
          <w:noProof/>
          <w:sz w:val="24"/>
        </w:rPr>
        <w:t>opumā, ne pēc konkrētiem gadiem, jo iespējamas atšķirības izmantotajās datu reģistrēšanas metodēs un juridiskajās definīcijās. Tādēļ nesakritība gada kopējos skaitļos, jo īpaši iemesli, kāpēc tika reģistrēts mazāks skaits cilvēku tirdzniecībā cietušo, ir t</w:t>
      </w:r>
      <w:r>
        <w:rPr>
          <w:rFonts w:ascii="Times New Roman" w:hAnsi="Times New Roman"/>
          <w:noProof/>
          <w:sz w:val="24"/>
        </w:rPr>
        <w:t>ie jautājumi, kas jāizpēta un jāanalizē turpmāk. Turklāt konsekvence attiecībā uz cietušo izcelsmes valstīm, galamērķa valstīm, ekspluatācijas veidiem, kā arī cietušo vecuma un dzimuma profilu 5 gadu periodā (2010.–2014.) parāda, ka neatkarīgi no veltītajā</w:t>
      </w:r>
      <w:r>
        <w:rPr>
          <w:rFonts w:ascii="Times New Roman" w:hAnsi="Times New Roman"/>
          <w:noProof/>
          <w:sz w:val="24"/>
        </w:rPr>
        <w:t>m pūlēm situācija nav mainījusies</w:t>
      </w:r>
      <w:r>
        <w:rPr>
          <w:rStyle w:val="FootnoteReference"/>
          <w:rFonts w:ascii="Times New Roman" w:hAnsi="Times New Roman"/>
          <w:noProof/>
          <w:sz w:val="24"/>
        </w:rPr>
        <w:footnoteReference w:id="20"/>
      </w:r>
      <w:r>
        <w:rPr>
          <w:rFonts w:ascii="Times New Roman" w:hAnsi="Times New Roman"/>
          <w:noProof/>
          <w:sz w:val="24"/>
        </w:rPr>
        <w:t>.</w:t>
      </w:r>
    </w:p>
    <w:p w:rsidR="00C46F70" w:rsidRDefault="00CA6337">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eastAsia="Times New Roman" w:hAnsi="Times New Roman" w:cs="Times New Roman"/>
          <w:noProof/>
          <w:sz w:val="24"/>
          <w:szCs w:val="24"/>
        </w:rPr>
      </w:pPr>
      <w:r>
        <w:rPr>
          <w:rFonts w:ascii="Times New Roman" w:hAnsi="Times New Roman"/>
          <w:noProof/>
          <w:sz w:val="24"/>
        </w:rPr>
        <w:t xml:space="preserve">Pamatojoties uz šiem pierādījumiem, ir svarīgi, lai </w:t>
      </w:r>
      <w:r>
        <w:rPr>
          <w:rFonts w:ascii="Times New Roman" w:hAnsi="Times New Roman"/>
          <w:b/>
          <w:noProof/>
          <w:sz w:val="24"/>
        </w:rPr>
        <w:t>dalībvalstis turpinātu centienus uzlabot cilvēku tirdzniecības datu (sadalītu pēc vecuma un dzimuma) vākšanu ar mērķi uzraudzīt šo parādību</w:t>
      </w:r>
      <w:r>
        <w:rPr>
          <w:rFonts w:ascii="Times New Roman" w:hAnsi="Times New Roman"/>
          <w:noProof/>
          <w:sz w:val="24"/>
        </w:rPr>
        <w:t>. Datu vākšana ir tikpat nozī</w:t>
      </w:r>
      <w:r>
        <w:rPr>
          <w:rFonts w:ascii="Times New Roman" w:hAnsi="Times New Roman"/>
          <w:noProof/>
          <w:sz w:val="24"/>
        </w:rPr>
        <w:t xml:space="preserve">mīga arī cilvēku tirdzniecības novēršanas centienu ietekmes noteikšanai. Statistikas tendenču konsekvence abos periodos norāda uz to, ka </w:t>
      </w:r>
      <w:r>
        <w:rPr>
          <w:rFonts w:ascii="Times New Roman" w:hAnsi="Times New Roman"/>
          <w:b/>
          <w:noProof/>
          <w:sz w:val="24"/>
        </w:rPr>
        <w:t>dalībvalstīm būtu jāpalielina centieni izmeklēt noziegumu</w:t>
      </w:r>
      <w:r>
        <w:rPr>
          <w:rFonts w:ascii="Times New Roman" w:hAnsi="Times New Roman"/>
          <w:noProof/>
          <w:sz w:val="24"/>
        </w:rPr>
        <w:t xml:space="preserve">, </w:t>
      </w:r>
      <w:r>
        <w:rPr>
          <w:rFonts w:ascii="Times New Roman" w:hAnsi="Times New Roman"/>
          <w:b/>
          <w:noProof/>
          <w:sz w:val="24"/>
        </w:rPr>
        <w:t>sākt to personu kriminālvajāšanu, kas izdarījušas noziegumu,</w:t>
      </w:r>
      <w:r>
        <w:rPr>
          <w:rFonts w:ascii="Times New Roman" w:hAnsi="Times New Roman"/>
          <w:b/>
          <w:noProof/>
          <w:sz w:val="24"/>
        </w:rPr>
        <w:t xml:space="preserve"> un identificēt potenciālos cietušos</w:t>
      </w:r>
      <w:r>
        <w:rPr>
          <w:rFonts w:ascii="Times New Roman" w:hAnsi="Times New Roman"/>
          <w:noProof/>
          <w:sz w:val="24"/>
        </w:rPr>
        <w:t>. Komisija ir apņēmusies atbalstīt dalībvalstis šajos centienos. Šis atbalsts ietvers labāku norādījumu sniegšanu un datu vākšanu par papildu rādītājiem, lai uzlabotu datu uzticamību un salīdzināmību.</w:t>
      </w:r>
    </w:p>
    <w:p w:rsidR="00C46F70" w:rsidRDefault="00CA633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Tendences attiecībā</w:t>
      </w:r>
      <w:r>
        <w:rPr>
          <w:rFonts w:ascii="Times New Roman" w:hAnsi="Times New Roman"/>
          <w:b/>
          <w:noProof/>
          <w:sz w:val="24"/>
          <w:u w:val="single"/>
        </w:rPr>
        <w:t xml:space="preserve"> uz ekspluatācijas veidiem</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Cilvēku tirdzniecība ir sociāla parādība, kas izpaužas dažādos veidos. Laika gaitā tā attīstās — nereti atbilstoši pieprasījumam un tirgotāju izdomas spējai. Cilvēku tirdzniecības novēršanas direktīvā ietvertais saraksts ar </w:t>
      </w:r>
      <w:r>
        <w:rPr>
          <w:rFonts w:ascii="Times New Roman" w:hAnsi="Times New Roman"/>
          <w:noProof/>
          <w:sz w:val="24"/>
        </w:rPr>
        <w:t>dažādiem ekspluatācijas veidiem ir nepilnīgs, tāpēc cilvēku tirdzniecības definīcijai ir iespējams pievienot jaunus ekspluatācijas veidus.</w:t>
      </w:r>
    </w:p>
    <w:p w:rsidR="00C46F70" w:rsidRDefault="00CA6337">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eastAsia="Times New Roman" w:hAnsi="Times New Roman" w:cs="Times New Roman"/>
          <w:noProof/>
          <w:sz w:val="24"/>
          <w:szCs w:val="24"/>
        </w:rPr>
      </w:pPr>
      <w:r>
        <w:rPr>
          <w:rFonts w:ascii="Times New Roman" w:hAnsi="Times New Roman"/>
          <w:b/>
          <w:noProof/>
          <w:sz w:val="24"/>
        </w:rPr>
        <w:t>Dalībvalstīm un citiem dalībniekiem cilvēku tirdzniecības novēršanas nolūkiem būtu jānodrošina samērojami resursi</w:t>
      </w:r>
      <w:r>
        <w:rPr>
          <w:rFonts w:ascii="Times New Roman" w:hAnsi="Times New Roman"/>
          <w:noProof/>
          <w:sz w:val="24"/>
        </w:rPr>
        <w:t>, la</w:t>
      </w:r>
      <w:r>
        <w:rPr>
          <w:rFonts w:ascii="Times New Roman" w:hAnsi="Times New Roman"/>
          <w:noProof/>
          <w:sz w:val="24"/>
        </w:rPr>
        <w:t>i efektīvi apkarotu visus cilvēku tirdzniecības veidus, tostarp arī jaunos, un nodrošinātu, ka tendences cilvēku tirdzniecības jomā tiek uzraudzītas.</w:t>
      </w:r>
    </w:p>
    <w:p w:rsidR="00CA6337" w:rsidRDefault="00CA6337">
      <w:pPr>
        <w:rPr>
          <w:rFonts w:eastAsia="Calibri" w:cs="Calibri"/>
          <w:b/>
          <w:i/>
          <w:noProof/>
          <w:color w:val="000000"/>
          <w:szCs w:val="22"/>
          <w:u w:val="single" w:color="000000"/>
        </w:rPr>
      </w:pPr>
      <w:r>
        <w:rPr>
          <w:b/>
          <w:i/>
          <w:noProof/>
          <w:u w:val="single"/>
        </w:rPr>
        <w:br w:type="page"/>
      </w:r>
    </w:p>
    <w:p w:rsidR="00C46F70" w:rsidRDefault="00CA6337">
      <w:pPr>
        <w:pStyle w:val="ListParagraph"/>
        <w:numPr>
          <w:ilvl w:val="0"/>
          <w:numId w:val="18"/>
        </w:numPr>
        <w:jc w:val="both"/>
        <w:rPr>
          <w:rFonts w:ascii="Times New Roman" w:eastAsia="Times New Roman" w:hAnsi="Times New Roman" w:cs="Times New Roman"/>
          <w:b/>
          <w:bCs/>
          <w:i/>
          <w:iCs/>
          <w:noProof/>
          <w:sz w:val="24"/>
          <w:szCs w:val="24"/>
          <w:u w:val="single"/>
        </w:rPr>
      </w:pPr>
      <w:r>
        <w:rPr>
          <w:rFonts w:ascii="Times New Roman" w:hAnsi="Times New Roman"/>
          <w:b/>
          <w:i/>
          <w:noProof/>
          <w:sz w:val="24"/>
          <w:u w:val="single"/>
        </w:rPr>
        <w:t>Cilvēku tirdzniecība seksuālās izmantošanas mērķiem</w:t>
      </w:r>
    </w:p>
    <w:p w:rsidR="00C46F70" w:rsidRDefault="00CA6337">
      <w:pPr>
        <w:pStyle w:val="Body"/>
        <w:jc w:val="both"/>
        <w:rPr>
          <w:rFonts w:ascii="Times New Roman" w:hAnsi="Times New Roman"/>
          <w:noProof/>
          <w:sz w:val="24"/>
          <w:szCs w:val="24"/>
        </w:rPr>
      </w:pPr>
      <w:r>
        <w:rPr>
          <w:rFonts w:ascii="Times New Roman" w:hAnsi="Times New Roman"/>
          <w:noProof/>
          <w:sz w:val="24"/>
        </w:rPr>
        <w:t>Cilvēku tirdzniecība seksuālās izmantošanas mērķiem jo</w:t>
      </w:r>
      <w:r>
        <w:rPr>
          <w:rFonts w:ascii="Times New Roman" w:hAnsi="Times New Roman"/>
          <w:noProof/>
          <w:sz w:val="24"/>
        </w:rPr>
        <w:t>projām neapšaubāmi ir visizplatītākais cilvēku tirdzniecības veids ES. Saskaņā ar 2013.–2014. gada statistikas datiem reģistrēti 10 044 cietušie (67 % no visiem reģistrētajiem cietušajiem) no šāda veida ekspluatācijas, kas galvenokārt skar sievietes un mei</w:t>
      </w:r>
      <w:r>
        <w:rPr>
          <w:rFonts w:ascii="Times New Roman" w:hAnsi="Times New Roman"/>
          <w:noProof/>
          <w:sz w:val="24"/>
        </w:rPr>
        <w:t>tenes (95 % no reģistrētajiem cietušajiem), lai gan dažas dalībvalstis ir ziņojušas par cietušo vīriešu skaita pieaugumu. Lielākā daļa cietušo ir iesaistīti seksuālo pakalpojumu nozarē. Pieejamā informācija liecina, ka cilvēku tirgotāji virzās arvien tālāk</w:t>
      </w:r>
      <w:r>
        <w:rPr>
          <w:rFonts w:ascii="Times New Roman" w:hAnsi="Times New Roman"/>
          <w:noProof/>
          <w:sz w:val="24"/>
        </w:rPr>
        <w:t xml:space="preserve"> no seksuālās izmantošanas mērķiem paredzētiem redzamiem tirdzniecības veidiem uz mazāk redzamiem un ka viņi ļaunprātīgi izmanto pašnodarbinātās personas statusu.</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Saskaņā ar Eiropola ziņoto “ir iespējams, ka valstīs, kurās prostitūcija ir likumīga un tiek </w:t>
      </w:r>
      <w:r>
        <w:rPr>
          <w:rFonts w:ascii="Times New Roman" w:hAnsi="Times New Roman"/>
          <w:noProof/>
          <w:sz w:val="24"/>
        </w:rPr>
        <w:t>regulēta, seksuālos pakalpojumus ietekmē pieprasījums pēc lētā darbaspēka” un šajās valstīs “tirgotājiem, kuri vēlas izmantot tiesisko vidi, lai ekspluatētu savus cietušos, ir daudz vieglāk to izdarīt”</w:t>
      </w:r>
      <w:r>
        <w:rPr>
          <w:rStyle w:val="FootnoteReference"/>
          <w:noProof/>
        </w:rPr>
        <w:footnoteReference w:id="21"/>
      </w:r>
      <w:r>
        <w:rPr>
          <w:rFonts w:ascii="Times New Roman" w:hAnsi="Times New Roman"/>
          <w:noProof/>
          <w:sz w:val="24"/>
        </w:rPr>
        <w:t>. Mainās arī modeļi — notiek virzība no redzamiem uz m</w:t>
      </w:r>
      <w:r>
        <w:rPr>
          <w:rFonts w:ascii="Times New Roman" w:hAnsi="Times New Roman"/>
          <w:noProof/>
          <w:sz w:val="24"/>
        </w:rPr>
        <w:t>azāk redzamiem prostitūcijas veidiem.</w:t>
      </w:r>
    </w:p>
    <w:p w:rsidR="00C46F70" w:rsidRDefault="00CA6337">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eastAsia="Times New Roman" w:hAnsi="Times New Roman" w:cs="Times New Roman"/>
          <w:b/>
          <w:bCs/>
          <w:i/>
          <w:iCs/>
          <w:noProof/>
          <w:sz w:val="24"/>
          <w:szCs w:val="24"/>
          <w:u w:val="single"/>
        </w:rPr>
      </w:pPr>
      <w:r>
        <w:rPr>
          <w:rFonts w:ascii="Times New Roman" w:hAnsi="Times New Roman"/>
          <w:noProof/>
          <w:sz w:val="24"/>
        </w:rPr>
        <w:t xml:space="preserve">Šā ziņojuma vajadzībām vāktie dati liecina, ka līdzšinējie centieni nav nodrošinājuši, ka cilvēku tirdzniecība seksuālās izmantošanas mērķiem tiktu efektīvi novērsta, un tā nav samazinājusies. Dalībvalstīm būtu </w:t>
      </w:r>
      <w:r>
        <w:rPr>
          <w:rFonts w:ascii="Times New Roman" w:hAnsi="Times New Roman"/>
          <w:b/>
          <w:noProof/>
          <w:sz w:val="24"/>
        </w:rPr>
        <w:t>jāturpi</w:t>
      </w:r>
      <w:r>
        <w:rPr>
          <w:rFonts w:ascii="Times New Roman" w:hAnsi="Times New Roman"/>
          <w:b/>
          <w:noProof/>
          <w:sz w:val="24"/>
        </w:rPr>
        <w:t>na un pat jāpastiprina centieni apkarot cilvēku tirdzniecību seksuālās izmantošanas mērķiem</w:t>
      </w:r>
      <w:r>
        <w:rPr>
          <w:rFonts w:ascii="Times New Roman" w:hAnsi="Times New Roman"/>
          <w:noProof/>
          <w:sz w:val="24"/>
        </w:rPr>
        <w:t>.</w:t>
      </w:r>
    </w:p>
    <w:p w:rsidR="00C46F70" w:rsidRDefault="00CA6337">
      <w:pPr>
        <w:pStyle w:val="ListParagraph"/>
        <w:numPr>
          <w:ilvl w:val="0"/>
          <w:numId w:val="18"/>
        </w:numPr>
        <w:jc w:val="both"/>
        <w:rPr>
          <w:rFonts w:ascii="Times New Roman" w:eastAsia="Times New Roman" w:hAnsi="Times New Roman" w:cs="Times New Roman"/>
          <w:b/>
          <w:bCs/>
          <w:i/>
          <w:iCs/>
          <w:noProof/>
          <w:sz w:val="24"/>
          <w:szCs w:val="24"/>
          <w:u w:val="single"/>
        </w:rPr>
      </w:pPr>
      <w:r>
        <w:rPr>
          <w:rFonts w:ascii="Times New Roman" w:hAnsi="Times New Roman"/>
          <w:b/>
          <w:i/>
          <w:noProof/>
          <w:sz w:val="24"/>
          <w:u w:val="single"/>
        </w:rPr>
        <w:t>Cilvēku tirdzniecība darbaspēka ekspluatācijas mērķiem</w:t>
      </w:r>
    </w:p>
    <w:p w:rsidR="00C46F70" w:rsidRDefault="00CA6337">
      <w:pPr>
        <w:pStyle w:val="Body"/>
        <w:jc w:val="both"/>
        <w:rPr>
          <w:rFonts w:ascii="Times New Roman" w:hAnsi="Times New Roman"/>
          <w:noProof/>
          <w:sz w:val="24"/>
          <w:szCs w:val="24"/>
        </w:rPr>
      </w:pPr>
      <w:r>
        <w:rPr>
          <w:rFonts w:ascii="Times New Roman" w:hAnsi="Times New Roman"/>
          <w:noProof/>
          <w:sz w:val="24"/>
        </w:rPr>
        <w:t>Vairākas dalībvalstis ir ziņojušas, ka palielinās cilvēku tirdzniecība darbaspēka ekspluatācijas mērķiem (21</w:t>
      </w:r>
      <w:r>
        <w:rPr>
          <w:rFonts w:ascii="Times New Roman" w:hAnsi="Times New Roman"/>
          <w:noProof/>
          <w:sz w:val="24"/>
        </w:rPr>
        <w:t> % no visiem reģistrētajiem cietušajiem). Dalībvalstis arī ziņo, ka palielinās to vīriešu skaits, kas cietuši no šādā veida tirdzniecības, piemēram, lauksaimniecības nozarē. 2013.–2014. gada statistikas dati parāda, ka 74 % no reģistrētajiem darbaspēka eks</w:t>
      </w:r>
      <w:r>
        <w:rPr>
          <w:rFonts w:ascii="Times New Roman" w:hAnsi="Times New Roman"/>
          <w:noProof/>
          <w:sz w:val="24"/>
        </w:rPr>
        <w:t>pluatācijā cietušajiem bija vīrieši</w:t>
      </w:r>
      <w:r>
        <w:rPr>
          <w:rStyle w:val="FootnoteReference"/>
          <w:rFonts w:ascii="Times New Roman" w:hAnsi="Times New Roman"/>
          <w:noProof/>
          <w:sz w:val="24"/>
        </w:rPr>
        <w:footnoteReference w:id="22"/>
      </w:r>
      <w:r>
        <w:rPr>
          <w:rFonts w:ascii="Times New Roman" w:hAnsi="Times New Roman"/>
          <w:noProof/>
          <w:sz w:val="24"/>
        </w:rPr>
        <w:t xml:space="preserve">. </w:t>
      </w:r>
    </w:p>
    <w:p w:rsidR="00C46F70" w:rsidRDefault="00CA6337">
      <w:pPr>
        <w:pStyle w:val="Body"/>
        <w:jc w:val="both"/>
        <w:rPr>
          <w:rFonts w:ascii="Times New Roman" w:hAnsi="Times New Roman"/>
          <w:noProof/>
          <w:sz w:val="24"/>
          <w:szCs w:val="24"/>
        </w:rPr>
      </w:pPr>
      <w:r>
        <w:rPr>
          <w:rFonts w:ascii="Times New Roman" w:hAnsi="Times New Roman"/>
          <w:noProof/>
          <w:sz w:val="24"/>
        </w:rPr>
        <w:t>Cilvēku tirgotāji izmanto nepilnības tiesiskā regulējuma izpildē vai uzraudzībā attiecībā uz darba atļaujām, vīzām, darba ņēmēju tiesībām un darba apstākļiem. Cilvēku tirdzniecība darbaspēka ekspluatācijas mērķiem nek</w:t>
      </w:r>
      <w:r>
        <w:rPr>
          <w:rFonts w:ascii="Times New Roman" w:hAnsi="Times New Roman"/>
          <w:noProof/>
          <w:sz w:val="24"/>
        </w:rPr>
        <w:t>ādā ziņā nav jauna parādība ES, un ekonomikas krīzes rezultātā pieprasījums pēc lētā darba spēka ir palielinājies</w:t>
      </w:r>
      <w:r>
        <w:rPr>
          <w:rStyle w:val="FootnoteReference"/>
          <w:rFonts w:ascii="Times New Roman" w:hAnsi="Times New Roman"/>
          <w:noProof/>
          <w:sz w:val="24"/>
        </w:rPr>
        <w:footnoteReference w:id="23"/>
      </w:r>
      <w:r>
        <w:rPr>
          <w:rFonts w:ascii="Times New Roman" w:hAnsi="Times New Roman"/>
          <w:noProof/>
          <w:sz w:val="24"/>
        </w:rPr>
        <w:t xml:space="preserve"> — notiek cilvēku tirdzniecība uz ES un ES robežās, lai tie veiktu neapmaksātu vai ļoti zemi apmaksātu darbu, dzīvojot un strādājot apstākļos,</w:t>
      </w:r>
      <w:r>
        <w:rPr>
          <w:rFonts w:ascii="Times New Roman" w:hAnsi="Times New Roman"/>
          <w:noProof/>
          <w:sz w:val="24"/>
        </w:rPr>
        <w:t xml:space="preserve"> kas ir cilvēka cieņu aizskaroši.</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Turēšana mājkalpībā ir tāds cilvēku tirdzniecības veids darba ekspluatācijas mērķiem, kuru ir īpaši grūti atklāt. Tas galvenokārt skar sievietes un meitenes. Tā kā tas notiek privātās mājsaimniecībās, cietušie bieži vien i</w:t>
      </w:r>
      <w:r>
        <w:rPr>
          <w:rFonts w:ascii="Times New Roman" w:hAnsi="Times New Roman"/>
          <w:noProof/>
          <w:sz w:val="24"/>
        </w:rPr>
        <w:t>r izolēti un tiem ir ļoti ierobežotas iespējas vai vispār nav iespēju ziņot par ekspluatāciju vai izbēgt no tās.</w:t>
      </w:r>
    </w:p>
    <w:p w:rsidR="00C46F70" w:rsidRDefault="00CA6337">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eastAsia="Times New Roman" w:hAnsi="Times New Roman" w:cs="Times New Roman"/>
          <w:noProof/>
          <w:sz w:val="24"/>
          <w:szCs w:val="24"/>
        </w:rPr>
      </w:pPr>
      <w:r>
        <w:rPr>
          <w:rFonts w:ascii="Times New Roman" w:hAnsi="Times New Roman"/>
          <w:noProof/>
          <w:sz w:val="24"/>
        </w:rPr>
        <w:t>Lai gan ir svarīgi uzsvērt, ka ne visas ekspluatācijas situācijas ES darba tirgū ir radušās cilvēku tirdzniecības rezultātā, daļa tomēr var būt</w:t>
      </w:r>
      <w:r>
        <w:rPr>
          <w:rFonts w:ascii="Times New Roman" w:hAnsi="Times New Roman"/>
          <w:noProof/>
          <w:sz w:val="24"/>
        </w:rPr>
        <w:t xml:space="preserve"> tās rezultāts. Šādos gadījumos </w:t>
      </w:r>
      <w:r>
        <w:rPr>
          <w:rFonts w:ascii="Times New Roman" w:hAnsi="Times New Roman"/>
          <w:b/>
          <w:noProof/>
          <w:sz w:val="24"/>
        </w:rPr>
        <w:t>ir atbilstoši jāidentificē visi cietušie no cilvēku tirdzniecības darbaspēka ekspluatācijas mērķiem, un tiem ir jāsniedz palīdzība</w:t>
      </w:r>
      <w:r>
        <w:rPr>
          <w:rFonts w:ascii="Times New Roman" w:hAnsi="Times New Roman"/>
          <w:noProof/>
          <w:sz w:val="24"/>
        </w:rPr>
        <w:t>.</w:t>
      </w:r>
    </w:p>
    <w:p w:rsidR="00C46F70" w:rsidRDefault="00CA6337">
      <w:pPr>
        <w:pStyle w:val="ListParagraph"/>
        <w:numPr>
          <w:ilvl w:val="0"/>
          <w:numId w:val="18"/>
        </w:numPr>
        <w:jc w:val="both"/>
        <w:rPr>
          <w:rFonts w:ascii="Times New Roman" w:eastAsia="Times New Roman" w:hAnsi="Times New Roman" w:cs="Times New Roman"/>
          <w:i/>
          <w:iCs/>
          <w:noProof/>
          <w:sz w:val="24"/>
          <w:szCs w:val="24"/>
        </w:rPr>
      </w:pPr>
      <w:r>
        <w:rPr>
          <w:rFonts w:ascii="Times New Roman" w:hAnsi="Times New Roman"/>
          <w:b/>
          <w:i/>
          <w:noProof/>
          <w:sz w:val="24"/>
          <w:u w:val="single"/>
        </w:rPr>
        <w:t>Cilvēku tirdzniecība citu veidu ekspluatācijas mērķiem</w:t>
      </w:r>
    </w:p>
    <w:p w:rsidR="00C46F70" w:rsidRDefault="00CA6337">
      <w:pPr>
        <w:pStyle w:val="Body"/>
        <w:jc w:val="both"/>
        <w:rPr>
          <w:rFonts w:ascii="Times New Roman" w:hAnsi="Times New Roman"/>
          <w:noProof/>
          <w:sz w:val="24"/>
          <w:szCs w:val="24"/>
        </w:rPr>
      </w:pPr>
      <w:r>
        <w:rPr>
          <w:rFonts w:ascii="Times New Roman" w:hAnsi="Times New Roman"/>
          <w:noProof/>
          <w:sz w:val="24"/>
        </w:rPr>
        <w:t>Saskaņā ar 2013.–2014. gada statistik</w:t>
      </w:r>
      <w:r>
        <w:rPr>
          <w:rFonts w:ascii="Times New Roman" w:hAnsi="Times New Roman"/>
          <w:noProof/>
          <w:sz w:val="24"/>
        </w:rPr>
        <w:t>as datiem citu veidu ekspluatācija veido 12 % no kopējā cietušo skaita.</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Citu veidu ekspluatācija, par ko ziņo dalībvalstis, ietver cilvēku tirdzniecību tādiem mērķiem kā piespiedu ubagošana, noziedzīgas darbības, piespiedu laulības, fiktīvas laulības vai o</w:t>
      </w:r>
      <w:r>
        <w:rPr>
          <w:rFonts w:ascii="Times New Roman" w:hAnsi="Times New Roman"/>
          <w:noProof/>
          <w:sz w:val="24"/>
        </w:rPr>
        <w:t>rgānu izņemšana, kā arī zīdaiņu un mazu bērnu tirdzniecību adopcijas nolūkos, grūtnieču tirdzniecību ar mērķi pārdot to jaundzimušos bērnus, cilvēku tirdzniecību marihuānas ražošanas un narkotiku kontrabandas vai narkotiku pārdošanas mērķiem.</w:t>
      </w:r>
    </w:p>
    <w:p w:rsidR="00C46F70" w:rsidRDefault="00CA6337">
      <w:pPr>
        <w:pStyle w:val="Body"/>
        <w:jc w:val="both"/>
        <w:rPr>
          <w:rFonts w:ascii="Times New Roman" w:hAnsi="Times New Roman"/>
          <w:noProof/>
          <w:sz w:val="24"/>
          <w:szCs w:val="24"/>
        </w:rPr>
      </w:pPr>
      <w:r>
        <w:rPr>
          <w:rFonts w:ascii="Times New Roman" w:hAnsi="Times New Roman"/>
          <w:noProof/>
          <w:sz w:val="24"/>
        </w:rPr>
        <w:t xml:space="preserve">Dalībvalstis </w:t>
      </w:r>
      <w:r>
        <w:rPr>
          <w:rFonts w:ascii="Times New Roman" w:hAnsi="Times New Roman"/>
          <w:noProof/>
          <w:sz w:val="24"/>
        </w:rPr>
        <w:t>ziņo arī par gadījumiem, kad cilvēki kļūst par cietušajiem</w:t>
      </w:r>
      <w:r>
        <w:rPr>
          <w:rFonts w:ascii="Times New Roman" w:hAnsi="Times New Roman"/>
          <w:b/>
          <w:noProof/>
          <w:sz w:val="24"/>
        </w:rPr>
        <w:t xml:space="preserve"> vairākos ekspluatācijas veidos</w:t>
      </w:r>
      <w:r>
        <w:rPr>
          <w:rFonts w:ascii="Times New Roman" w:hAnsi="Times New Roman"/>
          <w:noProof/>
          <w:sz w:val="24"/>
        </w:rPr>
        <w:t>, piemēram, viņi tiek tirgoti gan darbaspēka ekspluatācijas, gan seksuālās izmantošanas mērķiem vai tiek tirgoti darbaspēka ekspluatācijas mērķiem un tiek spiesti iesa</w:t>
      </w:r>
      <w:r>
        <w:rPr>
          <w:rFonts w:ascii="Times New Roman" w:hAnsi="Times New Roman"/>
          <w:noProof/>
          <w:sz w:val="24"/>
        </w:rPr>
        <w:t>istīties arī noziedzīgās darbībās.</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Dalībvalstu ziņojumi liecina, ka </w:t>
      </w:r>
      <w:r>
        <w:rPr>
          <w:rFonts w:ascii="Times New Roman" w:hAnsi="Times New Roman"/>
          <w:b/>
          <w:noProof/>
          <w:sz w:val="24"/>
        </w:rPr>
        <w:t>pieaug tādu cilvēku ekspluatācija, kuriem ir fiziski, garīgi un attīstības traucējumi</w:t>
      </w:r>
      <w:r>
        <w:rPr>
          <w:rFonts w:ascii="Times New Roman" w:hAnsi="Times New Roman"/>
          <w:noProof/>
          <w:sz w:val="24"/>
        </w:rPr>
        <w:t xml:space="preserve">. Ir ziņots par cilvēku </w:t>
      </w:r>
      <w:r>
        <w:rPr>
          <w:rFonts w:ascii="Times New Roman" w:hAnsi="Times New Roman"/>
          <w:b/>
          <w:noProof/>
          <w:sz w:val="24"/>
        </w:rPr>
        <w:t xml:space="preserve">tirdzniecības </w:t>
      </w:r>
      <w:r>
        <w:rPr>
          <w:rFonts w:ascii="Times New Roman" w:hAnsi="Times New Roman"/>
          <w:noProof/>
          <w:sz w:val="24"/>
        </w:rPr>
        <w:t xml:space="preserve">pieaugumu arī attiecībā uz romu etniskās piederības pārstāvjiem </w:t>
      </w:r>
      <w:r>
        <w:rPr>
          <w:rFonts w:ascii="Times New Roman" w:hAnsi="Times New Roman"/>
          <w:b/>
          <w:noProof/>
          <w:sz w:val="24"/>
        </w:rPr>
        <w:t>p</w:t>
      </w:r>
      <w:r>
        <w:rPr>
          <w:rFonts w:ascii="Times New Roman" w:hAnsi="Times New Roman"/>
          <w:b/>
          <w:noProof/>
          <w:sz w:val="24"/>
        </w:rPr>
        <w:t>iespiedu ubagošanas mērķiem</w:t>
      </w:r>
      <w:r>
        <w:rPr>
          <w:rFonts w:ascii="Times New Roman" w:hAnsi="Times New Roman"/>
          <w:noProof/>
          <w:sz w:val="24"/>
        </w:rPr>
        <w:t xml:space="preserve">. Cilvēku tirdzniecībā cietušie tiek izmantoti arī </w:t>
      </w:r>
      <w:r>
        <w:rPr>
          <w:rFonts w:ascii="Times New Roman" w:hAnsi="Times New Roman"/>
          <w:b/>
          <w:noProof/>
          <w:sz w:val="24"/>
        </w:rPr>
        <w:t>kā narkotiku kurjeri</w:t>
      </w:r>
      <w:r>
        <w:rPr>
          <w:rFonts w:ascii="Times New Roman" w:hAnsi="Times New Roman"/>
          <w:noProof/>
          <w:sz w:val="24"/>
        </w:rPr>
        <w:t xml:space="preserve">, ekspluatēti </w:t>
      </w:r>
      <w:r>
        <w:rPr>
          <w:rFonts w:ascii="Times New Roman" w:hAnsi="Times New Roman"/>
          <w:b/>
          <w:noProof/>
          <w:sz w:val="24"/>
        </w:rPr>
        <w:t>marihuānas audzēšanā</w:t>
      </w:r>
      <w:r>
        <w:rPr>
          <w:rFonts w:ascii="Times New Roman" w:hAnsi="Times New Roman"/>
          <w:noProof/>
          <w:sz w:val="24"/>
        </w:rPr>
        <w:t xml:space="preserve"> vai izmantoti, lai īstenotu </w:t>
      </w:r>
      <w:r>
        <w:rPr>
          <w:rFonts w:ascii="Times New Roman" w:hAnsi="Times New Roman"/>
          <w:b/>
          <w:noProof/>
          <w:sz w:val="24"/>
        </w:rPr>
        <w:t>krāpšanu attiecībā uz pabalstiem</w:t>
      </w:r>
      <w:r>
        <w:rPr>
          <w:rFonts w:ascii="Times New Roman" w:hAnsi="Times New Roman"/>
          <w:noProof/>
          <w:sz w:val="24"/>
        </w:rPr>
        <w:t xml:space="preserve">. Dalībvalstis arī ziņo, ka </w:t>
      </w:r>
      <w:r>
        <w:rPr>
          <w:rFonts w:ascii="Times New Roman" w:hAnsi="Times New Roman"/>
          <w:b/>
          <w:noProof/>
          <w:sz w:val="24"/>
        </w:rPr>
        <w:t>grūtnieces tiek savervētas un piesp</w:t>
      </w:r>
      <w:r>
        <w:rPr>
          <w:rFonts w:ascii="Times New Roman" w:hAnsi="Times New Roman"/>
          <w:b/>
          <w:noProof/>
          <w:sz w:val="24"/>
        </w:rPr>
        <w:t>iestas pārdot savus jaundzimušos bērnus</w:t>
      </w:r>
      <w:r>
        <w:rPr>
          <w:rFonts w:ascii="Times New Roman" w:hAnsi="Times New Roman"/>
          <w:noProof/>
          <w:sz w:val="24"/>
        </w:rPr>
        <w:t>.</w:t>
      </w:r>
    </w:p>
    <w:p w:rsidR="00C46F70" w:rsidRDefault="00CA6337">
      <w:pPr>
        <w:pStyle w:val="Body"/>
        <w:tabs>
          <w:tab w:val="left" w:pos="3402"/>
        </w:tabs>
        <w:jc w:val="both"/>
        <w:rPr>
          <w:rFonts w:ascii="Times New Roman" w:eastAsia="Times New Roman" w:hAnsi="Times New Roman" w:cs="Times New Roman"/>
          <w:noProof/>
          <w:sz w:val="24"/>
          <w:szCs w:val="24"/>
        </w:rPr>
      </w:pPr>
      <w:r>
        <w:rPr>
          <w:rFonts w:ascii="Times New Roman" w:hAnsi="Times New Roman"/>
          <w:b/>
          <w:noProof/>
          <w:sz w:val="24"/>
        </w:rPr>
        <w:t>Dalībvalstis cilvēku tirdzniecības kontekstā arvien plašāk ziņo par piespiedu laulībām</w:t>
      </w:r>
      <w:r>
        <w:rPr>
          <w:rStyle w:val="FootnoteReference"/>
          <w:rFonts w:ascii="Times New Roman" w:hAnsi="Times New Roman"/>
          <w:b/>
          <w:noProof/>
          <w:sz w:val="24"/>
        </w:rPr>
        <w:footnoteReference w:id="24"/>
      </w:r>
      <w:r>
        <w:rPr>
          <w:rFonts w:ascii="Times New Roman" w:hAnsi="Times New Roman"/>
          <w:b/>
          <w:noProof/>
          <w:sz w:val="24"/>
        </w:rPr>
        <w:t xml:space="preserve"> un fiktīvām laulībām</w:t>
      </w:r>
      <w:r>
        <w:rPr>
          <w:noProof/>
        </w:rPr>
        <w:t xml:space="preserve">. </w:t>
      </w:r>
      <w:r>
        <w:rPr>
          <w:rFonts w:ascii="Times New Roman" w:hAnsi="Times New Roman"/>
          <w:noProof/>
          <w:sz w:val="24"/>
        </w:rPr>
        <w:t>Eiropols norāda, ka ir sagaidāms, ka pašreizējās migrācijas un bēgļu krīzes rezultātā notiks vairāk piesp</w:t>
      </w:r>
      <w:r>
        <w:rPr>
          <w:rFonts w:ascii="Times New Roman" w:hAnsi="Times New Roman"/>
          <w:noProof/>
          <w:sz w:val="24"/>
        </w:rPr>
        <w:t>iedu laulību, jo palielināsies migrantu un patvēruma meklētāju mēģinājumi iegūt likumīgu uzturēšanās statusu</w:t>
      </w:r>
      <w:r>
        <w:rPr>
          <w:rStyle w:val="FootnoteReference"/>
          <w:rFonts w:ascii="Times New Roman" w:hAnsi="Times New Roman"/>
          <w:noProof/>
          <w:sz w:val="24"/>
        </w:rPr>
        <w:footnoteReference w:id="25"/>
      </w:r>
      <w:r>
        <w:rPr>
          <w:rFonts w:ascii="Times New Roman" w:hAnsi="Times New Roman"/>
          <w:noProof/>
          <w:sz w:val="24"/>
        </w:rPr>
        <w:t xml:space="preserve">. </w:t>
      </w:r>
    </w:p>
    <w:p w:rsidR="00CA6337" w:rsidRDefault="00CA6337">
      <w:pPr>
        <w:rPr>
          <w:rFonts w:eastAsia="Calibri" w:cs="Calibri"/>
          <w:b/>
          <w:i/>
          <w:noProof/>
          <w:color w:val="000000"/>
          <w:szCs w:val="22"/>
          <w:u w:val="single" w:color="000000"/>
        </w:rPr>
      </w:pPr>
      <w:r>
        <w:rPr>
          <w:b/>
          <w:i/>
          <w:noProof/>
          <w:u w:val="single"/>
        </w:rPr>
        <w:br w:type="page"/>
      </w:r>
    </w:p>
    <w:p w:rsidR="00C46F70" w:rsidRDefault="00CA6337">
      <w:pPr>
        <w:pStyle w:val="ListParagraph"/>
        <w:numPr>
          <w:ilvl w:val="0"/>
          <w:numId w:val="18"/>
        </w:numPr>
        <w:jc w:val="both"/>
        <w:rPr>
          <w:rFonts w:ascii="Times New Roman" w:eastAsia="Times New Roman" w:hAnsi="Times New Roman" w:cs="Times New Roman"/>
          <w:b/>
          <w:bCs/>
          <w:i/>
          <w:iCs/>
          <w:noProof/>
          <w:sz w:val="24"/>
          <w:szCs w:val="24"/>
          <w:u w:val="single"/>
        </w:rPr>
      </w:pPr>
      <w:r>
        <w:rPr>
          <w:rFonts w:ascii="Times New Roman" w:hAnsi="Times New Roman"/>
          <w:b/>
          <w:i/>
          <w:noProof/>
          <w:sz w:val="24"/>
          <w:u w:val="single"/>
        </w:rPr>
        <w:t>Bērnu tirdzniecības tendences</w:t>
      </w:r>
    </w:p>
    <w:p w:rsidR="00C46F70" w:rsidRDefault="00CA6337">
      <w:pPr>
        <w:pStyle w:val="Body"/>
        <w:jc w:val="both"/>
        <w:rPr>
          <w:rFonts w:ascii="Times New Roman" w:hAnsi="Times New Roman"/>
          <w:noProof/>
          <w:sz w:val="24"/>
          <w:szCs w:val="24"/>
        </w:rPr>
      </w:pPr>
      <w:r>
        <w:rPr>
          <w:rFonts w:ascii="Times New Roman" w:hAnsi="Times New Roman"/>
          <w:b/>
          <w:noProof/>
          <w:sz w:val="24"/>
        </w:rPr>
        <w:t>Dalībvalstis ziņo, ka bērnu tirdzniecība ir viena no tendencēm, kas ES pieaug visstraujāk</w:t>
      </w:r>
      <w:r>
        <w:rPr>
          <w:rFonts w:ascii="Times New Roman" w:hAnsi="Times New Roman"/>
          <w:noProof/>
          <w:sz w:val="24"/>
        </w:rPr>
        <w:t>. 2013.–2014. gada statis</w:t>
      </w:r>
      <w:r>
        <w:rPr>
          <w:rFonts w:ascii="Times New Roman" w:hAnsi="Times New Roman"/>
          <w:noProof/>
          <w:sz w:val="24"/>
        </w:rPr>
        <w:t>tikas dati parāda, ka no 15 846 reģistrētajiem cilvēku tirdzniecībā cietušajiem ES vismaz 2375 bija bērni</w:t>
      </w:r>
      <w:r>
        <w:rPr>
          <w:rStyle w:val="FootnoteReference"/>
          <w:rFonts w:ascii="Times New Roman" w:hAnsi="Times New Roman"/>
          <w:noProof/>
          <w:sz w:val="24"/>
        </w:rPr>
        <w:footnoteReference w:id="26"/>
      </w:r>
      <w:r>
        <w:rPr>
          <w:rFonts w:ascii="Times New Roman" w:hAnsi="Times New Roman"/>
          <w:noProof/>
          <w:sz w:val="24"/>
        </w:rPr>
        <w:t xml:space="preserve">. </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b/>
          <w:noProof/>
          <w:sz w:val="24"/>
        </w:rPr>
        <w:t>Cilvēku tirdzniecības tīkli par savu mērķi izvēlas sociāli un ekonomiski nelabvēlīgā situācijā esošas ģimenes un piespiež tās nonākt parādos, kurus</w:t>
      </w:r>
      <w:r>
        <w:rPr>
          <w:rFonts w:ascii="Times New Roman" w:hAnsi="Times New Roman"/>
          <w:b/>
          <w:noProof/>
          <w:sz w:val="24"/>
        </w:rPr>
        <w:t xml:space="preserve"> ģimenes nav spējīga atmaksāt</w:t>
      </w:r>
      <w:r>
        <w:rPr>
          <w:rFonts w:ascii="Times New Roman" w:hAnsi="Times New Roman"/>
          <w:noProof/>
          <w:sz w:val="24"/>
        </w:rPr>
        <w:t>. Šādos apstākļos kā parādu atmaksas veidu izmanto bērnu atņemšanu vecākiem.</w:t>
      </w:r>
    </w:p>
    <w:p w:rsidR="00C46F70" w:rsidRDefault="00CA6337">
      <w:pPr>
        <w:pStyle w:val="Body"/>
        <w:jc w:val="both"/>
        <w:rPr>
          <w:rFonts w:ascii="Times New Roman" w:hAnsi="Times New Roman"/>
          <w:noProof/>
          <w:sz w:val="24"/>
          <w:szCs w:val="24"/>
        </w:rPr>
      </w:pPr>
      <w:r>
        <w:rPr>
          <w:rFonts w:ascii="Times New Roman" w:hAnsi="Times New Roman"/>
          <w:noProof/>
          <w:sz w:val="24"/>
        </w:rPr>
        <w:t>Bērni ir viena no visneaizsargātākajām grupām, kuru par savu mērķi izvēlas cilvēku tirgotāji. Organizētās noziedzības grupas izvēlas tirgot bērnus, jo</w:t>
      </w:r>
      <w:r>
        <w:rPr>
          <w:rFonts w:ascii="Times New Roman" w:hAnsi="Times New Roman"/>
          <w:noProof/>
          <w:sz w:val="24"/>
        </w:rPr>
        <w:t xml:space="preserve"> tos var viegli savervēt un ātri aizvietot</w:t>
      </w:r>
      <w:r>
        <w:rPr>
          <w:rStyle w:val="FootnoteReference"/>
          <w:rFonts w:ascii="Times New Roman" w:hAnsi="Times New Roman"/>
          <w:noProof/>
          <w:sz w:val="24"/>
        </w:rPr>
        <w:footnoteReference w:id="27"/>
      </w:r>
      <w:r>
        <w:rPr>
          <w:rFonts w:ascii="Times New Roman" w:hAnsi="Times New Roman"/>
          <w:noProof/>
          <w:sz w:val="24"/>
        </w:rPr>
        <w:t>. Lai gan bērnu tirdzniecība dominē situācijās, kas nav saistītas ar migrāciju, saņemtā informācija liecina, ka šo parādību ir saasinājusi notiekošā migrantu krīze, kurā eksponenciāli ir pieaudzis to bērnu skaits,</w:t>
      </w:r>
      <w:r>
        <w:rPr>
          <w:rFonts w:ascii="Times New Roman" w:hAnsi="Times New Roman"/>
          <w:noProof/>
          <w:sz w:val="24"/>
        </w:rPr>
        <w:t xml:space="preserve"> kas ierodas ES</w:t>
      </w:r>
      <w:r>
        <w:rPr>
          <w:rStyle w:val="FootnoteReference"/>
          <w:rFonts w:ascii="Times New Roman" w:hAnsi="Times New Roman"/>
          <w:noProof/>
          <w:sz w:val="24"/>
        </w:rPr>
        <w:footnoteReference w:id="28"/>
      </w:r>
      <w:r>
        <w:rPr>
          <w:rFonts w:ascii="Times New Roman" w:hAnsi="Times New Roman"/>
          <w:noProof/>
          <w:sz w:val="24"/>
        </w:rPr>
        <w:t>. Ievērojamai daļai šo bērnu nav pavadoņa, viņi uz ES un tās robežās ceļo bez pieaugušā, kas būtu par viņiem atbildīgs, vai pēc iekļūšanas ES tiek atstāti bez pavadoņa.</w:t>
      </w:r>
    </w:p>
    <w:p w:rsidR="00C46F70" w:rsidRDefault="00CA6337">
      <w:pPr>
        <w:pStyle w:val="Body"/>
        <w:spacing w:line="240" w:lineRule="auto"/>
        <w:jc w:val="both"/>
        <w:rPr>
          <w:rFonts w:ascii="Times New Roman" w:eastAsia="Times New Roman" w:hAnsi="Times New Roman" w:cs="Times New Roman"/>
          <w:noProof/>
          <w:sz w:val="24"/>
          <w:szCs w:val="24"/>
        </w:rPr>
      </w:pPr>
      <w:r>
        <w:rPr>
          <w:rFonts w:ascii="Times New Roman" w:hAnsi="Times New Roman"/>
          <w:noProof/>
          <w:sz w:val="24"/>
        </w:rPr>
        <w:t>Arvien pieaugoša problēma ir cilvēku tirdzniecībā cietušo bērnu identif</w:t>
      </w:r>
      <w:r>
        <w:rPr>
          <w:rFonts w:ascii="Times New Roman" w:hAnsi="Times New Roman"/>
          <w:noProof/>
          <w:sz w:val="24"/>
        </w:rPr>
        <w:t>ikācija un viņu patiesās identitātes noteikšana, jo viņu neaizsargātība padara tos par tirgotāju iecienītu mērķi.</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Palielinās bērnu tirdzniecība piespiedu noziedzības un seksuālās izmantošanas mērķiem. Pastāv augsts risks, ka cietušie bērni ne tikai tiek at</w:t>
      </w:r>
      <w:r>
        <w:rPr>
          <w:rFonts w:ascii="Times New Roman" w:hAnsi="Times New Roman"/>
          <w:noProof/>
          <w:sz w:val="24"/>
        </w:rPr>
        <w:t xml:space="preserve">kārtoti pārdoti, bet tiek pakļauti arī </w:t>
      </w:r>
      <w:r>
        <w:rPr>
          <w:rFonts w:ascii="Times New Roman" w:hAnsi="Times New Roman"/>
          <w:b/>
          <w:noProof/>
          <w:sz w:val="24"/>
        </w:rPr>
        <w:t>sekundārai viktimizācijai</w:t>
      </w:r>
      <w:r>
        <w:rPr>
          <w:rFonts w:ascii="Times New Roman" w:hAnsi="Times New Roman"/>
          <w:noProof/>
          <w:sz w:val="24"/>
        </w:rPr>
        <w:t> — pret viņiem izturas kā pret</w:t>
      </w:r>
      <w:r>
        <w:rPr>
          <w:rFonts w:ascii="Times New Roman" w:hAnsi="Times New Roman"/>
          <w:b/>
          <w:noProof/>
          <w:sz w:val="24"/>
        </w:rPr>
        <w:t xml:space="preserve"> </w:t>
      </w:r>
      <w:r>
        <w:rPr>
          <w:rFonts w:ascii="Times New Roman" w:hAnsi="Times New Roman"/>
          <w:noProof/>
          <w:sz w:val="24"/>
        </w:rPr>
        <w:t>noziegumu izpildītājiem, nevis cilvēku tirdzniecībā cietušajiem</w:t>
      </w:r>
      <w:r>
        <w:rPr>
          <w:rStyle w:val="FootnoteReference"/>
          <w:rFonts w:ascii="Times New Roman" w:hAnsi="Times New Roman"/>
          <w:noProof/>
          <w:sz w:val="24"/>
        </w:rPr>
        <w:footnoteReference w:id="29"/>
      </w:r>
      <w:r>
        <w:rPr>
          <w:rFonts w:ascii="Times New Roman" w:hAnsi="Times New Roman"/>
          <w:noProof/>
          <w:sz w:val="24"/>
        </w:rPr>
        <w:t>.</w:t>
      </w:r>
    </w:p>
    <w:p w:rsidR="00C46F70" w:rsidRDefault="00CA6337">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eastAsia="Times New Roman" w:hAnsi="Times New Roman" w:cs="Times New Roman"/>
          <w:noProof/>
          <w:sz w:val="24"/>
          <w:szCs w:val="24"/>
        </w:rPr>
      </w:pPr>
      <w:r>
        <w:rPr>
          <w:rFonts w:ascii="Times New Roman" w:hAnsi="Times New Roman"/>
          <w:b/>
          <w:noProof/>
          <w:sz w:val="24"/>
          <w:bdr w:val="none" w:sz="0" w:space="0" w:color="auto"/>
        </w:rPr>
        <w:t xml:space="preserve">Komisija iesaka īstenot saskaņotus un koordinētus centienus, lai novērstu un apkarotu bērnu </w:t>
      </w:r>
      <w:r>
        <w:rPr>
          <w:rFonts w:ascii="Times New Roman" w:hAnsi="Times New Roman"/>
          <w:b/>
          <w:noProof/>
          <w:sz w:val="24"/>
          <w:bdr w:val="none" w:sz="0" w:space="0" w:color="auto"/>
        </w:rPr>
        <w:t>tirdzniecību, samazinātu riska grupā esošo bērnu neaizsargātību, cietušajiem bērniem nodrošinātu pienācīgu atbalstu un gādātu, ka bērnu aizsardzības dimensija</w:t>
      </w:r>
      <w:r>
        <w:rPr>
          <w:rFonts w:ascii="Times New Roman" w:hAnsi="Times New Roman"/>
          <w:noProof/>
          <w:sz w:val="24"/>
          <w:bdr w:val="none" w:sz="0" w:space="0" w:color="auto"/>
        </w:rPr>
        <w:t xml:space="preserve"> tiek iekļauta visos pasākumos, kas attiecas uz bērniem, īpaši stiprinot integrētas bērnu aizsardz</w:t>
      </w:r>
      <w:r>
        <w:rPr>
          <w:rFonts w:ascii="Times New Roman" w:hAnsi="Times New Roman"/>
          <w:noProof/>
          <w:sz w:val="24"/>
          <w:bdr w:val="none" w:sz="0" w:space="0" w:color="auto"/>
        </w:rPr>
        <w:t>ības sistēmas un pārrobežu sadarbību šajā kontekstā</w:t>
      </w:r>
      <w:r>
        <w:rPr>
          <w:rStyle w:val="FootnoteReference"/>
          <w:rFonts w:ascii="Times New Roman" w:hAnsi="Times New Roman"/>
          <w:noProof/>
          <w:sz w:val="24"/>
          <w:bdr w:val="none" w:sz="0" w:space="0" w:color="auto"/>
        </w:rPr>
        <w:footnoteReference w:id="30"/>
      </w:r>
      <w:r>
        <w:rPr>
          <w:rFonts w:ascii="Times New Roman" w:hAnsi="Times New Roman"/>
          <w:noProof/>
          <w:sz w:val="24"/>
          <w:bdr w:val="none" w:sz="0" w:space="0" w:color="auto"/>
        </w:rPr>
        <w:t>.</w:t>
      </w:r>
    </w:p>
    <w:p w:rsidR="00C46F70" w:rsidRDefault="00CA6337">
      <w:pPr>
        <w:pStyle w:val="Body"/>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Cilvēku tirdzniecības un organizētās noziedzības tendences</w:t>
      </w:r>
    </w:p>
    <w:p w:rsidR="00C46F70" w:rsidRDefault="00CA6337">
      <w:pPr>
        <w:pStyle w:val="Body"/>
        <w:jc w:val="both"/>
        <w:rPr>
          <w:rFonts w:ascii="Times New Roman" w:hAnsi="Times New Roman"/>
          <w:noProof/>
          <w:sz w:val="24"/>
          <w:szCs w:val="24"/>
        </w:rPr>
      </w:pPr>
      <w:r>
        <w:rPr>
          <w:rFonts w:ascii="Times New Roman" w:hAnsi="Times New Roman"/>
          <w:noProof/>
          <w:sz w:val="24"/>
        </w:rPr>
        <w:t xml:space="preserve">Cilvēku tirdzniecība </w:t>
      </w:r>
      <w:r>
        <w:rPr>
          <w:rFonts w:ascii="Times New Roman" w:hAnsi="Times New Roman"/>
          <w:b/>
          <w:noProof/>
          <w:sz w:val="24"/>
        </w:rPr>
        <w:t>parasti ir saistīta ar organizēto noziedzību</w:t>
      </w:r>
      <w:r>
        <w:rPr>
          <w:rFonts w:ascii="Times New Roman" w:hAnsi="Times New Roman"/>
          <w:noProof/>
          <w:sz w:val="24"/>
        </w:rPr>
        <w:t>, lai gan dažos gadījumos neliels skaits cietušo tiek izmantoti/ekspluatēti lo</w:t>
      </w:r>
      <w:r>
        <w:rPr>
          <w:rFonts w:ascii="Times New Roman" w:hAnsi="Times New Roman"/>
          <w:noProof/>
          <w:sz w:val="24"/>
        </w:rPr>
        <w:t xml:space="preserve">kāli un </w:t>
      </w:r>
      <w:r>
        <w:rPr>
          <w:rFonts w:ascii="Times New Roman" w:hAnsi="Times New Roman"/>
          <w:b/>
          <w:noProof/>
          <w:sz w:val="24"/>
        </w:rPr>
        <w:t>atsevišķi noziedznieki darbojas ar ierobežotu organizāciju</w:t>
      </w:r>
      <w:r>
        <w:rPr>
          <w:rFonts w:ascii="Times New Roman" w:hAnsi="Times New Roman"/>
          <w:noProof/>
          <w:sz w:val="24"/>
        </w:rPr>
        <w:t>. Tirdzniecībā iesaistītās noziedzīgās organizācijas raksturo nenoteikti, elastīgi tīkli, kuri ātri pielāgojas un kurus vieno radniecība vai etniskā piederība. Bieži vien dalībnieku lomas ma</w:t>
      </w:r>
      <w:r>
        <w:rPr>
          <w:rFonts w:ascii="Times New Roman" w:hAnsi="Times New Roman"/>
          <w:noProof/>
          <w:sz w:val="24"/>
        </w:rPr>
        <w:t>inās, un organizācijas parasti darbojas vairākās valstīs</w:t>
      </w:r>
      <w:r>
        <w:rPr>
          <w:rFonts w:ascii="Times New Roman" w:hAnsi="Times New Roman"/>
          <w:noProof/>
          <w:sz w:val="24"/>
          <w:vertAlign w:val="superscript"/>
        </w:rPr>
        <w:t xml:space="preserve"> </w:t>
      </w:r>
      <w:r>
        <w:rPr>
          <w:rFonts w:ascii="Times New Roman" w:hAnsi="Times New Roman"/>
          <w:noProof/>
          <w:sz w:val="24"/>
          <w:vertAlign w:val="superscript"/>
        </w:rPr>
        <w:footnoteReference w:id="31"/>
      </w:r>
      <w:r>
        <w:rPr>
          <w:rFonts w:ascii="Times New Roman" w:hAnsi="Times New Roman"/>
          <w:noProof/>
          <w:sz w:val="24"/>
          <w:szCs w:val="24"/>
        </w:rPr>
        <w:t>.</w:t>
      </w:r>
    </w:p>
    <w:p w:rsidR="00C46F70" w:rsidRDefault="00CA6337">
      <w:pPr>
        <w:pStyle w:val="Body"/>
        <w:jc w:val="both"/>
        <w:rPr>
          <w:rFonts w:ascii="Times New Roman" w:hAnsi="Times New Roman"/>
          <w:noProof/>
          <w:sz w:val="24"/>
          <w:szCs w:val="24"/>
        </w:rPr>
      </w:pPr>
      <w:r>
        <w:rPr>
          <w:rFonts w:ascii="Times New Roman" w:hAnsi="Times New Roman"/>
          <w:noProof/>
          <w:sz w:val="24"/>
        </w:rPr>
        <w:t xml:space="preserve">Cilvēku tirdzniecībai, kā nopietnam organizētās noziedzības veidam un ievērojamam draudam attiecībā uz drošību, ir nepieciešami </w:t>
      </w:r>
      <w:r>
        <w:rPr>
          <w:rFonts w:ascii="Times New Roman" w:hAnsi="Times New Roman"/>
          <w:b/>
          <w:noProof/>
          <w:sz w:val="24"/>
        </w:rPr>
        <w:t>koordinēti un mērķtiecīgi ES līmeņa politikas pretpasākumi</w:t>
      </w:r>
      <w:r>
        <w:rPr>
          <w:rFonts w:ascii="Times New Roman" w:hAnsi="Times New Roman"/>
          <w:noProof/>
          <w:sz w:val="24"/>
        </w:rPr>
        <w:t>, kā notei</w:t>
      </w:r>
      <w:r>
        <w:rPr>
          <w:rFonts w:ascii="Times New Roman" w:hAnsi="Times New Roman"/>
          <w:noProof/>
          <w:sz w:val="24"/>
        </w:rPr>
        <w:t xml:space="preserve">kts </w:t>
      </w:r>
      <w:r>
        <w:rPr>
          <w:rFonts w:ascii="Times New Roman" w:eastAsiaTheme="minorHAnsi" w:hAnsi="Times New Roman"/>
          <w:b/>
          <w:noProof/>
          <w:sz w:val="24"/>
        </w:rPr>
        <w:t>Eiropas Drošības programmā</w:t>
      </w:r>
      <w:r>
        <w:rPr>
          <w:rFonts w:ascii="Times New Roman" w:hAnsi="Times New Roman"/>
          <w:noProof/>
          <w:sz w:val="24"/>
        </w:rPr>
        <w:t xml:space="preserve">. Pretpasākumos jāietver arī </w:t>
      </w:r>
      <w:r>
        <w:rPr>
          <w:rFonts w:ascii="Times New Roman" w:hAnsi="Times New Roman"/>
          <w:b/>
          <w:noProof/>
          <w:sz w:val="24"/>
        </w:rPr>
        <w:t>citu savstarpēji saistīto noziegumu</w:t>
      </w:r>
      <w:r>
        <w:rPr>
          <w:rFonts w:ascii="Times New Roman" w:hAnsi="Times New Roman"/>
          <w:noProof/>
          <w:sz w:val="24"/>
        </w:rPr>
        <w:t xml:space="preserve">, piemēram, dokumentu viltošanas, narkotiku kontrabandas, kibernoziegumu, bērnu pornogrāfijas, migrantu kontrabandas un ar pabalstiem saistītas krāpšanas, </w:t>
      </w:r>
      <w:r>
        <w:rPr>
          <w:rFonts w:ascii="Times New Roman" w:hAnsi="Times New Roman"/>
          <w:b/>
          <w:noProof/>
          <w:sz w:val="24"/>
        </w:rPr>
        <w:t>novēršana</w:t>
      </w:r>
      <w:r>
        <w:rPr>
          <w:rFonts w:ascii="Times New Roman" w:hAnsi="Times New Roman"/>
          <w:noProof/>
          <w:sz w:val="24"/>
        </w:rPr>
        <w:t xml:space="preserve">. </w:t>
      </w:r>
      <w:r>
        <w:rPr>
          <w:rFonts w:ascii="Times New Roman" w:hAnsi="Times New Roman"/>
          <w:b/>
          <w:noProof/>
          <w:sz w:val="24"/>
        </w:rPr>
        <w:t>Šādu saistīto noziegumu esība nereti nozīmē, ka cilvēku tirdzniecība netiek izmeklēta vai reģistrēta</w:t>
      </w:r>
      <w:r>
        <w:rPr>
          <w:rStyle w:val="FootnoteReference"/>
          <w:rFonts w:ascii="Times New Roman" w:hAnsi="Times New Roman"/>
          <w:noProof/>
          <w:sz w:val="24"/>
        </w:rPr>
        <w:footnoteReference w:id="32"/>
      </w:r>
      <w:r>
        <w:rPr>
          <w:rFonts w:ascii="Times New Roman" w:hAnsi="Times New Roman"/>
          <w:b/>
          <w:noProof/>
          <w:sz w:val="24"/>
        </w:rPr>
        <w:t>.</w:t>
      </w:r>
      <w:r>
        <w:rPr>
          <w:rFonts w:ascii="Times New Roman" w:hAnsi="Times New Roman"/>
          <w:noProof/>
          <w:sz w:val="24"/>
        </w:rPr>
        <w:t xml:space="preserve"> Cilvēku tirdzniecības nemitīgi mainīgie veidi un tirgotāju spēja pielāgoties jaunām situācijām padara noziegumu izmeklēšanu un personu saukšan</w:t>
      </w:r>
      <w:r>
        <w:rPr>
          <w:rFonts w:ascii="Times New Roman" w:hAnsi="Times New Roman"/>
          <w:noProof/>
          <w:sz w:val="24"/>
        </w:rPr>
        <w:t>u pie kriminālatbildības vēl grūtāku.</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b/>
          <w:noProof/>
          <w:sz w:val="24"/>
          <w:u w:val="single"/>
        </w:rPr>
        <w:t>Cilvēku tirdzniecības tendences migrācijas un patvēruma meklēšanas kontekstā</w:t>
      </w:r>
    </w:p>
    <w:p w:rsidR="00C46F70" w:rsidRDefault="00CA6337">
      <w:pPr>
        <w:pStyle w:val="Body"/>
        <w:jc w:val="both"/>
        <w:rPr>
          <w:rFonts w:ascii="Times New Roman" w:hAnsi="Times New Roman"/>
          <w:noProof/>
          <w:sz w:val="24"/>
          <w:szCs w:val="24"/>
        </w:rPr>
      </w:pPr>
      <w:r>
        <w:rPr>
          <w:rFonts w:ascii="Times New Roman" w:hAnsi="Times New Roman"/>
          <w:noProof/>
          <w:sz w:val="24"/>
        </w:rPr>
        <w:t>Saskaņā ar Komisijas jaunāko Paziņojumu par situāciju attiecībā uz prioritāro pasākumu īstenošanu saskaņā ar Eiropas programmu migrācijas jom</w:t>
      </w:r>
      <w:r>
        <w:rPr>
          <w:rFonts w:ascii="Times New Roman" w:hAnsi="Times New Roman"/>
          <w:noProof/>
          <w:sz w:val="24"/>
        </w:rPr>
        <w:t>ā</w:t>
      </w:r>
      <w:r>
        <w:rPr>
          <w:rFonts w:ascii="Times New Roman" w:hAnsi="Times New Roman"/>
          <w:noProof/>
          <w:color w:val="auto"/>
          <w:sz w:val="24"/>
          <w:vertAlign w:val="superscript"/>
        </w:rPr>
        <w:footnoteReference w:id="33"/>
      </w:r>
      <w:r>
        <w:rPr>
          <w:rFonts w:ascii="Times New Roman" w:hAnsi="Times New Roman"/>
          <w:noProof/>
          <w:sz w:val="24"/>
        </w:rPr>
        <w:t xml:space="preserve"> pastāv pārliecinoši pierādījumi, ka </w:t>
      </w:r>
      <w:r>
        <w:rPr>
          <w:rFonts w:ascii="Times New Roman" w:hAnsi="Times New Roman"/>
          <w:b/>
          <w:noProof/>
          <w:sz w:val="24"/>
        </w:rPr>
        <w:t>cilvēku tirdzniecībā iesaistītie noziedzīgie tīkli izmanto migrācijas krīzi, lai par savu mērķi izvēlētos visneaizsargātākās personas, jo īpaši sievietes un bērnus</w:t>
      </w:r>
      <w:r>
        <w:rPr>
          <w:rFonts w:ascii="Times New Roman" w:hAnsi="Times New Roman"/>
          <w:noProof/>
          <w:sz w:val="24"/>
        </w:rPr>
        <w:t xml:space="preserve">. Cilvēku tirgotāji arvien biežāk ļaunprātīgi izmanto </w:t>
      </w:r>
      <w:r>
        <w:rPr>
          <w:rFonts w:ascii="Times New Roman" w:hAnsi="Times New Roman"/>
          <w:noProof/>
          <w:sz w:val="24"/>
        </w:rPr>
        <w:t xml:space="preserve">patvēruma sistēmas, kuras ne vienmēr ir sasaistītas ar mehānismiem cietušo nosūtīšanai uz atbalsta dienestiem. Ir konstatēts, ka </w:t>
      </w:r>
      <w:r>
        <w:rPr>
          <w:rFonts w:ascii="Times New Roman" w:hAnsi="Times New Roman"/>
          <w:b/>
          <w:noProof/>
          <w:sz w:val="24"/>
        </w:rPr>
        <w:t>satraucoši strauji pieaug to Nigērijas valstspiederības sieviešu un meiteņu skaits</w:t>
      </w:r>
      <w:r>
        <w:rPr>
          <w:rFonts w:ascii="Times New Roman" w:hAnsi="Times New Roman"/>
          <w:noProof/>
          <w:sz w:val="24"/>
        </w:rPr>
        <w:t>, kuras pamet Lībiju (laikposmā no 2015. gada</w:t>
      </w:r>
      <w:r>
        <w:rPr>
          <w:rFonts w:ascii="Times New Roman" w:hAnsi="Times New Roman"/>
          <w:noProof/>
          <w:sz w:val="24"/>
        </w:rPr>
        <w:t xml:space="preserve"> janvāra līdz septembrim šis skaits bija 4371, bet iepriekšējā gadā – 1008, un saskaņā ar SMO Itālijā veiktajām aplēsēm 80% no šīm sievietēm un meitenēm bija cilvēku tirdzniecības upuri)</w:t>
      </w:r>
      <w:r>
        <w:rPr>
          <w:rStyle w:val="FootnoteReference"/>
          <w:rFonts w:ascii="Times New Roman" w:hAnsi="Times New Roman"/>
          <w:noProof/>
          <w:sz w:val="24"/>
        </w:rPr>
        <w:footnoteReference w:id="34"/>
      </w:r>
      <w:r>
        <w:rPr>
          <w:rFonts w:ascii="Times New Roman" w:hAnsi="Times New Roman"/>
          <w:noProof/>
          <w:sz w:val="24"/>
        </w:rPr>
        <w:t>, un pastāv vispārējas bažas par riska palielināšanos attiecībā uz ci</w:t>
      </w:r>
      <w:r>
        <w:rPr>
          <w:rFonts w:ascii="Times New Roman" w:hAnsi="Times New Roman"/>
          <w:noProof/>
          <w:sz w:val="24"/>
        </w:rPr>
        <w:t xml:space="preserve">lvēku tirdzniecību seksuālās izmantošanas mērķiem. </w:t>
      </w:r>
    </w:p>
    <w:p w:rsidR="00CA6337" w:rsidRDefault="00CA6337">
      <w:pPr>
        <w:pStyle w:val="Body"/>
        <w:jc w:val="both"/>
        <w:rPr>
          <w:rFonts w:ascii="Times New Roman" w:hAnsi="Times New Roman"/>
          <w:noProof/>
          <w:sz w:val="24"/>
        </w:rPr>
      </w:pPr>
      <w:r>
        <w:rPr>
          <w:rFonts w:ascii="Times New Roman" w:hAnsi="Times New Roman"/>
          <w:noProof/>
          <w:sz w:val="24"/>
        </w:rPr>
        <w:t>Kā vienu no instrumentiem migrācijas krīzes jautājuma risināšanai 2015. gadā ES ir būtiski pastiprinājusi sadarbību ar trešām valstīm, un cilvēku tirdzniecība ir viena no galvenajām sadarbības jomām attie</w:t>
      </w:r>
      <w:r>
        <w:rPr>
          <w:rFonts w:ascii="Times New Roman" w:hAnsi="Times New Roman"/>
          <w:noProof/>
          <w:sz w:val="24"/>
        </w:rPr>
        <w:t>cībās ar Āfrikas valstīm, Rietumbalkānu valstīm un Turciju.</w:t>
      </w:r>
    </w:p>
    <w:p w:rsidR="00CA6337" w:rsidRDefault="00CA6337" w:rsidP="00CA6337">
      <w:pPr>
        <w:pStyle w:val="Body"/>
        <w:rPr>
          <w:noProof/>
        </w:rPr>
      </w:pPr>
      <w:r>
        <w:rPr>
          <w:noProof/>
        </w:rPr>
        <w:br w:type="page"/>
      </w:r>
    </w:p>
    <w:p w:rsidR="00C46F70" w:rsidRDefault="00C46F70">
      <w:pPr>
        <w:pStyle w:val="Body"/>
        <w:jc w:val="both"/>
        <w:rPr>
          <w:rFonts w:ascii="Times New Roman" w:eastAsia="Times New Roman" w:hAnsi="Times New Roman" w:cs="Times New Roman"/>
          <w:noProof/>
          <w:sz w:val="24"/>
          <w:szCs w:val="24"/>
        </w:rPr>
      </w:pPr>
      <w:bookmarkStart w:id="1" w:name="_GoBack"/>
      <w:bookmarkEnd w:id="1"/>
    </w:p>
    <w:p w:rsidR="00C46F70" w:rsidRDefault="00CA6337">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hAnsi="Times New Roman"/>
          <w:noProof/>
          <w:sz w:val="24"/>
          <w:szCs w:val="24"/>
        </w:rPr>
      </w:pPr>
      <w:r>
        <w:rPr>
          <w:rFonts w:ascii="Times New Roman" w:hAnsi="Times New Roman"/>
          <w:b/>
          <w:noProof/>
          <w:sz w:val="24"/>
        </w:rPr>
        <w:t>“Karsto punktu pieejas” ietvaros ir jānodrošina koordinācija uz vietas starp visiem dažādajiem dalībniekiem</w:t>
      </w:r>
      <w:r>
        <w:rPr>
          <w:rFonts w:ascii="Times New Roman" w:hAnsi="Times New Roman"/>
          <w:noProof/>
          <w:sz w:val="24"/>
        </w:rPr>
        <w:t xml:space="preserve">, kas ir iesaistīti trešo valstu valstspiederīgo pārbaudē, pirkstu nospiedumu noņemšanā, </w:t>
      </w:r>
      <w:r>
        <w:rPr>
          <w:rFonts w:ascii="Times New Roman" w:hAnsi="Times New Roman"/>
          <w:noProof/>
          <w:sz w:val="24"/>
        </w:rPr>
        <w:t>identifikācijā un reģistrēšanā, kā arī citos uzņemšanas neatliekamajos pasākumos, lai cilvēku tirdzniecībā cietušos ātri identificētu un nosūtītu uz atbalsta dienestiem, kā arī nodrošinātu atbilstošus aprūpes un aizsardzības līmeņus. Tam būtu jāietver atbi</w:t>
      </w:r>
      <w:r>
        <w:rPr>
          <w:rFonts w:ascii="Times New Roman" w:hAnsi="Times New Roman"/>
          <w:noProof/>
          <w:sz w:val="24"/>
        </w:rPr>
        <w:t>lstošas apmācības nodrošināšana ar cietušajiem tiešā saskarē esošajiem darbiniekiem</w:t>
      </w:r>
      <w:r>
        <w:rPr>
          <w:rStyle w:val="FootnoteReference"/>
          <w:rFonts w:ascii="Times New Roman" w:hAnsi="Times New Roman" w:cs="Times New Roman"/>
          <w:noProof/>
        </w:rPr>
        <w:footnoteReference w:id="35"/>
      </w:r>
      <w:r>
        <w:rPr>
          <w:rFonts w:ascii="Times New Roman" w:hAnsi="Times New Roman" w:cs="Times New Roman"/>
          <w:noProof/>
          <w:sz w:val="24"/>
        </w:rPr>
        <w:t>.</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b/>
          <w:noProof/>
          <w:sz w:val="24"/>
          <w:u w:val="single"/>
        </w:rPr>
        <w:t>Tendences interneta un jauno tehnoloģiju izmantošanas jomā</w:t>
      </w:r>
    </w:p>
    <w:p w:rsidR="00C46F70" w:rsidRDefault="00CA6337">
      <w:pPr>
        <w:pStyle w:val="Body"/>
        <w:jc w:val="both"/>
        <w:rPr>
          <w:rFonts w:ascii="Times New Roman" w:eastAsia="Times New Roman" w:hAnsi="Times New Roman" w:cs="Times New Roman"/>
          <w:b/>
          <w:bCs/>
          <w:noProof/>
          <w:sz w:val="24"/>
          <w:szCs w:val="24"/>
        </w:rPr>
      </w:pPr>
      <w:r>
        <w:rPr>
          <w:rFonts w:ascii="Times New Roman" w:hAnsi="Times New Roman"/>
          <w:noProof/>
          <w:sz w:val="24"/>
        </w:rPr>
        <w:t>Internets un jaunās tehnoloģijas sniedz iespēju organizētās noziedzības grupām piekļūt lielam skaitam potenciāl</w:t>
      </w:r>
      <w:r>
        <w:rPr>
          <w:rFonts w:ascii="Times New Roman" w:hAnsi="Times New Roman"/>
          <w:noProof/>
          <w:sz w:val="24"/>
        </w:rPr>
        <w:t xml:space="preserve">o upuru, slēpt savas aktivitātes un īsā periodā veikt plaša spektra noziedzīgas darbības daudz lielākā apmērā nekā pirms tam. Dalībvalstis ziņo, ka </w:t>
      </w:r>
      <w:r>
        <w:rPr>
          <w:rFonts w:ascii="Times New Roman" w:hAnsi="Times New Roman"/>
          <w:b/>
          <w:noProof/>
          <w:sz w:val="24"/>
        </w:rPr>
        <w:t xml:space="preserve">daudzi cilvēku tirdzniecības upuri tiek savervēti tiešsaistē, jo īpaši seksuālās izmantošanas un darbaspēka </w:t>
      </w:r>
      <w:r>
        <w:rPr>
          <w:rFonts w:ascii="Times New Roman" w:hAnsi="Times New Roman"/>
          <w:b/>
          <w:noProof/>
          <w:sz w:val="24"/>
        </w:rPr>
        <w:t>ekspluatācijas mērķiem</w:t>
      </w:r>
      <w:r>
        <w:rPr>
          <w:rFonts w:ascii="Times New Roman" w:hAnsi="Times New Roman"/>
          <w:noProof/>
          <w:sz w:val="24"/>
        </w:rPr>
        <w:t>.</w:t>
      </w:r>
    </w:p>
    <w:p w:rsidR="00C46F70" w:rsidRDefault="00CA633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noProof/>
          <w:sz w:val="24"/>
          <w:szCs w:val="24"/>
        </w:rPr>
      </w:pPr>
      <w:r>
        <w:rPr>
          <w:rFonts w:ascii="Times New Roman" w:hAnsi="Times New Roman"/>
          <w:noProof/>
          <w:sz w:val="24"/>
        </w:rPr>
        <w:t xml:space="preserve">Nepieciešams īstenot pasākumus, lai </w:t>
      </w:r>
      <w:r>
        <w:rPr>
          <w:rFonts w:ascii="Times New Roman" w:hAnsi="Times New Roman"/>
          <w:b/>
          <w:noProof/>
          <w:sz w:val="24"/>
        </w:rPr>
        <w:t>novērstu un aizkavētu jauno tehnoloģiju izmantošanu</w:t>
      </w:r>
      <w:r>
        <w:rPr>
          <w:rFonts w:ascii="Times New Roman" w:hAnsi="Times New Roman"/>
          <w:noProof/>
          <w:sz w:val="24"/>
        </w:rPr>
        <w:t xml:space="preserve"> kā instrumentu cilvēku tirdzniecības upuru vervēšanai.</w:t>
      </w:r>
    </w:p>
    <w:p w:rsidR="00C46F70" w:rsidRDefault="00CA6337">
      <w:pPr>
        <w:pStyle w:val="Heading"/>
        <w:numPr>
          <w:ilvl w:val="0"/>
          <w:numId w:val="10"/>
        </w:numPr>
        <w:spacing w:after="240"/>
        <w:rPr>
          <w:rFonts w:ascii="Times New Roman" w:eastAsia="Times New Roman" w:hAnsi="Times New Roman" w:cs="Times New Roman"/>
          <w:noProof/>
          <w:color w:val="000000"/>
          <w:u w:color="000000"/>
        </w:rPr>
      </w:pPr>
      <w:r>
        <w:rPr>
          <w:rFonts w:ascii="Times New Roman" w:hAnsi="Times New Roman"/>
          <w:noProof/>
          <w:color w:val="000000"/>
          <w:u w:color="000000"/>
        </w:rPr>
        <w:t>CILVĒKU TIRDZNIECĪBAS NOVĒRŠANAS PASĀKUMU REZULTĀTI</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Lielākā daļa dalībvalstu ir uzsvērušas, ka ir </w:t>
      </w:r>
      <w:r>
        <w:rPr>
          <w:rFonts w:ascii="Times New Roman" w:hAnsi="Times New Roman"/>
          <w:b/>
          <w:noProof/>
          <w:sz w:val="24"/>
        </w:rPr>
        <w:t>grūti novērtēt cilvēku tirdzniecības novēršanas pasākumu rezultātus un ietekmi</w:t>
      </w:r>
      <w:r>
        <w:rPr>
          <w:rFonts w:ascii="Times New Roman" w:hAnsi="Times New Roman"/>
          <w:noProof/>
          <w:sz w:val="24"/>
        </w:rPr>
        <w:t>. Tomēr tikai dažas no tām ir izstrādājušas atbilstošus rādītājus vai izvērtējušas savas valsts stratēģijas un rīcības plānus.</w:t>
      </w:r>
    </w:p>
    <w:p w:rsidR="00C46F70" w:rsidRDefault="00CA633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noProof/>
          <w:sz w:val="24"/>
          <w:szCs w:val="24"/>
        </w:rPr>
      </w:pPr>
      <w:r>
        <w:rPr>
          <w:rFonts w:ascii="Times New Roman" w:hAnsi="Times New Roman"/>
          <w:noProof/>
          <w:sz w:val="24"/>
        </w:rPr>
        <w:t>Komis</w:t>
      </w:r>
      <w:r>
        <w:rPr>
          <w:rFonts w:ascii="Times New Roman" w:hAnsi="Times New Roman"/>
          <w:noProof/>
          <w:sz w:val="24"/>
        </w:rPr>
        <w:t xml:space="preserve">ija uzskata, ka, lai nodrošinātu efektīvas, tālredzīgas politikas un pasākumus, ir ļoti svarīgi </w:t>
      </w:r>
      <w:r>
        <w:rPr>
          <w:rFonts w:ascii="Times New Roman" w:hAnsi="Times New Roman"/>
          <w:b/>
          <w:noProof/>
          <w:sz w:val="24"/>
        </w:rPr>
        <w:t>sistemātiski novērtēt</w:t>
      </w:r>
      <w:r>
        <w:rPr>
          <w:rFonts w:ascii="Times New Roman" w:hAnsi="Times New Roman"/>
          <w:noProof/>
          <w:sz w:val="24"/>
        </w:rPr>
        <w:t xml:space="preserve"> </w:t>
      </w:r>
      <w:r>
        <w:rPr>
          <w:rFonts w:ascii="Times New Roman" w:hAnsi="Times New Roman"/>
          <w:b/>
          <w:noProof/>
          <w:sz w:val="24"/>
        </w:rPr>
        <w:t>dalībvalstu stratēģijas un rīcības plānus, kā arī īstenoto pasākumu rezultātus un ietekmi</w:t>
      </w:r>
      <w:r>
        <w:rPr>
          <w:rFonts w:ascii="Times New Roman" w:hAnsi="Times New Roman"/>
          <w:noProof/>
          <w:sz w:val="24"/>
        </w:rPr>
        <w:t>.</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Šajā ziņojuma sadaļā ir izcelti pamatpasākumi, </w:t>
      </w:r>
      <w:r>
        <w:rPr>
          <w:rFonts w:ascii="Times New Roman" w:hAnsi="Times New Roman"/>
          <w:noProof/>
          <w:sz w:val="24"/>
        </w:rPr>
        <w:t>kurus dalībvalstis veic trīs galvenajās tematiskajās jomās, kas noteiktas Cilvēku tirdzniecības novēršanas direktīvā un ES Stratēģijā. Šīs jomas ir sīkāk aplūkotas šim ziņojumam pievienotajā dienestu darba dokumentā. Dienestu darba dokumentā ir iekļauti ar</w:t>
      </w:r>
      <w:r>
        <w:rPr>
          <w:rFonts w:ascii="Times New Roman" w:hAnsi="Times New Roman"/>
          <w:noProof/>
          <w:sz w:val="24"/>
        </w:rPr>
        <w:t>ī dalībvalstu sniegtie piemēri un Komisijas īstenotie pasākumi attiecīgajās jomās.</w:t>
      </w:r>
    </w:p>
    <w:p w:rsidR="00C46F70" w:rsidRDefault="00CA6337">
      <w:pPr>
        <w:pStyle w:val="Heading2"/>
        <w:numPr>
          <w:ilvl w:val="1"/>
          <w:numId w:val="5"/>
        </w:numPr>
        <w:spacing w:after="240"/>
        <w:rPr>
          <w:rFonts w:ascii="Times New Roman" w:eastAsia="Times New Roman" w:hAnsi="Times New Roman" w:cs="Times New Roman"/>
          <w:noProof/>
          <w:color w:val="000000"/>
          <w:u w:val="single" w:color="000000"/>
        </w:rPr>
      </w:pPr>
      <w:r>
        <w:rPr>
          <w:rFonts w:ascii="Times New Roman" w:hAnsi="Times New Roman"/>
          <w:noProof/>
          <w:color w:val="000000"/>
          <w:u w:val="single" w:color="000000"/>
        </w:rPr>
        <w:t>Krimināltiesības, izmeklēšana un kriminālvajāšana</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b/>
          <w:noProof/>
          <w:sz w:val="24"/>
        </w:rPr>
        <w:t>Izmeklēšanas un kriminālvajāšanas skaita palielināšana</w:t>
      </w:r>
      <w:r>
        <w:rPr>
          <w:rFonts w:ascii="Times New Roman" w:hAnsi="Times New Roman"/>
          <w:noProof/>
          <w:sz w:val="24"/>
        </w:rPr>
        <w:t xml:space="preserve"> cilvēku tirdzniecības jomā ir viena no ES juridiskā un politiskā reg</w:t>
      </w:r>
      <w:r>
        <w:rPr>
          <w:rFonts w:ascii="Times New Roman" w:hAnsi="Times New Roman"/>
          <w:noProof/>
          <w:sz w:val="24"/>
        </w:rPr>
        <w:t>ulējuma galvenajām prioritātēm.</w:t>
      </w:r>
    </w:p>
    <w:p w:rsidR="00C46F70" w:rsidRDefault="00CA6337">
      <w:pPr>
        <w:pStyle w:val="Body"/>
        <w:jc w:val="both"/>
        <w:rPr>
          <w:rFonts w:ascii="Times New Roman" w:hAnsi="Times New Roman"/>
          <w:noProof/>
          <w:sz w:val="24"/>
          <w:szCs w:val="24"/>
        </w:rPr>
      </w:pPr>
      <w:r>
        <w:rPr>
          <w:rFonts w:ascii="Times New Roman" w:hAnsi="Times New Roman"/>
          <w:b/>
          <w:noProof/>
          <w:sz w:val="24"/>
        </w:rPr>
        <w:t>Kriminālvajāšana un vainīgo notiesāšana joprojām ir satraucoši zemā līmenī</w:t>
      </w:r>
      <w:r>
        <w:rPr>
          <w:rFonts w:ascii="Times New Roman" w:hAnsi="Times New Roman"/>
          <w:noProof/>
          <w:sz w:val="24"/>
        </w:rPr>
        <w:t xml:space="preserve">, jo īpaši salīdzinājumā ar identificēto cietušo skaitu. Lai gan šīs jomas izmeklēšanās ir nepieciešams pietiekami daudz pierādījumu, lai nodrošinātu </w:t>
      </w:r>
      <w:r>
        <w:rPr>
          <w:rFonts w:ascii="Times New Roman" w:hAnsi="Times New Roman"/>
          <w:noProof/>
          <w:sz w:val="24"/>
        </w:rPr>
        <w:t xml:space="preserve">notiesāšanu, ziņojumā apkopotā informācija liecina, ka dalībvalstis neizmanto pietiekami efektīvus izmeklēšanas līdzekļus. Finanšu izmeklēšanas galvenokārt tiek veiktas uz atsevišķu gadījumu pamata, nevis sistemātiski, un nereti aprobežojas ar izmeklēšanu </w:t>
      </w:r>
      <w:r>
        <w:rPr>
          <w:rFonts w:ascii="Times New Roman" w:hAnsi="Times New Roman"/>
          <w:noProof/>
          <w:sz w:val="24"/>
        </w:rPr>
        <w:t>noziedzīgi iegūtu līdzekļu atgūšanai</w:t>
      </w:r>
      <w:r>
        <w:rPr>
          <w:rStyle w:val="FootnoteReference"/>
          <w:rFonts w:ascii="Times New Roman" w:hAnsi="Times New Roman"/>
          <w:noProof/>
          <w:sz w:val="24"/>
        </w:rPr>
        <w:footnoteReference w:id="36"/>
      </w:r>
      <w:r>
        <w:rPr>
          <w:rFonts w:ascii="Times New Roman" w:hAnsi="Times New Roman"/>
          <w:noProof/>
          <w:sz w:val="24"/>
        </w:rPr>
        <w:t>. Tas ir pretrunā Finanšu darījumu darba grupas (</w:t>
      </w:r>
      <w:r>
        <w:rPr>
          <w:rFonts w:ascii="Times New Roman" w:hAnsi="Times New Roman"/>
          <w:i/>
          <w:noProof/>
          <w:sz w:val="24"/>
        </w:rPr>
        <w:t>FATF</w:t>
      </w:r>
      <w:r>
        <w:rPr>
          <w:rFonts w:ascii="Times New Roman" w:hAnsi="Times New Roman"/>
          <w:noProof/>
          <w:sz w:val="24"/>
        </w:rPr>
        <w:t>) standartiem</w:t>
      </w:r>
      <w:r>
        <w:rPr>
          <w:rStyle w:val="FootnoteReference"/>
          <w:rFonts w:ascii="Times New Roman" w:hAnsi="Times New Roman"/>
          <w:noProof/>
          <w:sz w:val="24"/>
        </w:rPr>
        <w:footnoteReference w:id="37"/>
      </w:r>
      <w:r>
        <w:rPr>
          <w:rFonts w:ascii="Times New Roman" w:hAnsi="Times New Roman"/>
          <w:noProof/>
          <w:sz w:val="24"/>
        </w:rPr>
        <w:t xml:space="preserve"> un Padomes ieteikumiem</w:t>
      </w:r>
      <w:r>
        <w:rPr>
          <w:rStyle w:val="FootnoteReference"/>
          <w:rFonts w:ascii="Times New Roman" w:hAnsi="Times New Roman"/>
          <w:noProof/>
          <w:sz w:val="24"/>
        </w:rPr>
        <w:footnoteReference w:id="38"/>
      </w:r>
      <w:r>
        <w:rPr>
          <w:rFonts w:ascii="Times New Roman" w:hAnsi="Times New Roman"/>
          <w:noProof/>
          <w:sz w:val="24"/>
        </w:rPr>
        <w:t xml:space="preserve">. </w:t>
      </w:r>
    </w:p>
    <w:p w:rsidR="00C46F70" w:rsidRDefault="00CA6337">
      <w:pPr>
        <w:pStyle w:val="Body"/>
        <w:jc w:val="both"/>
        <w:rPr>
          <w:rFonts w:ascii="Times New Roman" w:hAnsi="Times New Roman"/>
          <w:noProof/>
          <w:sz w:val="24"/>
          <w:szCs w:val="24"/>
        </w:rPr>
      </w:pPr>
      <w:r>
        <w:rPr>
          <w:rFonts w:ascii="Times New Roman" w:hAnsi="Times New Roman"/>
          <w:noProof/>
          <w:sz w:val="24"/>
        </w:rPr>
        <w:t>Turklāt tiek ziņots, ka cietušajiem pirms kriminālprocesa un tā gaitā tiek uzlikts pārmērīgs slogs. Daļa informācijas liecina</w:t>
      </w:r>
      <w:r>
        <w:rPr>
          <w:rFonts w:ascii="Times New Roman" w:hAnsi="Times New Roman"/>
          <w:noProof/>
          <w:sz w:val="24"/>
        </w:rPr>
        <w:t xml:space="preserve">, ka </w:t>
      </w:r>
      <w:r>
        <w:rPr>
          <w:rFonts w:ascii="Times New Roman" w:hAnsi="Times New Roman"/>
          <w:b/>
          <w:noProof/>
          <w:sz w:val="24"/>
        </w:rPr>
        <w:t>cietušajiem policijas iecirkņos bieži tiek atteikta palīdzība vai viņi tiek kļūdaini identificēti kā likumpārkāpēji un pēc tam saukti pie kriminālatbildības un notiesāti</w:t>
      </w:r>
      <w:r>
        <w:rPr>
          <w:rFonts w:ascii="Times New Roman" w:hAnsi="Times New Roman"/>
          <w:noProof/>
          <w:sz w:val="24"/>
        </w:rPr>
        <w:t>.</w:t>
      </w:r>
    </w:p>
    <w:p w:rsidR="00C46F70" w:rsidRDefault="00CA6337">
      <w:pPr>
        <w:pStyle w:val="Body"/>
        <w:jc w:val="both"/>
        <w:rPr>
          <w:rFonts w:ascii="Times New Roman" w:hAnsi="Times New Roman"/>
          <w:noProof/>
          <w:sz w:val="24"/>
          <w:szCs w:val="24"/>
        </w:rPr>
      </w:pPr>
      <w:r>
        <w:rPr>
          <w:rFonts w:ascii="Times New Roman" w:hAnsi="Times New Roman"/>
          <w:noProof/>
          <w:sz w:val="24"/>
        </w:rPr>
        <w:t xml:space="preserve">Saņemtajā informācijā ir pierādījumi par centieniem organizēt </w:t>
      </w:r>
      <w:r>
        <w:rPr>
          <w:rFonts w:ascii="Times New Roman" w:hAnsi="Times New Roman"/>
          <w:b/>
          <w:noProof/>
          <w:sz w:val="24"/>
        </w:rPr>
        <w:t>kopīgas izmeklēšan</w:t>
      </w:r>
      <w:r>
        <w:rPr>
          <w:rFonts w:ascii="Times New Roman" w:hAnsi="Times New Roman"/>
          <w:b/>
          <w:noProof/>
          <w:sz w:val="24"/>
        </w:rPr>
        <w:t>as un izveidot kopējas izmeklēšanas grupas, un par to gūto pozitīvo pieredzi,</w:t>
      </w:r>
      <w:r>
        <w:rPr>
          <w:rFonts w:ascii="Times New Roman" w:hAnsi="Times New Roman"/>
          <w:noProof/>
          <w:sz w:val="24"/>
        </w:rPr>
        <w:t xml:space="preserve"> kā arī </w:t>
      </w:r>
      <w:r>
        <w:rPr>
          <w:rFonts w:ascii="Times New Roman" w:hAnsi="Times New Roman"/>
          <w:b/>
          <w:noProof/>
          <w:sz w:val="24"/>
        </w:rPr>
        <w:t>par visas ES sadarbības paplašināšanos</w:t>
      </w:r>
      <w:r>
        <w:rPr>
          <w:rFonts w:ascii="Times New Roman" w:hAnsi="Times New Roman"/>
          <w:noProof/>
          <w:sz w:val="24"/>
        </w:rPr>
        <w:t xml:space="preserve"> šajā jomā. </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Informācijā ir uzsvērtas arī praktiskās problēmas, kas rodas, veicot </w:t>
      </w:r>
      <w:r>
        <w:rPr>
          <w:rFonts w:ascii="Times New Roman" w:hAnsi="Times New Roman"/>
          <w:b/>
          <w:noProof/>
          <w:sz w:val="24"/>
        </w:rPr>
        <w:t>atsavināšanu un konfiskāciju</w:t>
      </w:r>
      <w:r>
        <w:rPr>
          <w:rFonts w:ascii="Times New Roman" w:hAnsi="Times New Roman"/>
          <w:noProof/>
          <w:sz w:val="24"/>
        </w:rPr>
        <w:t xml:space="preserve"> lietās, kas saistītas ar cilvēku tirdzniecību, tostarp </w:t>
      </w:r>
      <w:r>
        <w:rPr>
          <w:rFonts w:ascii="Times New Roman" w:hAnsi="Times New Roman"/>
          <w:b/>
          <w:noProof/>
          <w:sz w:val="24"/>
        </w:rPr>
        <w:t>problēmas attiecībā uz noziedzīgi iegūto līdzekļu noteikšanu</w:t>
      </w:r>
      <w:r>
        <w:rPr>
          <w:rFonts w:ascii="Times New Roman" w:hAnsi="Times New Roman"/>
          <w:noProof/>
          <w:sz w:val="24"/>
        </w:rPr>
        <w:t xml:space="preserve"> un </w:t>
      </w:r>
      <w:r>
        <w:rPr>
          <w:rFonts w:ascii="Times New Roman" w:hAnsi="Times New Roman"/>
          <w:b/>
          <w:noProof/>
          <w:sz w:val="24"/>
        </w:rPr>
        <w:t>neefektīvu starptautisko sadarbību</w:t>
      </w:r>
      <w:r>
        <w:rPr>
          <w:rFonts w:ascii="Times New Roman" w:hAnsi="Times New Roman"/>
          <w:noProof/>
          <w:sz w:val="24"/>
        </w:rPr>
        <w:t xml:space="preserve">, kad nauda ir nosūtīta uz valsti ārpus ES. Tiek ziņots, ka </w:t>
      </w:r>
      <w:r>
        <w:rPr>
          <w:rFonts w:ascii="Times New Roman" w:hAnsi="Times New Roman"/>
          <w:b/>
          <w:noProof/>
          <w:sz w:val="24"/>
        </w:rPr>
        <w:t>finanšu izmeklēšanu</w:t>
      </w:r>
      <w:r>
        <w:rPr>
          <w:rFonts w:ascii="Times New Roman" w:hAnsi="Times New Roman"/>
          <w:noProof/>
          <w:sz w:val="24"/>
        </w:rPr>
        <w:t xml:space="preserve"> rezultātā tiek veikts </w:t>
      </w:r>
      <w:r>
        <w:rPr>
          <w:rFonts w:ascii="Times New Roman" w:hAnsi="Times New Roman"/>
          <w:noProof/>
          <w:sz w:val="24"/>
        </w:rPr>
        <w:t>lielāks skaits atsavināšanu un tādējādi arī konfiskāciju.</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Cilvēku tirgotāji bieži </w:t>
      </w:r>
      <w:r>
        <w:rPr>
          <w:rFonts w:ascii="Times New Roman" w:hAnsi="Times New Roman"/>
          <w:b/>
          <w:noProof/>
          <w:sz w:val="24"/>
        </w:rPr>
        <w:t>ļaunprātīgi izmanto likumīgas uzņēmējdarbības struktūras, lai slēptu savas nelikumīgās darbības</w:t>
      </w:r>
      <w:r>
        <w:rPr>
          <w:rFonts w:ascii="Times New Roman" w:hAnsi="Times New Roman"/>
          <w:noProof/>
          <w:sz w:val="24"/>
        </w:rPr>
        <w:t xml:space="preserve">. Cilvēku tirdzniecības novēršanas direktīvā ir noteiktas juridiskas saistības </w:t>
      </w:r>
      <w:r>
        <w:rPr>
          <w:rFonts w:ascii="Times New Roman" w:hAnsi="Times New Roman"/>
          <w:noProof/>
          <w:sz w:val="24"/>
        </w:rPr>
        <w:t xml:space="preserve">uzņēmumiem, proti, juridisku personu atbildība un sankciju piemērošana par cilvēku tirdzniecību (5. pants). Lai gan uzņēmējdarbība var gan atbalstīt cilvēku tirdzniecību, gan veicināt tās izskaušanu, lielākā daļa uzņēmumu neapzinās šīs saistības un </w:t>
      </w:r>
      <w:r>
        <w:rPr>
          <w:rFonts w:ascii="Times New Roman" w:hAnsi="Times New Roman"/>
          <w:b/>
          <w:noProof/>
          <w:sz w:val="24"/>
        </w:rPr>
        <w:t>tikai d</w:t>
      </w:r>
      <w:r>
        <w:rPr>
          <w:rFonts w:ascii="Times New Roman" w:hAnsi="Times New Roman"/>
          <w:b/>
          <w:noProof/>
          <w:sz w:val="24"/>
        </w:rPr>
        <w:t>ažas dalībvalstis ir vērsušas kriminālvajāšanu pret juridiskām personām, kā noteikts 5. pantā</w:t>
      </w:r>
      <w:r>
        <w:rPr>
          <w:rFonts w:ascii="Times New Roman" w:hAnsi="Times New Roman"/>
          <w:noProof/>
          <w:sz w:val="24"/>
        </w:rPr>
        <w:t>.</w:t>
      </w:r>
    </w:p>
    <w:p w:rsidR="00C46F70" w:rsidRDefault="00CA6337">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eastAsia="Times New Roman" w:hAnsi="Times New Roman" w:cs="Times New Roman"/>
          <w:noProof/>
          <w:sz w:val="24"/>
          <w:szCs w:val="24"/>
        </w:rPr>
      </w:pPr>
      <w:r>
        <w:rPr>
          <w:rFonts w:ascii="Times New Roman" w:hAnsi="Times New Roman"/>
          <w:noProof/>
          <w:sz w:val="24"/>
          <w:bdr w:val="none" w:sz="0" w:space="0" w:color="auto"/>
        </w:rPr>
        <w:t xml:space="preserve">Komisijas apkopotā informācija skaidri parāda, ka ir svarīgi dalībvalstīm pastiprināt savus centienus, lai </w:t>
      </w:r>
      <w:r>
        <w:rPr>
          <w:rFonts w:ascii="Times New Roman" w:hAnsi="Times New Roman"/>
          <w:b/>
          <w:noProof/>
          <w:sz w:val="24"/>
          <w:bdr w:val="none" w:sz="0" w:space="0" w:color="auto"/>
        </w:rPr>
        <w:t>palielinātu izmeklēšanas un kriminālvajāšanu skaitu</w:t>
      </w:r>
      <w:r>
        <w:rPr>
          <w:rFonts w:ascii="Times New Roman" w:hAnsi="Times New Roman"/>
          <w:noProof/>
          <w:sz w:val="24"/>
          <w:bdr w:val="none" w:sz="0" w:space="0" w:color="auto"/>
        </w:rPr>
        <w:t xml:space="preserve"> un</w:t>
      </w:r>
      <w:r>
        <w:rPr>
          <w:rFonts w:ascii="Times New Roman" w:hAnsi="Times New Roman"/>
          <w:noProof/>
          <w:sz w:val="24"/>
          <w:bdr w:val="none" w:sz="0" w:space="0" w:color="auto"/>
        </w:rPr>
        <w:t xml:space="preserve"> </w:t>
      </w:r>
      <w:r>
        <w:rPr>
          <w:rFonts w:ascii="Times New Roman" w:hAnsi="Times New Roman"/>
          <w:b/>
          <w:noProof/>
          <w:sz w:val="24"/>
          <w:bdr w:val="none" w:sz="0" w:space="0" w:color="auto"/>
        </w:rPr>
        <w:t>pierādījumu vākšanas procesā samazinātu cietušajiem un viņu liecībām uzlikto slogu</w:t>
      </w:r>
      <w:r>
        <w:rPr>
          <w:rFonts w:ascii="Times New Roman" w:hAnsi="Times New Roman"/>
          <w:noProof/>
          <w:sz w:val="24"/>
          <w:bdr w:val="none" w:sz="0" w:space="0" w:color="auto"/>
        </w:rPr>
        <w:t xml:space="preserve">. Dalībvalstis varētu to panākt, </w:t>
      </w:r>
      <w:r>
        <w:rPr>
          <w:rFonts w:ascii="Times New Roman" w:hAnsi="Times New Roman"/>
          <w:b/>
          <w:noProof/>
          <w:sz w:val="24"/>
          <w:bdr w:val="none" w:sz="0" w:space="0" w:color="auto"/>
        </w:rPr>
        <w:t>izstrādājot regulāru un specializētu apmācību izmeklētājiem, prokuroriem un tiesnešiem un sistemātiski veicot finanšu izmeklēšanas</w:t>
      </w:r>
      <w:r>
        <w:rPr>
          <w:rFonts w:ascii="Times New Roman" w:hAnsi="Times New Roman"/>
          <w:noProof/>
          <w:sz w:val="24"/>
          <w:bdr w:val="none" w:sz="0" w:space="0" w:color="auto"/>
        </w:rPr>
        <w:t xml:space="preserve"> (kā to ie</w:t>
      </w:r>
      <w:r>
        <w:rPr>
          <w:rFonts w:ascii="Times New Roman" w:hAnsi="Times New Roman"/>
          <w:noProof/>
          <w:sz w:val="24"/>
          <w:bdr w:val="none" w:sz="0" w:space="0" w:color="auto"/>
        </w:rPr>
        <w:t>saka Finanšu darījumu darba grupa) un citus efektīvus, uz izlūkdatiem pamatotus izmeklēšanas līdzekļus, ar ko papildus cietušo liecībām var iegūt dažādus citus pierādījumus. Dalībvalstīm ir jāpiešķir arī pietiekami finanšu resursi un cilvēkresursi, lai pie</w:t>
      </w:r>
      <w:r>
        <w:rPr>
          <w:rFonts w:ascii="Times New Roman" w:hAnsi="Times New Roman"/>
          <w:noProof/>
          <w:sz w:val="24"/>
          <w:bdr w:val="none" w:sz="0" w:space="0" w:color="auto"/>
        </w:rPr>
        <w:t>nācīgi novērstu šo noziegumu.</w:t>
      </w:r>
    </w:p>
    <w:p w:rsidR="00C46F70" w:rsidRDefault="00CA6337">
      <w:pPr>
        <w:pStyle w:val="Heading2"/>
        <w:numPr>
          <w:ilvl w:val="1"/>
          <w:numId w:val="5"/>
        </w:numPr>
        <w:spacing w:after="240"/>
        <w:rPr>
          <w:rFonts w:ascii="Times New Roman" w:eastAsia="Times New Roman" w:hAnsi="Times New Roman" w:cs="Times New Roman"/>
          <w:noProof/>
          <w:color w:val="000000"/>
          <w:u w:val="single" w:color="000000"/>
        </w:rPr>
      </w:pPr>
      <w:r>
        <w:rPr>
          <w:rFonts w:ascii="Times New Roman" w:hAnsi="Times New Roman"/>
          <w:noProof/>
          <w:color w:val="000000"/>
          <w:u w:val="single" w:color="000000"/>
        </w:rPr>
        <w:t>Identifikācija, aizsardzība un palīdzība</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Pieeja, kurā galvenā uzmanība pievērsta cietušā vajadzībām, ir ES cilvēku tirdzniecības novēršanas tiesību aktu un politikas uzmanības centrā. Tas nozīmē, ka tiek veidoti atbilstoši </w:t>
      </w:r>
      <w:r>
        <w:rPr>
          <w:rFonts w:ascii="Times New Roman" w:hAnsi="Times New Roman"/>
          <w:noProof/>
          <w:sz w:val="24"/>
        </w:rPr>
        <w:t>mehānismi agrīnai cietušo identifikācijai, kā arī palīdzības un atbalsta sniegšanai sadarbībā ar attiecīgajām atbalsta organizācijām.</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Lielākajai daļai dalībvalstu joprojām sagādā problēmas uzdevums </w:t>
      </w:r>
      <w:r>
        <w:rPr>
          <w:rFonts w:ascii="Times New Roman" w:hAnsi="Times New Roman"/>
          <w:b/>
          <w:noProof/>
          <w:sz w:val="24"/>
        </w:rPr>
        <w:t xml:space="preserve">cietušajiem nodrošināt beznosacījumu piekļuvi palīdzībai, </w:t>
      </w:r>
      <w:r>
        <w:rPr>
          <w:rFonts w:ascii="Times New Roman" w:hAnsi="Times New Roman"/>
          <w:b/>
          <w:noProof/>
          <w:sz w:val="24"/>
        </w:rPr>
        <w:t>atbalstam un aizsardzībai.</w:t>
      </w:r>
      <w:r>
        <w:rPr>
          <w:noProof/>
        </w:rPr>
        <w:t xml:space="preserve"> </w:t>
      </w:r>
      <w:r>
        <w:rPr>
          <w:rFonts w:ascii="Times New Roman" w:hAnsi="Times New Roman"/>
          <w:noProof/>
          <w:sz w:val="24"/>
        </w:rPr>
        <w:t xml:space="preserve">Cilvēku tirdzniecība joprojām ir “neredzamais noziegums”, jo </w:t>
      </w:r>
      <w:r>
        <w:rPr>
          <w:rFonts w:ascii="Times New Roman" w:hAnsi="Times New Roman"/>
          <w:b/>
          <w:noProof/>
          <w:sz w:val="24"/>
        </w:rPr>
        <w:t>identificēto cietušo skaits saglabājas zemā līmenī</w:t>
      </w:r>
      <w:r>
        <w:rPr>
          <w:rFonts w:ascii="Times New Roman" w:hAnsi="Times New Roman"/>
          <w:noProof/>
          <w:sz w:val="24"/>
        </w:rPr>
        <w:t xml:space="preserve">. Patiešām, </w:t>
      </w:r>
      <w:r>
        <w:rPr>
          <w:rFonts w:ascii="Times New Roman" w:hAnsi="Times New Roman"/>
          <w:b/>
          <w:noProof/>
          <w:sz w:val="24"/>
        </w:rPr>
        <w:t>daudzi cilvēku tirdzniecībā cietušie netiek identificēti, tādēļ nevar izmantot savas tiesības</w:t>
      </w:r>
      <w:r>
        <w:rPr>
          <w:rFonts w:ascii="Times New Roman" w:hAnsi="Times New Roman"/>
          <w:noProof/>
          <w:sz w:val="24"/>
        </w:rPr>
        <w:t xml:space="preserve">. Ir paustas </w:t>
      </w:r>
      <w:r>
        <w:rPr>
          <w:rFonts w:ascii="Times New Roman" w:hAnsi="Times New Roman"/>
          <w:noProof/>
          <w:sz w:val="24"/>
        </w:rPr>
        <w:t xml:space="preserve">bažas par </w:t>
      </w:r>
      <w:r>
        <w:rPr>
          <w:rFonts w:ascii="Times New Roman" w:hAnsi="Times New Roman"/>
          <w:b/>
          <w:noProof/>
          <w:sz w:val="24"/>
        </w:rPr>
        <w:t>attieksmi pret cietušajiem kriminālprocesos</w:t>
      </w:r>
      <w:r>
        <w:rPr>
          <w:rFonts w:ascii="Times New Roman" w:hAnsi="Times New Roman"/>
          <w:noProof/>
          <w:sz w:val="24"/>
        </w:rPr>
        <w:t>, kur viņi var tikt pakļauti iebiedēšanai un sekundārai viktimizācijai.</w:t>
      </w:r>
    </w:p>
    <w:p w:rsidR="00C46F70" w:rsidRDefault="00CA6337">
      <w:pPr>
        <w:pStyle w:val="Body"/>
        <w:jc w:val="both"/>
        <w:rPr>
          <w:rFonts w:ascii="Times New Roman" w:hAnsi="Times New Roman"/>
          <w:noProof/>
          <w:sz w:val="24"/>
          <w:szCs w:val="24"/>
        </w:rPr>
      </w:pPr>
      <w:r>
        <w:rPr>
          <w:rFonts w:ascii="Times New Roman" w:hAnsi="Times New Roman"/>
          <w:b/>
          <w:noProof/>
          <w:sz w:val="24"/>
        </w:rPr>
        <w:t>Joprojām nav atbilstošas, dzimumam un vecumam piemērotas palīdzības un atbalsta</w:t>
      </w:r>
      <w:r>
        <w:rPr>
          <w:rFonts w:ascii="Times New Roman" w:hAnsi="Times New Roman"/>
          <w:noProof/>
          <w:sz w:val="24"/>
        </w:rPr>
        <w:t xml:space="preserve"> un trūkst pakalpojumu cilvēku tirdzniecībā cietušaj</w:t>
      </w:r>
      <w:r>
        <w:rPr>
          <w:rFonts w:ascii="Times New Roman" w:hAnsi="Times New Roman"/>
          <w:noProof/>
          <w:sz w:val="24"/>
        </w:rPr>
        <w:t>iem vīriešiem. Patvēruma un izmitināšanas centri ne vienmēr ir aprīkoti tā, lai rūpētos par cietušo vajadzībām, un daudzi bērni un pieaugušie pazūd no centriem, kas nenodrošina atbilstošu aprūpi.</w:t>
      </w:r>
    </w:p>
    <w:p w:rsidR="00C46F70" w:rsidRDefault="00CA6337">
      <w:pPr>
        <w:pStyle w:val="Body"/>
        <w:jc w:val="both"/>
        <w:rPr>
          <w:rFonts w:ascii="Times New Roman" w:hAnsi="Times New Roman" w:cs="Times New Roman"/>
          <w:noProof/>
          <w:sz w:val="24"/>
          <w:szCs w:val="24"/>
        </w:rPr>
      </w:pPr>
      <w:r>
        <w:rPr>
          <w:rFonts w:ascii="Times New Roman" w:hAnsi="Times New Roman"/>
          <w:noProof/>
          <w:sz w:val="24"/>
        </w:rPr>
        <w:t xml:space="preserve">Lai gan dalībvalstis ziņo par bērniem piemērotiem </w:t>
      </w:r>
      <w:r>
        <w:rPr>
          <w:rFonts w:ascii="Times New Roman" w:hAnsi="Times New Roman"/>
          <w:noProof/>
          <w:sz w:val="24"/>
        </w:rPr>
        <w:t>pasākumiem, bērnu nosūtīšana uz atbalsta dienestiem joprojām notiek maz gadījumos un procedūras pastāvīgu risinājumu rašanai ir neatbilstošas. Nemainīgas ir problēmas attiecībā uz cietušo bērnu aizbildņu iecelšanu, un plašais dažādu darbību diapazons Eirop</w:t>
      </w:r>
      <w:r>
        <w:rPr>
          <w:rFonts w:ascii="Times New Roman" w:hAnsi="Times New Roman"/>
          <w:noProof/>
          <w:sz w:val="24"/>
        </w:rPr>
        <w:t>as Savienībā rada papildu sarežģījumus, jo īpaši pārrobežu situācijā.</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Īpašajā pasākumā, kas paredzēts ES Stratēģijā un apstiprināts Padomes secinājumos</w:t>
      </w:r>
      <w:r>
        <w:rPr>
          <w:rStyle w:val="FootnoteReference"/>
          <w:rFonts w:ascii="Times New Roman" w:hAnsi="Times New Roman"/>
          <w:noProof/>
          <w:sz w:val="24"/>
        </w:rPr>
        <w:footnoteReference w:id="39"/>
      </w:r>
      <w:r>
        <w:rPr>
          <w:rFonts w:ascii="Times New Roman" w:hAnsi="Times New Roman"/>
          <w:noProof/>
          <w:sz w:val="24"/>
        </w:rPr>
        <w:t xml:space="preserve">, dalībvalstis tiek aicinātas izstrādāt vai atjaunināt </w:t>
      </w:r>
      <w:r>
        <w:rPr>
          <w:rFonts w:ascii="Times New Roman" w:hAnsi="Times New Roman"/>
          <w:b/>
          <w:noProof/>
          <w:sz w:val="24"/>
        </w:rPr>
        <w:t>mehānismus cietušo nosūtīšanai uz atbalsta dienes</w:t>
      </w:r>
      <w:r>
        <w:rPr>
          <w:rFonts w:ascii="Times New Roman" w:hAnsi="Times New Roman"/>
          <w:b/>
          <w:noProof/>
          <w:sz w:val="24"/>
        </w:rPr>
        <w:t>tiem, lai koordinētu identifikācijā, palīdzībā un reintegrācijā iesaistītos dalībniekus</w:t>
      </w:r>
      <w:r>
        <w:rPr>
          <w:rFonts w:ascii="Times New Roman" w:hAnsi="Times New Roman"/>
          <w:noProof/>
          <w:sz w:val="24"/>
        </w:rPr>
        <w:t xml:space="preserve">. Saskaņā ar Komisijai pieejamo informāciju </w:t>
      </w:r>
      <w:r>
        <w:rPr>
          <w:rFonts w:ascii="Times New Roman" w:hAnsi="Times New Roman"/>
          <w:b/>
          <w:noProof/>
          <w:sz w:val="24"/>
        </w:rPr>
        <w:t>vairāk nekā puse dalībvalstu</w:t>
      </w:r>
      <w:r>
        <w:rPr>
          <w:rStyle w:val="FootnoteReference"/>
          <w:rFonts w:ascii="Times New Roman" w:hAnsi="Times New Roman"/>
          <w:noProof/>
          <w:sz w:val="24"/>
        </w:rPr>
        <w:footnoteReference w:id="40"/>
      </w:r>
      <w:r>
        <w:rPr>
          <w:rFonts w:ascii="Times New Roman" w:hAnsi="Times New Roman"/>
          <w:b/>
          <w:noProof/>
          <w:sz w:val="24"/>
        </w:rPr>
        <w:t xml:space="preserve"> ir formalizējušas savus mehānismus cietušo nosūtīšanai uz atbalsta dienestiem</w:t>
      </w:r>
      <w:r>
        <w:rPr>
          <w:rFonts w:ascii="Times New Roman" w:hAnsi="Times New Roman"/>
          <w:noProof/>
          <w:sz w:val="24"/>
        </w:rPr>
        <w:t>. Lai gan ES Strat</w:t>
      </w:r>
      <w:r>
        <w:rPr>
          <w:rFonts w:ascii="Times New Roman" w:hAnsi="Times New Roman"/>
          <w:noProof/>
          <w:sz w:val="24"/>
        </w:rPr>
        <w:t xml:space="preserve">ēģijā tiek aicināts izveidot pieeju, kuras pamatā ir integrēta bērnu aizsardzības sistēma, </w:t>
      </w:r>
      <w:r>
        <w:rPr>
          <w:rFonts w:ascii="Times New Roman" w:hAnsi="Times New Roman"/>
          <w:b/>
          <w:noProof/>
          <w:sz w:val="24"/>
        </w:rPr>
        <w:t>bērnu aizsardzības dienestu iesaistīšanās mehānismos cietušo nosūtīšanai uz atbalsta dienestiem joprojām ir ierobežota</w:t>
      </w:r>
      <w:r>
        <w:rPr>
          <w:rFonts w:ascii="Times New Roman" w:hAnsi="Times New Roman"/>
          <w:noProof/>
          <w:sz w:val="24"/>
        </w:rPr>
        <w:t>. Dalībvalstis ziņo, ka kopš mehānismu ieviešan</w:t>
      </w:r>
      <w:r>
        <w:rPr>
          <w:rFonts w:ascii="Times New Roman" w:hAnsi="Times New Roman"/>
          <w:noProof/>
          <w:sz w:val="24"/>
        </w:rPr>
        <w:t>as pakalpojumu sniegšana cietušajiem ir kļuvusi kvalitatīvāka. Tomēr to vispārējās ietekmes noteikšana joprojām ir sarežģīta.</w:t>
      </w:r>
    </w:p>
    <w:p w:rsidR="00C46F70" w:rsidRDefault="00CA6337">
      <w:pPr>
        <w:pStyle w:val="Body"/>
        <w:jc w:val="both"/>
        <w:rPr>
          <w:rFonts w:ascii="Times New Roman" w:hAnsi="Times New Roman"/>
          <w:noProof/>
          <w:sz w:val="24"/>
          <w:szCs w:val="24"/>
        </w:rPr>
      </w:pPr>
      <w:r>
        <w:rPr>
          <w:rFonts w:ascii="Times New Roman" w:hAnsi="Times New Roman"/>
          <w:b/>
          <w:noProof/>
          <w:sz w:val="24"/>
        </w:rPr>
        <w:t>Starpvalstu sadarbība</w:t>
      </w:r>
      <w:r>
        <w:rPr>
          <w:rFonts w:ascii="Times New Roman" w:hAnsi="Times New Roman"/>
          <w:noProof/>
          <w:sz w:val="24"/>
        </w:rPr>
        <w:t xml:space="preserve">, tostarp </w:t>
      </w:r>
      <w:r>
        <w:rPr>
          <w:rFonts w:ascii="Times New Roman" w:hAnsi="Times New Roman"/>
          <w:b/>
          <w:noProof/>
          <w:sz w:val="24"/>
        </w:rPr>
        <w:t>starpvalstu mehānismi cietušo nosūtīšanai uz atbalsta dienestiem</w:t>
      </w:r>
      <w:r>
        <w:rPr>
          <w:rFonts w:ascii="Times New Roman" w:hAnsi="Times New Roman"/>
          <w:noProof/>
          <w:sz w:val="24"/>
        </w:rPr>
        <w:t>, ir būtiski arī attiecībā uz cietu</w:t>
      </w:r>
      <w:r>
        <w:rPr>
          <w:rFonts w:ascii="Times New Roman" w:hAnsi="Times New Roman"/>
          <w:noProof/>
          <w:sz w:val="24"/>
        </w:rPr>
        <w:t xml:space="preserve">šajiem, kuri tirdzniecības nolūkos tiek izvesti ārpus savas izcelsmes valsts. Šajā saistībā </w:t>
      </w:r>
      <w:r>
        <w:rPr>
          <w:rFonts w:ascii="Times New Roman" w:hAnsi="Times New Roman"/>
          <w:b/>
          <w:noProof/>
          <w:sz w:val="24"/>
        </w:rPr>
        <w:t>Šengenas informācijas sistēmai</w:t>
      </w:r>
      <w:r>
        <w:rPr>
          <w:rFonts w:ascii="Times New Roman" w:hAnsi="Times New Roman"/>
          <w:noProof/>
          <w:sz w:val="24"/>
        </w:rPr>
        <w:t xml:space="preserve"> ir liela nozīme pārrobežu informācijas apmaiņā par cilvēku tirdzniecībā cietušajiem un to ekspluatatoriem, un tā ir galvenā datubāze </w:t>
      </w:r>
      <w:r>
        <w:rPr>
          <w:rFonts w:ascii="Times New Roman" w:hAnsi="Times New Roman"/>
          <w:noProof/>
          <w:sz w:val="24"/>
        </w:rPr>
        <w:t xml:space="preserve">pazudušo personu reģistrēšanai visā Eiropā. </w:t>
      </w:r>
      <w:r>
        <w:rPr>
          <w:rFonts w:ascii="Times New Roman" w:hAnsi="Times New Roman"/>
          <w:b/>
          <w:noProof/>
          <w:sz w:val="24"/>
        </w:rPr>
        <w:t>Gaidāmā ieceļošanas/izceļošanas sistēma</w:t>
      </w:r>
      <w:r>
        <w:rPr>
          <w:rFonts w:ascii="Times New Roman" w:hAnsi="Times New Roman"/>
          <w:noProof/>
          <w:sz w:val="24"/>
        </w:rPr>
        <w:t xml:space="preserve"> palīdzēs atklāt un identificēt trešo valstu valstspiederīgos, kas ir cilvēku tirdzniecībā cietušie, jo tiks saglabāti dati par tādu personu ieceļošanu un izceļošanu, kas ce</w:t>
      </w:r>
      <w:r>
        <w:rPr>
          <w:rFonts w:ascii="Times New Roman" w:hAnsi="Times New Roman"/>
          <w:noProof/>
          <w:sz w:val="24"/>
        </w:rPr>
        <w:t>ļo ar vīzu vai bez tās.</w:t>
      </w:r>
    </w:p>
    <w:p w:rsidR="00C46F70" w:rsidRDefault="00CA6337">
      <w:pPr>
        <w:pStyle w:val="Body"/>
        <w:jc w:val="both"/>
        <w:rPr>
          <w:rFonts w:ascii="Times New Roman" w:hAnsi="Times New Roman"/>
          <w:noProof/>
          <w:sz w:val="24"/>
          <w:szCs w:val="24"/>
        </w:rPr>
      </w:pPr>
      <w:r>
        <w:rPr>
          <w:rFonts w:ascii="Times New Roman" w:hAnsi="Times New Roman"/>
          <w:b/>
          <w:noProof/>
          <w:sz w:val="24"/>
        </w:rPr>
        <w:t>Ir jānodrošina vienlīdzīga attieksme pret visiem cietušajiem, un dalībvalstīm būtu jāvelta vienlīdz lielas pūles, lai identificētu visu veidu ekspluatācijā cietušos, viņus aizsargātu un viņiem sniegtu atbalstu</w:t>
      </w:r>
      <w:r>
        <w:rPr>
          <w:rFonts w:ascii="Times New Roman" w:hAnsi="Times New Roman"/>
          <w:noProof/>
          <w:sz w:val="24"/>
        </w:rPr>
        <w:t>. Patiešām, cietušajiem</w:t>
      </w:r>
      <w:r>
        <w:rPr>
          <w:rFonts w:ascii="Times New Roman" w:hAnsi="Times New Roman"/>
          <w:noProof/>
          <w:sz w:val="24"/>
        </w:rPr>
        <w:t xml:space="preserve"> ir jābūt cilvēku tirdzniecības novēršanas politikas uzmanības centrā. Ne pret vienu ekspluatācijas veidu nevajadzētu izturēties nevērīgi, un būtu jārūpējas par cietušo vajadzībām atbilstoši individuālam novērtējumam.</w:t>
      </w:r>
    </w:p>
    <w:p w:rsidR="00C46F70" w:rsidRDefault="00CA6337">
      <w:pPr>
        <w:pStyle w:val="Body"/>
        <w:pBdr>
          <w:top w:val="single" w:sz="4" w:space="1" w:color="auto"/>
          <w:left w:val="single" w:sz="4" w:space="1" w:color="auto"/>
          <w:bottom w:val="single" w:sz="4" w:space="1" w:color="auto"/>
          <w:right w:val="single" w:sz="4" w:space="1" w:color="auto"/>
        </w:pBdr>
        <w:jc w:val="both"/>
        <w:rPr>
          <w:rFonts w:eastAsia="Times New Roman"/>
          <w:noProof/>
        </w:rPr>
      </w:pPr>
      <w:r>
        <w:rPr>
          <w:rFonts w:ascii="Times New Roman" w:hAnsi="Times New Roman"/>
          <w:noProof/>
          <w:sz w:val="24"/>
        </w:rPr>
        <w:t xml:space="preserve">Cietušie, pirmkārt, ir uzskatāmi par </w:t>
      </w:r>
      <w:r>
        <w:rPr>
          <w:rFonts w:ascii="Times New Roman" w:hAnsi="Times New Roman"/>
          <w:b/>
          <w:noProof/>
          <w:sz w:val="24"/>
        </w:rPr>
        <w:t>t</w:t>
      </w:r>
      <w:r>
        <w:rPr>
          <w:rFonts w:ascii="Times New Roman" w:hAnsi="Times New Roman"/>
          <w:b/>
          <w:noProof/>
          <w:sz w:val="24"/>
        </w:rPr>
        <w:t>iesību subjektiem</w:t>
      </w:r>
      <w:r>
        <w:rPr>
          <w:rFonts w:ascii="Times New Roman" w:hAnsi="Times New Roman"/>
          <w:noProof/>
          <w:sz w:val="24"/>
        </w:rPr>
        <w:t>, un ir jānodrošina viņiem iespēja izprast un izmantot savas tiesības.</w:t>
      </w:r>
      <w:r>
        <w:rPr>
          <w:noProof/>
        </w:rPr>
        <w:t xml:space="preserve"> </w:t>
      </w:r>
      <w:r>
        <w:rPr>
          <w:rFonts w:ascii="Times New Roman" w:hAnsi="Times New Roman"/>
          <w:noProof/>
          <w:sz w:val="24"/>
        </w:rPr>
        <w:t xml:space="preserve">Šajā saistībā Komisija ierosina valsts līmenī veikt visus atbilstošos pasākumus, lai nodrošinātu </w:t>
      </w:r>
      <w:r>
        <w:rPr>
          <w:rFonts w:ascii="Times New Roman" w:hAnsi="Times New Roman"/>
          <w:b/>
          <w:noProof/>
          <w:sz w:val="24"/>
        </w:rPr>
        <w:t>cilvēku tirdzniecībā cietušo agrīnu identifikāciju</w:t>
      </w:r>
      <w:r>
        <w:rPr>
          <w:rFonts w:ascii="Times New Roman" w:hAnsi="Times New Roman"/>
          <w:noProof/>
          <w:sz w:val="24"/>
        </w:rPr>
        <w:t xml:space="preserve"> saskaņā ar pienākumu</w:t>
      </w:r>
      <w:r>
        <w:rPr>
          <w:rFonts w:ascii="Times New Roman" w:hAnsi="Times New Roman"/>
          <w:noProof/>
          <w:sz w:val="24"/>
        </w:rPr>
        <w:t xml:space="preserve"> nodrošināt palīdzību un atbalstu, tiklīdz ir pamatots iemesls uzskatīt, ka šīs personas ir cietušie. </w:t>
      </w:r>
      <w:r>
        <w:rPr>
          <w:rFonts w:ascii="Times New Roman" w:hAnsi="Times New Roman"/>
          <w:b/>
          <w:noProof/>
          <w:sz w:val="24"/>
        </w:rPr>
        <w:t>Mehānisma formalizēšana vai izveide cietušo nosūtīšanai uz atbalsta dienestiem</w:t>
      </w:r>
      <w:r>
        <w:rPr>
          <w:rFonts w:ascii="Times New Roman" w:hAnsi="Times New Roman"/>
          <w:noProof/>
          <w:sz w:val="24"/>
        </w:rPr>
        <w:t xml:space="preserve"> ir galvenais pasākums šajā virzienā. Šādi mehānismi būtu regulāri un jēgpil</w:t>
      </w:r>
      <w:r>
        <w:rPr>
          <w:rFonts w:ascii="Times New Roman" w:hAnsi="Times New Roman"/>
          <w:noProof/>
          <w:sz w:val="24"/>
        </w:rPr>
        <w:t xml:space="preserve">ni </w:t>
      </w:r>
      <w:r>
        <w:rPr>
          <w:rFonts w:ascii="Times New Roman" w:hAnsi="Times New Roman"/>
          <w:b/>
          <w:noProof/>
          <w:sz w:val="24"/>
        </w:rPr>
        <w:t>jāuzrauga un jāizvērtē sadarbībā ar pilsonisko sabiedrību un akadēmiskajām aprindām</w:t>
      </w:r>
      <w:r>
        <w:rPr>
          <w:rFonts w:ascii="Times New Roman" w:hAnsi="Times New Roman"/>
          <w:noProof/>
          <w:sz w:val="24"/>
        </w:rPr>
        <w:t>.</w:t>
      </w:r>
    </w:p>
    <w:p w:rsidR="00C46F70" w:rsidRDefault="00CA6337">
      <w:pPr>
        <w:pStyle w:val="Body"/>
        <w:pBdr>
          <w:top w:val="single" w:sz="4" w:space="1" w:color="auto"/>
          <w:left w:val="single" w:sz="4" w:space="1" w:color="auto"/>
          <w:bottom w:val="single" w:sz="4" w:space="1" w:color="auto"/>
          <w:right w:val="single" w:sz="4" w:space="1" w:color="auto"/>
        </w:pBdr>
        <w:jc w:val="both"/>
        <w:rPr>
          <w:rFonts w:eastAsia="Times New Roman"/>
          <w:noProof/>
        </w:rPr>
      </w:pPr>
      <w:r>
        <w:rPr>
          <w:rFonts w:ascii="Times New Roman" w:hAnsi="Times New Roman"/>
          <w:noProof/>
          <w:sz w:val="24"/>
        </w:rPr>
        <w:t xml:space="preserve">Attiecībā uz cilvēku tirdzniecībā cietušajiem bērniem būtu jānodrošina </w:t>
      </w:r>
      <w:r>
        <w:rPr>
          <w:rFonts w:ascii="Times New Roman" w:hAnsi="Times New Roman"/>
          <w:b/>
          <w:noProof/>
          <w:sz w:val="24"/>
        </w:rPr>
        <w:t>integrēta bērnu aizsardzības pieeja</w:t>
      </w:r>
      <w:r>
        <w:rPr>
          <w:rFonts w:ascii="Times New Roman" w:hAnsi="Times New Roman"/>
          <w:noProof/>
          <w:sz w:val="24"/>
        </w:rPr>
        <w:t>. Tās pamatā vajadzētu būt ANO Konvencijā par bērna tiesībām i</w:t>
      </w:r>
      <w:r>
        <w:rPr>
          <w:rFonts w:ascii="Times New Roman" w:hAnsi="Times New Roman"/>
          <w:noProof/>
          <w:sz w:val="24"/>
        </w:rPr>
        <w:t xml:space="preserve">ekļautajiem standartiem, tostarp bērna interesēm, un aizbildnības sistēmu stiprināšanai. Visbeidzot, </w:t>
      </w:r>
      <w:r>
        <w:rPr>
          <w:rFonts w:ascii="Times New Roman" w:hAnsi="Times New Roman"/>
          <w:b/>
          <w:noProof/>
          <w:sz w:val="24"/>
        </w:rPr>
        <w:t>brīdinājuma par pazudušu bērnu izveidošana Šengenas Informācijas sistēmā</w:t>
      </w:r>
      <w:r>
        <w:rPr>
          <w:rFonts w:ascii="Times New Roman" w:hAnsi="Times New Roman"/>
          <w:noProof/>
          <w:sz w:val="24"/>
        </w:rPr>
        <w:t xml:space="preserve"> ir būtisks pasākumus, lai nodrošinātu cietušo bērnu agrīnu identifikāciju.</w:t>
      </w:r>
    </w:p>
    <w:p w:rsidR="00C46F70" w:rsidRDefault="00CA6337">
      <w:pPr>
        <w:pStyle w:val="Heading2"/>
        <w:numPr>
          <w:ilvl w:val="1"/>
          <w:numId w:val="13"/>
        </w:numPr>
        <w:spacing w:after="240"/>
        <w:rPr>
          <w:rFonts w:ascii="Times New Roman" w:eastAsia="Times New Roman" w:hAnsi="Times New Roman" w:cs="Times New Roman"/>
          <w:noProof/>
          <w:color w:val="000000"/>
          <w:u w:val="single" w:color="000000"/>
        </w:rPr>
      </w:pPr>
      <w:r>
        <w:rPr>
          <w:rFonts w:ascii="Times New Roman" w:hAnsi="Times New Roman"/>
          <w:noProof/>
          <w:color w:val="000000"/>
          <w:u w:val="single" w:color="000000"/>
        </w:rPr>
        <w:t>Novērša</w:t>
      </w:r>
      <w:r>
        <w:rPr>
          <w:rFonts w:ascii="Times New Roman" w:hAnsi="Times New Roman"/>
          <w:noProof/>
          <w:color w:val="000000"/>
          <w:u w:val="single" w:color="000000"/>
        </w:rPr>
        <w:t>nas pasākumi</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Cilvēku tirgotāju izmeklēšana, saukšana pie kriminālatbildības un notiesāšana ir būtiski instrumenti cilvēku tirdzniecības jautājuma risināšanai. Tomēr šie instrumenti tiek izmantoti tad, kad noziegums jau ir pastrādāts un ir noticis smags cietušo pamattie</w:t>
      </w:r>
      <w:r>
        <w:rPr>
          <w:rFonts w:ascii="Times New Roman" w:hAnsi="Times New Roman"/>
          <w:noProof/>
          <w:sz w:val="24"/>
        </w:rPr>
        <w:t xml:space="preserve">sību pārkāpums. Cilvēku tirdzniecības izskaušanu var panākt tikai tad, </w:t>
      </w:r>
      <w:r>
        <w:rPr>
          <w:rFonts w:ascii="Times New Roman" w:hAnsi="Times New Roman"/>
          <w:b/>
          <w:noProof/>
          <w:sz w:val="24"/>
        </w:rPr>
        <w:t>ja vispirms ir novērsta nozieguma izdarīšana</w:t>
      </w:r>
      <w:r>
        <w:rPr>
          <w:rFonts w:ascii="Times New Roman" w:hAnsi="Times New Roman"/>
          <w:noProof/>
          <w:sz w:val="24"/>
        </w:rPr>
        <w:t>, izmantojot visus ES un valstu līmenī pieejamos līdzekļus.</w:t>
      </w:r>
    </w:p>
    <w:p w:rsidR="00C46F70" w:rsidRDefault="00CA6337">
      <w:pPr>
        <w:pStyle w:val="Body"/>
        <w:jc w:val="both"/>
        <w:rPr>
          <w:rFonts w:ascii="Times New Roman" w:eastAsia="Times New Roman" w:hAnsi="Times New Roman" w:cs="Times New Roman"/>
          <w:b/>
          <w:bCs/>
          <w:noProof/>
          <w:sz w:val="24"/>
          <w:szCs w:val="24"/>
        </w:rPr>
      </w:pPr>
      <w:r>
        <w:rPr>
          <w:rFonts w:ascii="Times New Roman" w:hAnsi="Times New Roman"/>
          <w:noProof/>
          <w:sz w:val="24"/>
        </w:rPr>
        <w:t>Novēršanu nepieciešams aplūkot plašākā tāda nozieguma kontekstā, kuru nosaka peļņ</w:t>
      </w:r>
      <w:r>
        <w:rPr>
          <w:rFonts w:ascii="Times New Roman" w:hAnsi="Times New Roman"/>
          <w:noProof/>
          <w:sz w:val="24"/>
        </w:rPr>
        <w:t xml:space="preserve">a un pieprasījums. </w:t>
      </w:r>
      <w:r>
        <w:rPr>
          <w:rFonts w:ascii="Times New Roman" w:hAnsi="Times New Roman"/>
          <w:b/>
          <w:noProof/>
          <w:sz w:val="24"/>
        </w:rPr>
        <w:t>Uz cilvēktiesībām veidotā pieejā būtu jānodrošina, ka tie, kuri gūst peļņu no nozieguma un izmanto cietušos, tiek saukti pie atbildības.</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Dalībvalstis ziņoja par </w:t>
      </w:r>
      <w:r>
        <w:rPr>
          <w:rFonts w:ascii="Times New Roman" w:hAnsi="Times New Roman"/>
          <w:b/>
          <w:noProof/>
          <w:sz w:val="24"/>
        </w:rPr>
        <w:t>plašiem novēršanas pasākumiem</w:t>
      </w:r>
      <w:r>
        <w:rPr>
          <w:rFonts w:ascii="Times New Roman" w:hAnsi="Times New Roman"/>
          <w:noProof/>
          <w:sz w:val="24"/>
        </w:rPr>
        <w:t xml:space="preserve"> saskaņā ar Cilvēku tirdzniecības novēršanas di</w:t>
      </w:r>
      <w:r>
        <w:rPr>
          <w:rFonts w:ascii="Times New Roman" w:hAnsi="Times New Roman"/>
          <w:noProof/>
          <w:sz w:val="24"/>
        </w:rPr>
        <w:t xml:space="preserve">rektīvas 18. pantu, piemēram, apmācību un izpratnes veicināšanu. Ir ziņots, ka </w:t>
      </w:r>
      <w:r>
        <w:rPr>
          <w:rFonts w:ascii="Times New Roman" w:hAnsi="Times New Roman"/>
          <w:b/>
          <w:noProof/>
          <w:sz w:val="24"/>
        </w:rPr>
        <w:t>pēc priekšposteņa darbinieku apmācības ir palielinājies cilvēku tirdzniecības atklāto lietu skaits</w:t>
      </w:r>
      <w:r>
        <w:rPr>
          <w:rFonts w:ascii="Times New Roman" w:hAnsi="Times New Roman"/>
          <w:noProof/>
          <w:sz w:val="24"/>
        </w:rPr>
        <w:t xml:space="preserve">. Tomēr </w:t>
      </w:r>
      <w:r>
        <w:rPr>
          <w:rFonts w:ascii="Times New Roman" w:hAnsi="Times New Roman"/>
          <w:b/>
          <w:noProof/>
          <w:sz w:val="24"/>
        </w:rPr>
        <w:t>ir maz zināms par šādas rīcības patieso ietekmi</w:t>
      </w:r>
      <w:r>
        <w:rPr>
          <w:rFonts w:ascii="Times New Roman" w:hAnsi="Times New Roman"/>
          <w:noProof/>
          <w:sz w:val="24"/>
        </w:rPr>
        <w:t xml:space="preserve"> uz pieprasījumu un novē</w:t>
      </w:r>
      <w:r>
        <w:rPr>
          <w:rFonts w:ascii="Times New Roman" w:hAnsi="Times New Roman"/>
          <w:noProof/>
          <w:sz w:val="24"/>
        </w:rPr>
        <w:t>ršanu.</w:t>
      </w:r>
    </w:p>
    <w:p w:rsidR="00C46F70" w:rsidRDefault="00CA6337">
      <w:pPr>
        <w:pStyle w:val="Body"/>
        <w:jc w:val="both"/>
        <w:rPr>
          <w:rFonts w:ascii="Times New Roman" w:eastAsia="Times New Roman" w:hAnsi="Times New Roman" w:cs="Times New Roman"/>
          <w:b/>
          <w:bCs/>
          <w:noProof/>
          <w:sz w:val="24"/>
          <w:szCs w:val="24"/>
        </w:rPr>
      </w:pPr>
      <w:r>
        <w:rPr>
          <w:rFonts w:ascii="Times New Roman" w:hAnsi="Times New Roman"/>
          <w:noProof/>
          <w:sz w:val="24"/>
        </w:rPr>
        <w:t xml:space="preserve">Saņemtajā informācijā ir aplūkota arī </w:t>
      </w:r>
      <w:r>
        <w:rPr>
          <w:rFonts w:ascii="Times New Roman" w:hAnsi="Times New Roman"/>
          <w:b/>
          <w:noProof/>
          <w:sz w:val="24"/>
        </w:rPr>
        <w:t xml:space="preserve">apmācības pasākumu </w:t>
      </w:r>
      <w:r>
        <w:rPr>
          <w:rFonts w:ascii="Times New Roman" w:hAnsi="Times New Roman"/>
          <w:b/>
          <w:i/>
          <w:noProof/>
          <w:sz w:val="24"/>
        </w:rPr>
        <w:t>ad hoc</w:t>
      </w:r>
      <w:r>
        <w:rPr>
          <w:rFonts w:ascii="Times New Roman" w:hAnsi="Times New Roman"/>
          <w:b/>
          <w:noProof/>
          <w:sz w:val="24"/>
        </w:rPr>
        <w:t xml:space="preserve"> būtība, kā arī tādas specializētas apmācības un pieejas trūkums, kura ir piemērota dzimumam un kurā galvenā uzmanība pievērsta bērna vajadzībām</w:t>
      </w:r>
      <w:r>
        <w:rPr>
          <w:rFonts w:ascii="Times New Roman" w:hAnsi="Times New Roman"/>
          <w:noProof/>
          <w:sz w:val="24"/>
        </w:rPr>
        <w:t>. Ir svarīgi arī uzsvērt, ka ir nepiecieša</w:t>
      </w:r>
      <w:r>
        <w:rPr>
          <w:rFonts w:ascii="Times New Roman" w:hAnsi="Times New Roman"/>
          <w:noProof/>
          <w:sz w:val="24"/>
        </w:rPr>
        <w:t xml:space="preserve">mi specializēti apmācības pasākumi, </w:t>
      </w:r>
      <w:r>
        <w:rPr>
          <w:rFonts w:ascii="Times New Roman" w:hAnsi="Times New Roman"/>
          <w:b/>
          <w:noProof/>
          <w:sz w:val="24"/>
        </w:rPr>
        <w:t>kuros īpaši pievēršas dažādu cilvēku tirdzniecības veidu īpatnībām</w:t>
      </w:r>
      <w:r>
        <w:rPr>
          <w:rFonts w:ascii="Times New Roman" w:hAnsi="Times New Roman"/>
          <w:noProof/>
          <w:sz w:val="24"/>
        </w:rPr>
        <w:t>.</w:t>
      </w:r>
    </w:p>
    <w:p w:rsidR="00C46F70" w:rsidRDefault="00CA6337">
      <w:pPr>
        <w:pStyle w:val="Body"/>
        <w:jc w:val="both"/>
        <w:rPr>
          <w:rFonts w:ascii="Times New Roman" w:eastAsia="Times New Roman" w:hAnsi="Times New Roman" w:cs="Times New Roman"/>
          <w:b/>
          <w:bCs/>
          <w:i/>
          <w:iCs/>
          <w:noProof/>
          <w:sz w:val="24"/>
          <w:szCs w:val="24"/>
          <w:u w:val="single"/>
        </w:rPr>
      </w:pPr>
      <w:r>
        <w:rPr>
          <w:rFonts w:ascii="Times New Roman" w:hAnsi="Times New Roman"/>
          <w:noProof/>
          <w:sz w:val="24"/>
        </w:rPr>
        <w:t xml:space="preserve">Turklāt dalībvalstis akcentē </w:t>
      </w:r>
      <w:r>
        <w:rPr>
          <w:rFonts w:ascii="Times New Roman" w:hAnsi="Times New Roman"/>
          <w:b/>
          <w:noProof/>
          <w:sz w:val="24"/>
        </w:rPr>
        <w:t>privātā sektora nozīmi cilvēku tirdzniecības novēršanā</w:t>
      </w:r>
      <w:r>
        <w:rPr>
          <w:rFonts w:ascii="Times New Roman" w:hAnsi="Times New Roman"/>
          <w:noProof/>
          <w:sz w:val="24"/>
        </w:rPr>
        <w:t>.</w:t>
      </w:r>
    </w:p>
    <w:p w:rsidR="00C46F70" w:rsidRDefault="00CA6337">
      <w:pPr>
        <w:pStyle w:val="Body"/>
        <w:jc w:val="both"/>
        <w:rPr>
          <w:rFonts w:ascii="Times New Roman" w:eastAsia="Times New Roman" w:hAnsi="Times New Roman" w:cs="Times New Roman"/>
          <w:b/>
          <w:bCs/>
          <w:i/>
          <w:iCs/>
          <w:noProof/>
          <w:sz w:val="24"/>
          <w:szCs w:val="24"/>
          <w:u w:val="single"/>
        </w:rPr>
      </w:pPr>
      <w:r>
        <w:rPr>
          <w:rFonts w:ascii="Times New Roman" w:hAnsi="Times New Roman"/>
          <w:b/>
          <w:i/>
          <w:noProof/>
          <w:sz w:val="24"/>
          <w:u w:val="single"/>
        </w:rPr>
        <w:t>Kriminālatbildības noteikšana par cietušo sniegto pakalpojumu izman</w:t>
      </w:r>
      <w:r>
        <w:rPr>
          <w:rFonts w:ascii="Times New Roman" w:hAnsi="Times New Roman"/>
          <w:b/>
          <w:i/>
          <w:noProof/>
          <w:sz w:val="24"/>
          <w:u w:val="single"/>
        </w:rPr>
        <w:t>tošanu</w:t>
      </w:r>
    </w:p>
    <w:p w:rsidR="00C46F70" w:rsidRDefault="00CA6337">
      <w:pPr>
        <w:pStyle w:val="Body"/>
        <w:jc w:val="both"/>
        <w:rPr>
          <w:rFonts w:ascii="Times New Roman" w:hAnsi="Times New Roman"/>
          <w:b/>
          <w:bCs/>
          <w:noProof/>
          <w:sz w:val="24"/>
          <w:szCs w:val="24"/>
        </w:rPr>
      </w:pPr>
      <w:r>
        <w:rPr>
          <w:rFonts w:ascii="Times New Roman" w:hAnsi="Times New Roman"/>
          <w:noProof/>
          <w:sz w:val="24"/>
        </w:rPr>
        <w:t xml:space="preserve">Dalībvalstis mazāk uzmanības ir pievērsušas jautājumam par izmaiņu ieviešanu tiesību aktos attiecībā uz tām personām, kas izmanto cilvēku tirdzniecībā cietušo sniegtos pakalpojumus, kā ierosināts </w:t>
      </w:r>
      <w:r>
        <w:rPr>
          <w:rFonts w:ascii="Times New Roman" w:hAnsi="Times New Roman"/>
          <w:b/>
          <w:noProof/>
          <w:sz w:val="24"/>
        </w:rPr>
        <w:t>Cilvēku tirdzniecības novēršanas direktīvas 18. panta</w:t>
      </w:r>
      <w:r>
        <w:rPr>
          <w:rFonts w:ascii="Times New Roman" w:hAnsi="Times New Roman"/>
          <w:b/>
          <w:noProof/>
          <w:sz w:val="24"/>
        </w:rPr>
        <w:t xml:space="preserve"> 4. punktā</w:t>
      </w:r>
      <w:r>
        <w:rPr>
          <w:rFonts w:ascii="Times New Roman" w:hAnsi="Times New Roman"/>
          <w:noProof/>
          <w:sz w:val="24"/>
        </w:rPr>
        <w:t xml:space="preserve">. Šobrīd aptuveni </w:t>
      </w:r>
      <w:r>
        <w:rPr>
          <w:rFonts w:ascii="Times New Roman" w:hAnsi="Times New Roman"/>
          <w:b/>
          <w:noProof/>
          <w:sz w:val="24"/>
        </w:rPr>
        <w:t>pusē dalībvalstu cilvēku tirdzniecībā cietušo sniegto pakalpojumu izmantošana, apzinoties, ka tie ir pārdoti, tiek uzskatīta par noziedzīgu nodarījumu</w:t>
      </w:r>
      <w:r>
        <w:rPr>
          <w:rStyle w:val="FootnoteReference"/>
          <w:rFonts w:ascii="Times New Roman" w:hAnsi="Times New Roman"/>
          <w:noProof/>
          <w:sz w:val="24"/>
        </w:rPr>
        <w:footnoteReference w:id="41"/>
      </w:r>
      <w:r>
        <w:rPr>
          <w:rFonts w:ascii="Times New Roman" w:hAnsi="Times New Roman"/>
          <w:noProof/>
          <w:sz w:val="24"/>
        </w:rPr>
        <w:t>.</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b/>
          <w:noProof/>
          <w:sz w:val="24"/>
        </w:rPr>
        <w:t>Direktīvā par sankcijām pret darba devējiem</w:t>
      </w:r>
      <w:r>
        <w:rPr>
          <w:rStyle w:val="FootnoteReference"/>
          <w:noProof/>
        </w:rPr>
        <w:footnoteReference w:id="42"/>
      </w:r>
      <w:r>
        <w:rPr>
          <w:rFonts w:ascii="Times New Roman" w:hAnsi="Times New Roman"/>
          <w:noProof/>
          <w:sz w:val="24"/>
        </w:rPr>
        <w:t xml:space="preserve">, kurai ir līdzīga, taču </w:t>
      </w:r>
      <w:r>
        <w:rPr>
          <w:rFonts w:ascii="Times New Roman" w:hAnsi="Times New Roman"/>
          <w:noProof/>
          <w:sz w:val="24"/>
        </w:rPr>
        <w:t>šaurāka darbības joma, jau ir noteikts, ka dalībvalstīm ir jāpiemēro kriminālsankcijas darba devējiem, kas izmanto tādu trešo valstu valstspiederīgo darbu vai pakalpojumus, kuri dalībvalstī uzturas nelikumīgi, un kas apzinās, ka tie ir cilvēku tirdzniecībā</w:t>
      </w:r>
      <w:r>
        <w:rPr>
          <w:rFonts w:ascii="Times New Roman" w:hAnsi="Times New Roman"/>
          <w:noProof/>
          <w:sz w:val="24"/>
        </w:rPr>
        <w:t xml:space="preserve"> cietušie. Tādējādi noteikti ir jānodrošina konsekvence un jānovērš jebkādas esošās juridiskās nepilnības, kuru rezultātā var rasties nesodāmība.</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Nereti kriminālatbildības noteikšana cilvēku tirdzniecībā cietušo sniegto pakalpojumu saņēmējiem ir saistīta a</w:t>
      </w:r>
      <w:r>
        <w:rPr>
          <w:rFonts w:ascii="Times New Roman" w:hAnsi="Times New Roman"/>
          <w:noProof/>
          <w:sz w:val="24"/>
        </w:rPr>
        <w:t xml:space="preserve">r prostitūciju. Attiecībā uz bērnu prostitūciju </w:t>
      </w:r>
      <w:r>
        <w:rPr>
          <w:rFonts w:ascii="Times New Roman" w:hAnsi="Times New Roman"/>
          <w:b/>
          <w:noProof/>
          <w:sz w:val="24"/>
        </w:rPr>
        <w:t>Bērnu seksuālās izmantošanas direktīva</w:t>
      </w:r>
      <w:r>
        <w:rPr>
          <w:rStyle w:val="FootnoteReference"/>
          <w:rFonts w:ascii="Times New Roman" w:hAnsi="Times New Roman"/>
          <w:noProof/>
          <w:sz w:val="24"/>
        </w:rPr>
        <w:footnoteReference w:id="43"/>
      </w:r>
      <w:r>
        <w:rPr>
          <w:rFonts w:ascii="Times New Roman" w:hAnsi="Times New Roman"/>
          <w:noProof/>
          <w:sz w:val="24"/>
        </w:rPr>
        <w:t xml:space="preserve"> arī netiešā veidā palīdz cīnīties pret bērnu tirdzniecību, nosakot dalībvalstīm pienākumu nodrošināt, ka par iesaistīšanos seksuālās darbībās ar bērnu, izmantojot bērnu</w:t>
      </w:r>
      <w:r>
        <w:rPr>
          <w:rFonts w:ascii="Times New Roman" w:hAnsi="Times New Roman"/>
          <w:noProof/>
          <w:sz w:val="24"/>
        </w:rPr>
        <w:t xml:space="preserve"> prostitūciju, tiek noteikta kriminālatbildība un tiek piemēroti obligātie cietumsodu līmeņi.</w:t>
      </w:r>
    </w:p>
    <w:p w:rsidR="00C46F70" w:rsidRDefault="00CA6337">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hAnsi="Times New Roman"/>
          <w:noProof/>
          <w:sz w:val="24"/>
          <w:szCs w:val="24"/>
        </w:rPr>
      </w:pPr>
      <w:r>
        <w:rPr>
          <w:rFonts w:ascii="Times New Roman" w:hAnsi="Times New Roman"/>
          <w:noProof/>
          <w:sz w:val="24"/>
        </w:rPr>
        <w:t xml:space="preserve">Komisijas iegūtā informācija liecina par </w:t>
      </w:r>
      <w:r>
        <w:rPr>
          <w:rFonts w:ascii="Times New Roman" w:hAnsi="Times New Roman"/>
          <w:b/>
          <w:noProof/>
          <w:sz w:val="24"/>
        </w:rPr>
        <w:t>nepieciešamību noteikt stingrus aizsardzības pasākumus, kas nodrošina, ka netiek sodīti cietušie</w:t>
      </w:r>
      <w:r>
        <w:rPr>
          <w:rFonts w:ascii="Times New Roman" w:hAnsi="Times New Roman"/>
          <w:noProof/>
          <w:sz w:val="24"/>
        </w:rPr>
        <w:t xml:space="preserve">, </w:t>
      </w:r>
      <w:r>
        <w:rPr>
          <w:rFonts w:ascii="Times New Roman" w:hAnsi="Times New Roman"/>
          <w:b/>
          <w:noProof/>
          <w:sz w:val="24"/>
        </w:rPr>
        <w:t xml:space="preserve">bet gan tās personas, </w:t>
      </w:r>
      <w:r>
        <w:rPr>
          <w:rFonts w:ascii="Times New Roman" w:hAnsi="Times New Roman"/>
          <w:b/>
          <w:noProof/>
          <w:sz w:val="24"/>
        </w:rPr>
        <w:t>kas viņus ekspluatē un izmanto</w:t>
      </w:r>
      <w:r>
        <w:rPr>
          <w:rFonts w:ascii="Times New Roman" w:hAnsi="Times New Roman"/>
          <w:noProof/>
          <w:sz w:val="24"/>
        </w:rPr>
        <w:t xml:space="preserve">. Ja šis jautājums netiks risināts, cietušie tiks uztverti kā noziedznieki un sodīti, kamēr nozieguma izpildītāji un pakalpojumu izmantotāji gūs peļņu no šādas rīcības trūkuma. </w:t>
      </w:r>
      <w:r>
        <w:rPr>
          <w:rFonts w:ascii="Times New Roman" w:hAnsi="Times New Roman"/>
          <w:b/>
          <w:noProof/>
          <w:sz w:val="24"/>
        </w:rPr>
        <w:t>Šajā saistībā ir būtiski veikt pasākumus, tostarp</w:t>
      </w:r>
      <w:r>
        <w:rPr>
          <w:rFonts w:ascii="Times New Roman" w:hAnsi="Times New Roman"/>
          <w:b/>
          <w:noProof/>
          <w:sz w:val="24"/>
        </w:rPr>
        <w:t xml:space="preserve"> juridiskus, lai nodrošinātu tāda pieprasījuma samazināšanos, kas veicina visu veidu cilvēku tirdzniecību ekspluatācijas mērķiem. </w:t>
      </w:r>
    </w:p>
    <w:p w:rsidR="00C46F70" w:rsidRDefault="00CA6337">
      <w:pPr>
        <w:pStyle w:val="Heading2"/>
        <w:numPr>
          <w:ilvl w:val="1"/>
          <w:numId w:val="5"/>
        </w:numPr>
        <w:spacing w:after="240"/>
        <w:rPr>
          <w:rFonts w:ascii="Times New Roman" w:eastAsia="Times New Roman" w:hAnsi="Times New Roman" w:cs="Times New Roman"/>
          <w:noProof/>
          <w:color w:val="000000"/>
          <w:u w:val="single" w:color="000000"/>
        </w:rPr>
      </w:pPr>
      <w:r>
        <w:rPr>
          <w:rFonts w:ascii="Times New Roman" w:hAnsi="Times New Roman"/>
          <w:noProof/>
          <w:color w:val="000000"/>
          <w:u w:val="single" w:color="000000"/>
        </w:rPr>
        <w:t>Finansiāls atbalsts cilvēku tirdzniecības jautājuma risināšanai un juridisko pienākumu īstenošanai</w:t>
      </w:r>
    </w:p>
    <w:p w:rsidR="00C46F70" w:rsidRDefault="00CA6337">
      <w:pPr>
        <w:pStyle w:val="Body"/>
        <w:jc w:val="both"/>
        <w:rPr>
          <w:rFonts w:ascii="Times New Roman" w:eastAsia="Times New Roman" w:hAnsi="Times New Roman" w:cs="Times New Roman"/>
          <w:noProof/>
        </w:rPr>
      </w:pPr>
      <w:r>
        <w:rPr>
          <w:rFonts w:ascii="Times New Roman" w:hAnsi="Times New Roman"/>
          <w:noProof/>
          <w:sz w:val="24"/>
        </w:rPr>
        <w:t>Viena no cilvēku tirdzniec</w:t>
      </w:r>
      <w:r>
        <w:rPr>
          <w:rFonts w:ascii="Times New Roman" w:hAnsi="Times New Roman"/>
          <w:noProof/>
          <w:sz w:val="24"/>
        </w:rPr>
        <w:t xml:space="preserve">ības jautājuma risināšanas būtiskākajām problēmām, ko konstatējušas gan dalībvalstis, gan nevalstiskās organizācijas, ir </w:t>
      </w:r>
      <w:r>
        <w:rPr>
          <w:rFonts w:ascii="Times New Roman" w:hAnsi="Times New Roman"/>
          <w:b/>
          <w:noProof/>
          <w:sz w:val="24"/>
        </w:rPr>
        <w:t>ierobežotie resursi, kas pieejami cilvēku tirdzniecības novēršanas pasākumiem, palīdzībai cietušajiem un valsts līmeņa novēršanas pasāk</w:t>
      </w:r>
      <w:r>
        <w:rPr>
          <w:rFonts w:ascii="Times New Roman" w:hAnsi="Times New Roman"/>
          <w:b/>
          <w:noProof/>
          <w:sz w:val="24"/>
        </w:rPr>
        <w:t>umiem</w:t>
      </w:r>
      <w:r>
        <w:rPr>
          <w:rFonts w:ascii="Times New Roman" w:hAnsi="Times New Roman"/>
          <w:noProof/>
          <w:sz w:val="24"/>
        </w:rPr>
        <w:t>. Arī globālā ekonomikas krīze ir negatīvi ietekmējusi šāda finansējuma piešķiršanu.</w:t>
      </w:r>
    </w:p>
    <w:p w:rsidR="00C46F70" w:rsidRDefault="00CA6337">
      <w:pPr>
        <w:pStyle w:val="Body"/>
        <w:jc w:val="both"/>
        <w:rPr>
          <w:rFonts w:ascii="Times New Roman" w:eastAsia="Times New Roman" w:hAnsi="Times New Roman" w:cs="Times New Roman"/>
          <w:noProof/>
          <w:sz w:val="24"/>
          <w:szCs w:val="24"/>
        </w:rPr>
      </w:pPr>
      <w:r>
        <w:rPr>
          <w:rFonts w:ascii="Times New Roman" w:hAnsi="Times New Roman"/>
          <w:noProof/>
          <w:sz w:val="24"/>
        </w:rPr>
        <w:t>Lielākajā daļā dalībvalstu praktisku palīdzību cietušajiem nenodrošina valsts vai vietējās iestādes, bet gan nevalstiskās organizācijas. Tādēļ ir svarīgi, lai šīm org</w:t>
      </w:r>
      <w:r>
        <w:rPr>
          <w:rFonts w:ascii="Times New Roman" w:hAnsi="Times New Roman"/>
          <w:noProof/>
          <w:sz w:val="24"/>
        </w:rPr>
        <w:t>anizācijām tiktu nodrošināts finansējums, kas ļauj tām sniegt efektīvu un ilgtspējīgu īstermiņa un ilgtermiņa palīdzību cilvēku tirdzniecībā cietušajiem.</w:t>
      </w:r>
    </w:p>
    <w:p w:rsidR="00C46F70" w:rsidRDefault="00CA633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caps/>
          <w:noProof/>
        </w:rPr>
      </w:pPr>
      <w:r>
        <w:rPr>
          <w:rFonts w:ascii="Times New Roman" w:hAnsi="Times New Roman"/>
          <w:b/>
          <w:noProof/>
          <w:sz w:val="24"/>
        </w:rPr>
        <w:t>Budžeta piešķīrumiem vajadzētu būt pietiekamiem, lai efektīvi risinātu cilvēku tirdzniecības jautājumu</w:t>
      </w:r>
      <w:r>
        <w:rPr>
          <w:rFonts w:ascii="Times New Roman" w:hAnsi="Times New Roman"/>
          <w:b/>
          <w:noProof/>
          <w:sz w:val="24"/>
        </w:rPr>
        <w:t>, un tas būtu jāveic sadarbībā ar pilsonisko sabiedrību</w:t>
      </w:r>
      <w:r>
        <w:rPr>
          <w:rFonts w:ascii="Times New Roman" w:hAnsi="Times New Roman"/>
          <w:noProof/>
          <w:sz w:val="24"/>
        </w:rPr>
        <w:t xml:space="preserve">. </w:t>
      </w:r>
      <w:r>
        <w:rPr>
          <w:rFonts w:ascii="Times New Roman" w:hAnsi="Times New Roman"/>
          <w:b/>
          <w:noProof/>
          <w:sz w:val="24"/>
        </w:rPr>
        <w:t>Visu to ES fondu efektīva izmantošana dalībvalstīs</w:t>
      </w:r>
      <w:r>
        <w:rPr>
          <w:rFonts w:ascii="Times New Roman" w:hAnsi="Times New Roman"/>
          <w:noProof/>
          <w:sz w:val="24"/>
        </w:rPr>
        <w:t xml:space="preserve">, kuri saistīti ar cilvēku tirdzniecības jautājuma risināšanu, un </w:t>
      </w:r>
      <w:r>
        <w:rPr>
          <w:rFonts w:ascii="Times New Roman" w:hAnsi="Times New Roman"/>
          <w:b/>
          <w:noProof/>
          <w:sz w:val="24"/>
        </w:rPr>
        <w:t>izmaksu ziņā efektīvu valsts pasākumu īstenošana</w:t>
      </w:r>
      <w:r>
        <w:rPr>
          <w:rFonts w:ascii="Times New Roman" w:hAnsi="Times New Roman"/>
          <w:noProof/>
          <w:sz w:val="24"/>
        </w:rPr>
        <w:t xml:space="preserve"> var dot reālus rezultātus un nodro</w:t>
      </w:r>
      <w:r>
        <w:rPr>
          <w:rFonts w:ascii="Times New Roman" w:hAnsi="Times New Roman"/>
          <w:noProof/>
          <w:sz w:val="24"/>
        </w:rPr>
        <w:t>šināt ilgtermiņa ietekmi.</w:t>
      </w:r>
    </w:p>
    <w:p w:rsidR="00C46F70" w:rsidRDefault="00CA6337">
      <w:pPr>
        <w:pStyle w:val="Heading"/>
        <w:spacing w:before="0"/>
        <w:rPr>
          <w:rFonts w:ascii="Times New Roman" w:hAnsi="Times New Roman" w:cs="Times New Roman"/>
          <w:caps/>
          <w:noProof/>
          <w:color w:val="000000"/>
          <w:u w:color="000000"/>
        </w:rPr>
      </w:pPr>
      <w:r>
        <w:rPr>
          <w:rFonts w:ascii="Times New Roman" w:hAnsi="Times New Roman"/>
          <w:caps/>
          <w:noProof/>
          <w:color w:val="000000"/>
          <w:u w:color="000000"/>
        </w:rPr>
        <w:t>SECINĀJUMI</w:t>
      </w:r>
    </w:p>
    <w:p w:rsidR="00C46F70" w:rsidRDefault="00CA6337">
      <w:pPr>
        <w:pStyle w:val="Body"/>
        <w:spacing w:before="240"/>
        <w:jc w:val="both"/>
        <w:rPr>
          <w:rFonts w:ascii="Times New Roman" w:eastAsia="Times New Roman" w:hAnsi="Times New Roman" w:cs="Times New Roman"/>
          <w:noProof/>
          <w:sz w:val="24"/>
          <w:szCs w:val="24"/>
        </w:rPr>
      </w:pPr>
      <w:r>
        <w:rPr>
          <w:rFonts w:ascii="Times New Roman" w:hAnsi="Times New Roman"/>
          <w:noProof/>
          <w:sz w:val="24"/>
        </w:rPr>
        <w:t xml:space="preserve">Balstoties uz dalībvalstu un citu ieinteresēto personu ieguldījumu šā ziņojuma izstrādē, ir iespējams izcelt vairākas </w:t>
      </w:r>
      <w:r>
        <w:rPr>
          <w:rFonts w:ascii="Times New Roman" w:hAnsi="Times New Roman"/>
          <w:b/>
          <w:noProof/>
          <w:sz w:val="24"/>
        </w:rPr>
        <w:t>galvenās problēmas</w:t>
      </w:r>
      <w:r>
        <w:rPr>
          <w:rFonts w:ascii="Times New Roman" w:hAnsi="Times New Roman"/>
          <w:noProof/>
          <w:sz w:val="24"/>
        </w:rPr>
        <w:t xml:space="preserve">, kuras ES un tās dalībvalstīm ir prioritāri jārisina, tam veltot atbilstošus </w:t>
      </w:r>
      <w:r>
        <w:rPr>
          <w:rFonts w:ascii="Times New Roman" w:hAnsi="Times New Roman"/>
          <w:noProof/>
          <w:sz w:val="24"/>
        </w:rPr>
        <w:t>centienus un resursus.</w:t>
      </w:r>
    </w:p>
    <w:p w:rsidR="00C46F70" w:rsidRDefault="00CA6337">
      <w:pPr>
        <w:pStyle w:val="Body"/>
        <w:spacing w:before="240"/>
        <w:jc w:val="both"/>
        <w:rPr>
          <w:rFonts w:ascii="Times New Roman" w:hAnsi="Times New Roman"/>
          <w:b/>
          <w:noProof/>
          <w:sz w:val="24"/>
          <w:szCs w:val="24"/>
        </w:rPr>
      </w:pPr>
      <w:r>
        <w:rPr>
          <w:rFonts w:ascii="Times New Roman" w:hAnsi="Times New Roman"/>
          <w:noProof/>
          <w:sz w:val="24"/>
        </w:rPr>
        <w:t xml:space="preserve">Šajā saistībā dalībvalstīm būtu </w:t>
      </w:r>
      <w:r>
        <w:rPr>
          <w:rFonts w:ascii="Times New Roman" w:hAnsi="Times New Roman"/>
          <w:b/>
          <w:noProof/>
          <w:sz w:val="24"/>
        </w:rPr>
        <w:t>jāpievēršas visu ekspluatācijas veidu izskaušanai un tie visi jāpadara par prioritāti</w:t>
      </w:r>
      <w:r>
        <w:rPr>
          <w:rFonts w:ascii="Times New Roman" w:hAnsi="Times New Roman"/>
          <w:noProof/>
          <w:sz w:val="24"/>
        </w:rPr>
        <w:t xml:space="preserve">; jāpalielina </w:t>
      </w:r>
      <w:r>
        <w:rPr>
          <w:rFonts w:ascii="Times New Roman" w:hAnsi="Times New Roman"/>
          <w:b/>
          <w:noProof/>
          <w:sz w:val="24"/>
        </w:rPr>
        <w:t>izmeklēšanas un kriminālvajāšanu skaits, kā arī to efektivitāte</w:t>
      </w:r>
      <w:r>
        <w:rPr>
          <w:rFonts w:ascii="Times New Roman" w:hAnsi="Times New Roman"/>
          <w:noProof/>
          <w:sz w:val="24"/>
        </w:rPr>
        <w:t xml:space="preserve">; jāuzlabo </w:t>
      </w:r>
      <w:r>
        <w:rPr>
          <w:rFonts w:ascii="Times New Roman" w:hAnsi="Times New Roman"/>
          <w:b/>
          <w:noProof/>
          <w:sz w:val="24"/>
        </w:rPr>
        <w:t>datu vākšanas efektivitāte</w:t>
      </w:r>
      <w:r>
        <w:rPr>
          <w:rFonts w:ascii="Times New Roman" w:hAnsi="Times New Roman"/>
          <w:noProof/>
          <w:sz w:val="24"/>
        </w:rPr>
        <w:t xml:space="preserve"> c</w:t>
      </w:r>
      <w:r>
        <w:rPr>
          <w:rFonts w:ascii="Times New Roman" w:hAnsi="Times New Roman"/>
          <w:noProof/>
          <w:sz w:val="24"/>
        </w:rPr>
        <w:t xml:space="preserve">ilvēku tirdzniecības jomā; jāpievēršas </w:t>
      </w:r>
      <w:r>
        <w:rPr>
          <w:rFonts w:ascii="Times New Roman" w:hAnsi="Times New Roman"/>
          <w:b/>
          <w:noProof/>
          <w:sz w:val="24"/>
        </w:rPr>
        <w:t>visu cietušo agrīnai identifikācijai</w:t>
      </w:r>
      <w:r>
        <w:rPr>
          <w:rFonts w:ascii="Times New Roman" w:hAnsi="Times New Roman"/>
          <w:noProof/>
          <w:sz w:val="24"/>
        </w:rPr>
        <w:t xml:space="preserve">, tostarp izveidojot šim nolūkam atbilstošus mehānismus; jānodrošina, ka visiem cietušajiem tiek piedāvāta </w:t>
      </w:r>
      <w:r>
        <w:rPr>
          <w:rFonts w:ascii="Times New Roman" w:hAnsi="Times New Roman"/>
          <w:b/>
          <w:noProof/>
          <w:sz w:val="24"/>
        </w:rPr>
        <w:t>aizsardzība un palīdzība</w:t>
      </w:r>
      <w:r>
        <w:rPr>
          <w:rFonts w:ascii="Times New Roman" w:hAnsi="Times New Roman"/>
          <w:noProof/>
          <w:sz w:val="24"/>
        </w:rPr>
        <w:t xml:space="preserve">; visās darbībās jāīsteno </w:t>
      </w:r>
      <w:r>
        <w:rPr>
          <w:rFonts w:ascii="Times New Roman" w:hAnsi="Times New Roman"/>
          <w:b/>
          <w:noProof/>
          <w:sz w:val="24"/>
        </w:rPr>
        <w:t>dzimumspecifiski</w:t>
      </w:r>
      <w:r>
        <w:rPr>
          <w:rFonts w:ascii="Times New Roman" w:hAnsi="Times New Roman"/>
          <w:noProof/>
          <w:sz w:val="24"/>
        </w:rPr>
        <w:t xml:space="preserve"> pasākum</w:t>
      </w:r>
      <w:r>
        <w:rPr>
          <w:rFonts w:ascii="Times New Roman" w:hAnsi="Times New Roman"/>
          <w:noProof/>
          <w:sz w:val="24"/>
        </w:rPr>
        <w:t xml:space="preserve">i un jāieņem </w:t>
      </w:r>
      <w:r>
        <w:rPr>
          <w:rFonts w:ascii="Times New Roman" w:hAnsi="Times New Roman"/>
          <w:b/>
          <w:noProof/>
          <w:sz w:val="24"/>
        </w:rPr>
        <w:t>uz bērnu interesēm vērsta</w:t>
      </w:r>
      <w:r>
        <w:rPr>
          <w:rFonts w:ascii="Times New Roman" w:hAnsi="Times New Roman"/>
          <w:noProof/>
          <w:sz w:val="24"/>
        </w:rPr>
        <w:t xml:space="preserve"> pieeja; jāpievēršas </w:t>
      </w:r>
      <w:r>
        <w:rPr>
          <w:rFonts w:ascii="Times New Roman" w:hAnsi="Times New Roman"/>
          <w:b/>
          <w:noProof/>
          <w:sz w:val="24"/>
        </w:rPr>
        <w:t>visneaizsargātākajiem</w:t>
      </w:r>
      <w:r>
        <w:rPr>
          <w:rFonts w:ascii="Times New Roman" w:hAnsi="Times New Roman"/>
          <w:noProof/>
          <w:sz w:val="24"/>
        </w:rPr>
        <w:t xml:space="preserve"> cietušajiem, tostarp riskam pakļautajiem bērniem; jāsniedz </w:t>
      </w:r>
      <w:r>
        <w:rPr>
          <w:rFonts w:ascii="Times New Roman" w:hAnsi="Times New Roman"/>
          <w:b/>
          <w:noProof/>
          <w:sz w:val="24"/>
        </w:rPr>
        <w:t>pienācīgs atbalsts cietušajiem bērniem</w:t>
      </w:r>
      <w:r>
        <w:rPr>
          <w:rFonts w:ascii="Times New Roman" w:hAnsi="Times New Roman"/>
          <w:noProof/>
          <w:sz w:val="24"/>
        </w:rPr>
        <w:t xml:space="preserve">; </w:t>
      </w:r>
      <w:r>
        <w:rPr>
          <w:rFonts w:ascii="Times New Roman" w:hAnsi="Times New Roman"/>
          <w:b/>
          <w:noProof/>
          <w:sz w:val="24"/>
        </w:rPr>
        <w:t>jānovērš</w:t>
      </w:r>
      <w:r>
        <w:rPr>
          <w:rFonts w:ascii="Times New Roman" w:hAnsi="Times New Roman"/>
          <w:noProof/>
          <w:sz w:val="24"/>
        </w:rPr>
        <w:t xml:space="preserve"> cilvēku tirdzniecība, risinot jautājumu par </w:t>
      </w:r>
      <w:r>
        <w:rPr>
          <w:rFonts w:ascii="Times New Roman" w:hAnsi="Times New Roman"/>
          <w:b/>
          <w:noProof/>
          <w:sz w:val="24"/>
        </w:rPr>
        <w:t>pieprasījumu</w:t>
      </w:r>
      <w:r>
        <w:rPr>
          <w:rFonts w:ascii="Times New Roman" w:hAnsi="Times New Roman"/>
          <w:noProof/>
          <w:sz w:val="24"/>
        </w:rPr>
        <w:t>, kas veici</w:t>
      </w:r>
      <w:r>
        <w:rPr>
          <w:rFonts w:ascii="Times New Roman" w:hAnsi="Times New Roman"/>
          <w:noProof/>
          <w:sz w:val="24"/>
        </w:rPr>
        <w:t xml:space="preserve">na visu veidu ekspluatāciju; sistemātiski </w:t>
      </w:r>
      <w:r>
        <w:rPr>
          <w:rFonts w:ascii="Times New Roman" w:hAnsi="Times New Roman"/>
          <w:b/>
          <w:noProof/>
          <w:sz w:val="24"/>
        </w:rPr>
        <w:t>jāizvērtē valstu stratēģijas un rīcības plāni</w:t>
      </w:r>
      <w:r>
        <w:rPr>
          <w:rFonts w:ascii="Times New Roman" w:hAnsi="Times New Roman"/>
          <w:noProof/>
          <w:sz w:val="24"/>
        </w:rPr>
        <w:t xml:space="preserve">; jāpiešķir </w:t>
      </w:r>
      <w:r>
        <w:rPr>
          <w:rFonts w:ascii="Times New Roman" w:hAnsi="Times New Roman"/>
          <w:b/>
          <w:noProof/>
          <w:sz w:val="24"/>
        </w:rPr>
        <w:t>atbilstoši resursi</w:t>
      </w:r>
      <w:r>
        <w:rPr>
          <w:rFonts w:ascii="Times New Roman" w:hAnsi="Times New Roman"/>
          <w:noProof/>
          <w:sz w:val="24"/>
        </w:rPr>
        <w:t xml:space="preserve"> cilvēku tirdzniecības jautājuma risināšanai un </w:t>
      </w:r>
      <w:r>
        <w:rPr>
          <w:rFonts w:ascii="Times New Roman" w:hAnsi="Times New Roman"/>
          <w:b/>
          <w:noProof/>
          <w:sz w:val="24"/>
        </w:rPr>
        <w:t>jēgpilni jāsadarbojas ar pilsonisko sabiedrību</w:t>
      </w:r>
      <w:r>
        <w:rPr>
          <w:rFonts w:ascii="Times New Roman" w:hAnsi="Times New Roman"/>
          <w:noProof/>
          <w:sz w:val="24"/>
        </w:rPr>
        <w:t>.</w:t>
      </w:r>
    </w:p>
    <w:p w:rsidR="00C46F70" w:rsidRDefault="00CA633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Times New Roman" w:hAnsi="Times New Roman"/>
          <w:noProof/>
          <w:sz w:val="24"/>
          <w:szCs w:val="24"/>
        </w:rPr>
      </w:pPr>
      <w:r>
        <w:rPr>
          <w:rFonts w:ascii="Times New Roman" w:hAnsi="Times New Roman"/>
          <w:noProof/>
          <w:sz w:val="24"/>
        </w:rPr>
        <w:t xml:space="preserve">Ir svarīgi, lai dalībvalstis mudinātu </w:t>
      </w:r>
      <w:r>
        <w:rPr>
          <w:rFonts w:ascii="Times New Roman" w:hAnsi="Times New Roman"/>
          <w:b/>
          <w:noProof/>
          <w:sz w:val="24"/>
        </w:rPr>
        <w:t>valdības un neatkarīgās iestādes regulāri līdzdarboties ES referentu vai līdzvērtīgu mehānismu (</w:t>
      </w:r>
      <w:r>
        <w:rPr>
          <w:rFonts w:ascii="Times New Roman" w:hAnsi="Times New Roman"/>
          <w:b/>
          <w:i/>
          <w:noProof/>
          <w:sz w:val="24"/>
        </w:rPr>
        <w:t>NREM</w:t>
      </w:r>
      <w:r>
        <w:rPr>
          <w:rFonts w:ascii="Times New Roman" w:hAnsi="Times New Roman"/>
          <w:b/>
          <w:noProof/>
          <w:sz w:val="24"/>
        </w:rPr>
        <w:t>) tīklā</w:t>
      </w:r>
      <w:r>
        <w:rPr>
          <w:rFonts w:ascii="Times New Roman" w:hAnsi="Times New Roman"/>
          <w:noProof/>
          <w:sz w:val="24"/>
        </w:rPr>
        <w:t xml:space="preserve">, kas tām ļautu informēti un koordinēti strādāt </w:t>
      </w:r>
      <w:r>
        <w:rPr>
          <w:rFonts w:ascii="Times New Roman" w:hAnsi="Times New Roman"/>
          <w:b/>
          <w:noProof/>
          <w:sz w:val="24"/>
        </w:rPr>
        <w:t>operatīvā, stratēģiskā un uzraudzības</w:t>
      </w:r>
      <w:r>
        <w:rPr>
          <w:rFonts w:ascii="Times New Roman" w:hAnsi="Times New Roman"/>
          <w:noProof/>
          <w:sz w:val="24"/>
        </w:rPr>
        <w:t xml:space="preserve"> līmenī. </w:t>
      </w:r>
    </w:p>
    <w:p w:rsidR="00C46F70" w:rsidRDefault="00CA6337">
      <w:pPr>
        <w:pStyle w:val="Body"/>
        <w:spacing w:before="240"/>
        <w:jc w:val="both"/>
        <w:rPr>
          <w:rFonts w:ascii="Times New Roman" w:hAnsi="Times New Roman"/>
          <w:noProof/>
          <w:sz w:val="24"/>
          <w:szCs w:val="24"/>
        </w:rPr>
      </w:pPr>
      <w:r>
        <w:rPr>
          <w:rFonts w:ascii="Times New Roman" w:hAnsi="Times New Roman"/>
          <w:b/>
          <w:noProof/>
          <w:sz w:val="24"/>
        </w:rPr>
        <w:t xml:space="preserve">Visu attiecīgo starptautisko un reģionālo instrumentu </w:t>
      </w:r>
      <w:r>
        <w:rPr>
          <w:rFonts w:ascii="Times New Roman" w:hAnsi="Times New Roman"/>
          <w:b/>
          <w:noProof/>
          <w:sz w:val="24"/>
        </w:rPr>
        <w:t>ratifikācija</w:t>
      </w:r>
      <w:r>
        <w:rPr>
          <w:rFonts w:ascii="Times New Roman" w:hAnsi="Times New Roman"/>
          <w:noProof/>
          <w:sz w:val="24"/>
        </w:rPr>
        <w:t xml:space="preserve"> dalībvalstīs var veicināt kopīgo centienu efektivitāti un konsekvenci. Šajā saistībā nepieciešams veicināt </w:t>
      </w:r>
      <w:r>
        <w:rPr>
          <w:rFonts w:ascii="Times New Roman" w:hAnsi="Times New Roman"/>
          <w:b/>
          <w:noProof/>
          <w:sz w:val="24"/>
        </w:rPr>
        <w:t>starptautiskās sadarbības stiprināšanu</w:t>
      </w:r>
      <w:r>
        <w:rPr>
          <w:rFonts w:ascii="Times New Roman" w:hAnsi="Times New Roman"/>
          <w:noProof/>
          <w:sz w:val="24"/>
        </w:rPr>
        <w:t xml:space="preserve"> informācijas apmaiņai, datu vākšanai, izpētei, uzraudzībai un izvērtēšanai, lai maksimāli palieli</w:t>
      </w:r>
      <w:r>
        <w:rPr>
          <w:rFonts w:ascii="Times New Roman" w:hAnsi="Times New Roman"/>
          <w:noProof/>
          <w:sz w:val="24"/>
        </w:rPr>
        <w:t>nātu rīcības ietekmi un izvairītos no centienu dublēšanās, kā arī samazinātu dalībvalstu administratīvo slogu.</w:t>
      </w:r>
    </w:p>
    <w:p w:rsidR="00C46F70" w:rsidRDefault="00CA6337">
      <w:pPr>
        <w:pStyle w:val="Body"/>
        <w:pBdr>
          <w:top w:val="single" w:sz="4" w:space="1" w:color="auto"/>
          <w:left w:val="single" w:sz="4" w:space="1" w:color="auto"/>
          <w:bottom w:val="single" w:sz="4" w:space="1" w:color="auto"/>
          <w:right w:val="single" w:sz="4" w:space="1" w:color="auto"/>
        </w:pBdr>
        <w:spacing w:before="240"/>
        <w:jc w:val="both"/>
        <w:rPr>
          <w:rFonts w:ascii="Times New Roman" w:eastAsia="Times New Roman" w:hAnsi="Times New Roman" w:cs="Times New Roman"/>
          <w:noProof/>
          <w:sz w:val="24"/>
          <w:szCs w:val="24"/>
        </w:rPr>
      </w:pPr>
      <w:r>
        <w:rPr>
          <w:rFonts w:ascii="Times New Roman" w:hAnsi="Times New Roman"/>
          <w:noProof/>
          <w:sz w:val="24"/>
        </w:rPr>
        <w:t>Cilvēku tirdzniecības novēršanas direktīvas pieņemšana un transponēšanas process valstu līmenī</w:t>
      </w:r>
      <w:r>
        <w:rPr>
          <w:rStyle w:val="FootnoteReference"/>
          <w:rFonts w:ascii="Times New Roman" w:hAnsi="Times New Roman"/>
          <w:noProof/>
          <w:sz w:val="24"/>
        </w:rPr>
        <w:footnoteReference w:id="44"/>
      </w:r>
      <w:r>
        <w:rPr>
          <w:rFonts w:ascii="Times New Roman" w:hAnsi="Times New Roman"/>
          <w:noProof/>
          <w:sz w:val="24"/>
        </w:rPr>
        <w:t xml:space="preserve"> ir radījis nozīmīgu impulsu izpratnes veicināšana</w:t>
      </w:r>
      <w:r>
        <w:rPr>
          <w:rFonts w:ascii="Times New Roman" w:hAnsi="Times New Roman"/>
          <w:noProof/>
          <w:sz w:val="24"/>
        </w:rPr>
        <w:t xml:space="preserve">i attiecībā uz šīs parādības apmēru ES un nepieciešamību to novērst, izmantojot plašu instrumentu diapazonu saistībā ar novēršanu, aizsardzību un saukšanu pie kriminālatbildības. Tā rezultātā, </w:t>
      </w:r>
      <w:r>
        <w:rPr>
          <w:rFonts w:ascii="Times New Roman" w:hAnsi="Times New Roman"/>
          <w:b/>
          <w:noProof/>
          <w:sz w:val="24"/>
        </w:rPr>
        <w:t>atbilstoši un pilnā mērā īstenojot ES direktīvu, dalībvalstis n</w:t>
      </w:r>
      <w:r>
        <w:rPr>
          <w:rFonts w:ascii="Times New Roman" w:hAnsi="Times New Roman"/>
          <w:b/>
          <w:noProof/>
          <w:sz w:val="24"/>
        </w:rPr>
        <w:t>odrošinās nozieguma novēršanu, nozieguma izpildītāju saukšanu pie kriminālatbildības un — visbūtiskāk — cietušo aizsardzību.</w:t>
      </w:r>
    </w:p>
    <w:p w:rsidR="00C46F70" w:rsidRDefault="00CA6337">
      <w:pPr>
        <w:pStyle w:val="Body"/>
        <w:spacing w:before="240"/>
        <w:jc w:val="both"/>
        <w:rPr>
          <w:rFonts w:ascii="Times New Roman" w:eastAsia="Times New Roman" w:hAnsi="Times New Roman" w:cs="Times New Roman"/>
          <w:noProof/>
          <w:sz w:val="24"/>
          <w:szCs w:val="24"/>
        </w:rPr>
      </w:pPr>
      <w:r>
        <w:rPr>
          <w:rFonts w:ascii="Times New Roman" w:hAnsi="Times New Roman"/>
          <w:noProof/>
          <w:sz w:val="24"/>
        </w:rPr>
        <w:t xml:space="preserve">Komisija turpinās centienus īstenot koordinētus un saskaņotus pretpasākumus cilvēku tirdzniecībai. Līdz 2016. gada beigām Komisija </w:t>
      </w:r>
      <w:r>
        <w:rPr>
          <w:rFonts w:ascii="Times New Roman" w:hAnsi="Times New Roman"/>
          <w:noProof/>
          <w:sz w:val="24"/>
        </w:rPr>
        <w:t>publicēs divus turpmākus ziņojumus, kas noteikti Cilvēku tirdzniecības novēršanas direktīvas 23. pantā, par pienākumu izpildi un kriminālatbildības piemērošanu, kā arī Stratēģiju cilvēku tirdzniecības izskaušanai laikposmam pēc 2016. gada.</w:t>
      </w:r>
    </w:p>
    <w:sectPr w:rsidR="00C46F70">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70" w:rsidRDefault="00CA6337">
      <w:r>
        <w:separator/>
      </w:r>
    </w:p>
  </w:endnote>
  <w:endnote w:type="continuationSeparator" w:id="0">
    <w:p w:rsidR="00C46F70" w:rsidRDefault="00C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7" w:rsidRDefault="00CA6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70" w:rsidRDefault="00CA6337">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7" w:rsidRDefault="00CA63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70" w:rsidRDefault="00C46F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70" w:rsidRDefault="00CA6337">
    <w:pPr>
      <w:pStyle w:val="Footer"/>
      <w:tabs>
        <w:tab w:val="clear" w:pos="9072"/>
        <w:tab w:val="right" w:pos="9046"/>
      </w:tabs>
      <w:jc w:val="center"/>
    </w:pPr>
    <w:r>
      <w:fldChar w:fldCharType="begin"/>
    </w:r>
    <w:r>
      <w:instrText xml:space="preserve"> PAGE </w:instrText>
    </w:r>
    <w:r>
      <w:fldChar w:fldCharType="separate"/>
    </w:r>
    <w:r>
      <w:rPr>
        <w:noProof/>
      </w:rPr>
      <w:t>16</w:t>
    </w:r>
    <w:r>
      <w:fldChar w:fldCharType="end"/>
    </w:r>
  </w:p>
  <w:p w:rsidR="00C46F70" w:rsidRDefault="00C46F70">
    <w:pPr>
      <w:pStyle w:val="Footer"/>
      <w:tabs>
        <w:tab w:val="clear" w:pos="9072"/>
        <w:tab w:val="right" w:pos="904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70" w:rsidRDefault="00C46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70" w:rsidRDefault="00CA6337">
      <w:r>
        <w:separator/>
      </w:r>
    </w:p>
  </w:footnote>
  <w:footnote w:type="continuationSeparator" w:id="0">
    <w:p w:rsidR="00C46F70" w:rsidRDefault="00CA6337">
      <w:r>
        <w:continuationSeparator/>
      </w:r>
    </w:p>
  </w:footnote>
  <w:footnote w:type="continuationNotice" w:id="1">
    <w:p w:rsidR="00C46F70" w:rsidRDefault="00C46F70"/>
  </w:footnote>
  <w:footnote w:id="2">
    <w:p w:rsidR="00C46F70" w:rsidRDefault="00CA6337">
      <w:pPr>
        <w:pStyle w:val="FootnoteText"/>
        <w:rPr>
          <w:lang w:val="en-GB"/>
        </w:rPr>
      </w:pPr>
      <w:r>
        <w:rPr>
          <w:vertAlign w:val="superscript"/>
        </w:rPr>
        <w:footnoteRef/>
      </w:r>
      <w:r>
        <w:tab/>
      </w:r>
      <w:hyperlink r:id="rId1" w:history="1">
        <w:r>
          <w:rPr>
            <w:rStyle w:val="Hyperlink0"/>
            <w:rFonts w:eastAsia="Calibri"/>
          </w:rPr>
          <w:t>http://eur-lex.europa.eu/legal-content/LV/ALL/?uri=CELEX:32011L0036</w:t>
        </w:r>
      </w:hyperlink>
    </w:p>
  </w:footnote>
  <w:footnote w:id="3">
    <w:p w:rsidR="00C46F70" w:rsidRDefault="00CA6337">
      <w:pPr>
        <w:pStyle w:val="FootnoteText"/>
        <w:rPr>
          <w:lang w:val="en-GB"/>
        </w:rPr>
      </w:pPr>
      <w:r>
        <w:rPr>
          <w:vertAlign w:val="superscript"/>
        </w:rPr>
        <w:footnoteRef/>
      </w:r>
      <w:r>
        <w:tab/>
      </w:r>
      <w:hyperlink r:id="rId2">
        <w:r>
          <w:rPr>
            <w:rStyle w:val="Hyperlink0"/>
            <w:rFonts w:eastAsia="Calibri"/>
          </w:rPr>
          <w:t>https://ec.europa.eu/anti-trafficking/eu-anti-trafficking-coordinator_en</w:t>
        </w:r>
      </w:hyperlink>
      <w:r>
        <w:t xml:space="preserve"> </w:t>
      </w:r>
    </w:p>
  </w:footnote>
  <w:footnote w:id="4">
    <w:p w:rsidR="00C46F70" w:rsidRDefault="00CA6337">
      <w:pPr>
        <w:pStyle w:val="FootnoteText"/>
        <w:rPr>
          <w:lang w:val="en-GB"/>
        </w:rPr>
      </w:pPr>
      <w:r>
        <w:rPr>
          <w:vertAlign w:val="superscript"/>
        </w:rPr>
        <w:footnoteRef/>
      </w:r>
      <w:r>
        <w:tab/>
      </w:r>
      <w:r>
        <w:rPr>
          <w:i/>
        </w:rPr>
        <w:t>SWD</w:t>
      </w:r>
      <w:r>
        <w:t>(2016) 159.</w:t>
      </w:r>
    </w:p>
  </w:footnote>
  <w:footnote w:id="5">
    <w:p w:rsidR="00C46F70" w:rsidRDefault="00CA6337">
      <w:pPr>
        <w:pStyle w:val="FootnoteText"/>
        <w:rPr>
          <w:lang w:val="en-GB"/>
        </w:rPr>
      </w:pPr>
      <w:r>
        <w:rPr>
          <w:vertAlign w:val="superscript"/>
        </w:rPr>
        <w:footnoteRef/>
      </w:r>
      <w:r>
        <w:tab/>
      </w:r>
      <w:hyperlink r:id="rId3" w:history="1">
        <w:r>
          <w:rPr>
            <w:rStyle w:val="Hyperlink0"/>
            <w:rFonts w:eastAsia="Calibri"/>
          </w:rPr>
          <w:t>http://eur-lex.europa.eu/legal-content/LV/ALL/?uri=CELEX:52012DC0286</w:t>
        </w:r>
      </w:hyperlink>
    </w:p>
  </w:footnote>
  <w:footnote w:id="6">
    <w:p w:rsidR="00C46F70" w:rsidRDefault="00CA6337">
      <w:pPr>
        <w:pStyle w:val="FootnoteText"/>
        <w:rPr>
          <w:rFonts w:cs="Times New Roman"/>
          <w:u w:val="single"/>
          <w:lang w:val="en-GB"/>
        </w:rPr>
      </w:pPr>
      <w:r>
        <w:rPr>
          <w:rStyle w:val="FootnoteReference"/>
        </w:rPr>
        <w:footnoteRef/>
      </w:r>
      <w:r>
        <w:tab/>
      </w:r>
      <w:hyperlink r:id="rId4">
        <w:r>
          <w:rPr>
            <w:rStyle w:val="Hyperlink0"/>
            <w:rFonts w:eastAsia="Calibri"/>
          </w:rPr>
          <w:t>http://ec.europa.eu/dgs/home-affairs/what-we-do/policies/european-agenda-mig</w:t>
        </w:r>
        <w:r>
          <w:rPr>
            <w:rStyle w:val="Hyperlink0"/>
            <w:rFonts w:eastAsia="Calibri"/>
          </w:rPr>
          <w:t>ration/background-information/docs/communication_on_the_european_agenda_on_migration_lv.pdf</w:t>
        </w:r>
      </w:hyperlink>
    </w:p>
  </w:footnote>
  <w:footnote w:id="7">
    <w:p w:rsidR="00C46F70" w:rsidRDefault="00CA6337">
      <w:pPr>
        <w:pStyle w:val="FootnoteText"/>
        <w:rPr>
          <w:rFonts w:cs="Times New Roman"/>
          <w:lang w:val="en-GB"/>
        </w:rPr>
      </w:pPr>
      <w:r>
        <w:rPr>
          <w:rStyle w:val="FootnoteReference"/>
        </w:rPr>
        <w:footnoteRef/>
      </w:r>
      <w:r>
        <w:tab/>
      </w:r>
      <w:hyperlink r:id="rId5">
        <w:r>
          <w:rPr>
            <w:rStyle w:val="Hyperlink0"/>
            <w:rFonts w:eastAsia="Calibri"/>
          </w:rPr>
          <w:t>http://ec.europa.eu/dgs/home-affairs</w:t>
        </w:r>
        <w:r>
          <w:rPr>
            <w:rStyle w:val="Hyperlink0"/>
            <w:rFonts w:eastAsia="Calibri"/>
          </w:rPr>
          <w:t>/e-library/documents/basic-documents/docs/eu_agenda_on_security_en.pdf</w:t>
        </w:r>
      </w:hyperlink>
      <w:r>
        <w:t xml:space="preserve"> </w:t>
      </w:r>
    </w:p>
  </w:footnote>
  <w:footnote w:id="8">
    <w:p w:rsidR="00C46F70" w:rsidRDefault="00CA6337">
      <w:pPr>
        <w:pStyle w:val="FootnoteText"/>
        <w:rPr>
          <w:rFonts w:cs="Times New Roman"/>
          <w:lang w:val="en-GB"/>
        </w:rPr>
      </w:pPr>
      <w:r>
        <w:rPr>
          <w:rStyle w:val="FootnoteReference"/>
        </w:rPr>
        <w:footnoteRef/>
      </w:r>
      <w:r>
        <w:tab/>
      </w:r>
      <w:hyperlink r:id="rId6">
        <w:r>
          <w:rPr>
            <w:rStyle w:val="Hyperlink0"/>
            <w:rFonts w:eastAsia="Calibri"/>
          </w:rPr>
          <w:t>http://ec.europa.eu/dgs/home-</w:t>
        </w:r>
        <w:r>
          <w:rPr>
            <w:rStyle w:val="Hyperlink0"/>
            <w:rFonts w:eastAsia="Calibri"/>
          </w:rPr>
          <w:t>affairs/e-library/documents/policies/asylum/general/docs/eu_action_plan_against_migrant_smuggling_lv.pdf</w:t>
        </w:r>
      </w:hyperlink>
    </w:p>
  </w:footnote>
  <w:footnote w:id="9">
    <w:p w:rsidR="00C46F70" w:rsidRDefault="00CA6337">
      <w:pPr>
        <w:pStyle w:val="FootnoteText"/>
        <w:rPr>
          <w:rFonts w:cs="Times New Roman"/>
        </w:rPr>
      </w:pPr>
      <w:r>
        <w:rPr>
          <w:rStyle w:val="FootnoteReference"/>
        </w:rPr>
        <w:footnoteRef/>
      </w:r>
      <w:r>
        <w:tab/>
      </w:r>
      <w:hyperlink r:id="rId7" w:history="1">
        <w:r>
          <w:rPr>
            <w:rStyle w:val="Hyperlink0"/>
            <w:rFonts w:eastAsia="Calibri"/>
          </w:rPr>
          <w:t>https://ec</w:t>
        </w:r>
        <w:r>
          <w:rPr>
            <w:rStyle w:val="Hyperlink0"/>
            <w:rFonts w:eastAsia="Calibri"/>
          </w:rPr>
          <w:t>.europa.eu/anti-trafficking/sites/antitrafficking/files/joint_communication_on_human_rights_and_democracy_en.pdf</w:t>
        </w:r>
      </w:hyperlink>
      <w:r>
        <w:rPr>
          <w:rFonts w:cs="Times New Roman"/>
        </w:rPr>
        <w:t xml:space="preserve"> </w:t>
      </w:r>
    </w:p>
  </w:footnote>
  <w:footnote w:id="10">
    <w:p w:rsidR="00C46F70" w:rsidRDefault="00CA6337">
      <w:pPr>
        <w:pStyle w:val="FootnoteText"/>
        <w:rPr>
          <w:rFonts w:cs="Times New Roman"/>
        </w:rPr>
      </w:pPr>
      <w:r>
        <w:rPr>
          <w:rStyle w:val="FootnoteReference"/>
        </w:rPr>
        <w:footnoteRef/>
      </w:r>
      <w:r>
        <w:tab/>
      </w:r>
      <w:hyperlink r:id="rId8">
        <w:r>
          <w:rPr>
            <w:rStyle w:val="Hyperlink0"/>
            <w:rFonts w:eastAsia="Calibri"/>
          </w:rPr>
          <w:t>http://ec.europa.</w:t>
        </w:r>
        <w:r>
          <w:rPr>
            <w:rStyle w:val="Hyperlink0"/>
            <w:rFonts w:eastAsia="Calibri"/>
          </w:rPr>
          <w:t>eu/europeaid/sites/devco/files/staff-working-document-gender-2016-2020-20150922_en.pdf</w:t>
        </w:r>
      </w:hyperlink>
      <w:r>
        <w:t xml:space="preserve"> </w:t>
      </w:r>
    </w:p>
  </w:footnote>
  <w:footnote w:id="11">
    <w:p w:rsidR="00C46F70" w:rsidRDefault="00CA6337">
      <w:pPr>
        <w:pStyle w:val="FootnoteText"/>
        <w:rPr>
          <w:rFonts w:cs="Times New Roman"/>
        </w:rPr>
      </w:pPr>
      <w:r>
        <w:rPr>
          <w:rStyle w:val="FootnoteReference"/>
        </w:rPr>
        <w:footnoteRef/>
      </w:r>
      <w:r>
        <w:tab/>
      </w:r>
      <w:hyperlink r:id="rId9" w:history="1">
        <w:r>
          <w:rPr>
            <w:rStyle w:val="Hyperlink0"/>
            <w:rFonts w:eastAsia="Calibri"/>
          </w:rPr>
          <w:t>http://ec.europa.eu/europeaid/sites/devco/files/staff-working-document-gender-2016-2020-20150922_en.pdf</w:t>
        </w:r>
      </w:hyperlink>
      <w:r>
        <w:rPr>
          <w:rFonts w:cs="Times New Roman"/>
        </w:rPr>
        <w:t xml:space="preserve"> </w:t>
      </w:r>
    </w:p>
  </w:footnote>
  <w:footnote w:id="12">
    <w:p w:rsidR="00C46F70" w:rsidRDefault="00CA6337">
      <w:pPr>
        <w:pStyle w:val="FootnoteText"/>
        <w:rPr>
          <w:rFonts w:cs="Times New Roman"/>
        </w:rPr>
      </w:pPr>
      <w:r>
        <w:rPr>
          <w:vertAlign w:val="superscript"/>
        </w:rPr>
        <w:footnoteRef/>
      </w:r>
      <w:r>
        <w:tab/>
        <w:t xml:space="preserve">Visa informācija par ES pilsoniskās sabiedrības platformu ir pieejama specializētā Komisijas tīmekļa vietnē: </w:t>
      </w:r>
      <w:hyperlink r:id="rId10">
        <w:r>
          <w:rPr>
            <w:rStyle w:val="Hyperlink0"/>
            <w:rFonts w:eastAsia="Calibri"/>
          </w:rPr>
          <w:t>http://ec.europa.eu/anti-trafficking/</w:t>
        </w:r>
      </w:hyperlink>
      <w:r>
        <w:rPr>
          <w:rStyle w:val="Hyperlink0"/>
          <w:rFonts w:eastAsia="Calibri"/>
        </w:rPr>
        <w:t>.</w:t>
      </w:r>
    </w:p>
  </w:footnote>
  <w:footnote w:id="13">
    <w:p w:rsidR="00C46F70" w:rsidRDefault="00CA6337">
      <w:pPr>
        <w:pStyle w:val="FootnoteText"/>
      </w:pPr>
      <w:r>
        <w:rPr>
          <w:vertAlign w:val="superscript"/>
        </w:rPr>
        <w:footnoteRef/>
      </w:r>
      <w:r>
        <w:tab/>
        <w:t>Īpašs pieprasījums attiecībā uz 2013. un 2014. gada statistikas datiem dalībvalstīm tika nosūtīts 2015. gada decembrī.</w:t>
      </w:r>
    </w:p>
  </w:footnote>
  <w:footnote w:id="14">
    <w:p w:rsidR="00C46F70" w:rsidRDefault="00CA6337">
      <w:pPr>
        <w:pStyle w:val="FootnoteText"/>
      </w:pPr>
      <w:r>
        <w:rPr>
          <w:vertAlign w:val="superscript"/>
        </w:rPr>
        <w:footnoteRef/>
      </w:r>
      <w:r>
        <w:tab/>
      </w:r>
      <w:hyperlink r:id="rId11">
        <w:r>
          <w:rPr>
            <w:rStyle w:val="Hyperlink0"/>
            <w:rFonts w:eastAsia="Calibri"/>
          </w:rPr>
          <w:t>https://ec.europa.eu/anti-trafficking/sites/antitrafficking/files/eurostat_report_on_trafficking_in_human_beings_-_2015_edition.pdf</w:t>
        </w:r>
      </w:hyperlink>
      <w:r>
        <w:t xml:space="preserve"> </w:t>
      </w:r>
    </w:p>
  </w:footnote>
  <w:footnote w:id="15">
    <w:p w:rsidR="00C46F70" w:rsidRDefault="00CA6337">
      <w:pPr>
        <w:pStyle w:val="FootnoteText"/>
      </w:pPr>
      <w:r>
        <w:rPr>
          <w:vertAlign w:val="superscript"/>
        </w:rPr>
        <w:footnoteRef/>
      </w:r>
      <w:r>
        <w:t xml:space="preserve"> </w:t>
      </w:r>
      <w:r>
        <w:tab/>
        <w:t>Dati šim ziņojumam tika vākti vienkāršotā star</w:t>
      </w:r>
      <w:r>
        <w:t>pposma izpētē, ko veica pēc divu </w:t>
      </w:r>
      <w:r>
        <w:rPr>
          <w:i/>
        </w:rPr>
        <w:t>Eurostat</w:t>
      </w:r>
      <w:r>
        <w:t xml:space="preserve"> darba dokumentu par cilvēku tirdzniecību publicēšanas un pirms jebkādas turpmākas oficiālas datu vākšanas. Lai iegūtu sīkāku informāciju par to, kā Komisija vāc datus par cilvēku tirdzniecību, skatiet, lūdzu, </w:t>
      </w:r>
      <w:r>
        <w:rPr>
          <w:i/>
        </w:rPr>
        <w:t>Euros</w:t>
      </w:r>
      <w:r>
        <w:rPr>
          <w:i/>
        </w:rPr>
        <w:t>tat</w:t>
      </w:r>
      <w:r>
        <w:t xml:space="preserve"> statistikas darba dokumenta “Cilvēku tirdzniecība” 2015. gada izdevumu.</w:t>
      </w:r>
    </w:p>
  </w:footnote>
  <w:footnote w:id="16">
    <w:p w:rsidR="00C46F70" w:rsidRDefault="00CA6337">
      <w:pPr>
        <w:pStyle w:val="FootnoteText"/>
      </w:pPr>
      <w:r>
        <w:rPr>
          <w:rStyle w:val="FootnoteReference"/>
        </w:rPr>
        <w:footnoteRef/>
      </w:r>
      <w:r>
        <w:tab/>
        <w:t>Saskaņā ar Cilvēku tirdzniecības novēršanas direktīvas definīciju jēdziens “identificēts cietušais” attiecas uz personu, ko attiecīgās iestādes oficiāli atzinušas par cilvēku tir</w:t>
      </w:r>
      <w:r>
        <w:t>dzniecības upuri. Jēdzienu “potenciāls cietušais” lieto, lai apzīmētu cilvēku tirdzniecībā cietušo, kurš atbilst ES direktīvas kritērijiem, bet kuru kompetentās iestādes nav formāli atzinušas par cilvēku tirdzniecības upuri vai kurš atteicies tikt oficiāli</w:t>
      </w:r>
      <w:r>
        <w:t xml:space="preserve"> un juridiski atzīts par cilvēku tirdzniecības upuri. Dažas valstis savos apkopotajos datos ir iekļāvušas abas kategorijas, bet citas valstis – tikai vienu no divām kategorijām.</w:t>
      </w:r>
    </w:p>
  </w:footnote>
  <w:footnote w:id="17">
    <w:p w:rsidR="00C46F70" w:rsidRDefault="00CA6337">
      <w:pPr>
        <w:pStyle w:val="FootnoteText"/>
      </w:pPr>
      <w:r>
        <w:rPr>
          <w:rStyle w:val="FootnoteReference"/>
        </w:rPr>
        <w:footnoteRef/>
      </w:r>
      <w:r>
        <w:tab/>
        <w:t>Pamatojoties uz dalībvalstu iesniegtajiem datiem, kas daļēji sadalīti pēc ve</w:t>
      </w:r>
      <w:r>
        <w:t>cuma.</w:t>
      </w:r>
    </w:p>
  </w:footnote>
  <w:footnote w:id="18">
    <w:p w:rsidR="00C46F70" w:rsidRDefault="00CA6337">
      <w:pPr>
        <w:pStyle w:val="FootnoteText"/>
      </w:pPr>
      <w:r>
        <w:rPr>
          <w:rStyle w:val="FootnoteReference"/>
        </w:rPr>
        <w:footnoteRef/>
      </w:r>
      <w:r>
        <w:tab/>
        <w:t xml:space="preserve">Tas var ietvert personas, kas valstu līmenī turētas aizdomās, apcietinātas vai kriminālprocesuāli brīdinātas par noziedzīgu nodarījumu. Definīciju skatīt </w:t>
      </w:r>
      <w:r>
        <w:rPr>
          <w:i/>
        </w:rPr>
        <w:t>Eurostat</w:t>
      </w:r>
      <w:r>
        <w:t xml:space="preserve"> Noziedzības un kriminālās tiesvedības metadatus </w:t>
      </w:r>
      <w:r>
        <w:rPr>
          <w:i/>
          <w:sz w:val="19"/>
          <w:szCs w:val="19"/>
        </w:rPr>
        <w:t>Euro SDMX</w:t>
      </w:r>
      <w:r>
        <w:rPr>
          <w:sz w:val="19"/>
          <w:szCs w:val="19"/>
        </w:rPr>
        <w:t xml:space="preserve"> metadatu struktūrā (</w:t>
      </w:r>
      <w:r>
        <w:rPr>
          <w:i/>
          <w:sz w:val="19"/>
          <w:szCs w:val="19"/>
        </w:rPr>
        <w:t>ESMS</w:t>
      </w:r>
      <w:r>
        <w:rPr>
          <w:sz w:val="19"/>
          <w:szCs w:val="19"/>
        </w:rPr>
        <w:t xml:space="preserve">): </w:t>
      </w:r>
      <w:hyperlink r:id="rId12" w:history="1">
        <w:r>
          <w:rPr>
            <w:rStyle w:val="Hyperlink"/>
          </w:rPr>
          <w:t>http://ec.europa.eu/eurostat/cache/metadata/en/crim_esms.htm</w:t>
        </w:r>
      </w:hyperlink>
    </w:p>
  </w:footnote>
  <w:footnote w:id="19">
    <w:p w:rsidR="00C46F70" w:rsidRDefault="00CA6337">
      <w:pPr>
        <w:pStyle w:val="FootnoteText"/>
      </w:pPr>
      <w:r>
        <w:rPr>
          <w:vertAlign w:val="superscript"/>
        </w:rPr>
        <w:footnoteRef/>
      </w:r>
      <w:r>
        <w:tab/>
        <w:t>Ne visas dalībvalstis ir iesniegušas datus par kriminālās tiesvedības procesu. Turklāt, lai gan lielākā daļa dalībva</w:t>
      </w:r>
      <w:r>
        <w:t>lstu atsaucas uz atsevišķiem cilvēkiem, dažas dalībvalstis atsaucas uz lietām vai nodarījumiem, nevis konkrētiem cilvēkiem.</w:t>
      </w:r>
    </w:p>
  </w:footnote>
  <w:footnote w:id="20">
    <w:p w:rsidR="00C46F70" w:rsidRDefault="00CA6337">
      <w:pPr>
        <w:pStyle w:val="FootnoteText"/>
      </w:pPr>
      <w:r>
        <w:rPr>
          <w:vertAlign w:val="superscript"/>
        </w:rPr>
        <w:footnoteRef/>
      </w:r>
      <w:r>
        <w:tab/>
        <w:t xml:space="preserve">Šie secinājumi ir atspoguļoti arī 2016. gada februāra </w:t>
      </w:r>
      <w:hyperlink r:id="rId13">
        <w:r>
          <w:rPr>
            <w:rStyle w:val="Hyperlink0"/>
            <w:rFonts w:eastAsia="Calibri"/>
          </w:rPr>
          <w:t>“Eiropola ziņojumā par situāciju cilvēku tirdzniecības jomā ES”</w:t>
        </w:r>
      </w:hyperlink>
      <w:r>
        <w:t>.</w:t>
      </w:r>
    </w:p>
  </w:footnote>
  <w:footnote w:id="21">
    <w:p w:rsidR="00C46F70" w:rsidRDefault="00CA6337">
      <w:pPr>
        <w:pStyle w:val="FootnoteText"/>
      </w:pPr>
      <w:r>
        <w:rPr>
          <w:vertAlign w:val="superscript"/>
        </w:rPr>
        <w:footnoteRef/>
      </w:r>
      <w:r>
        <w:tab/>
        <w:t>Turpat.</w:t>
      </w:r>
    </w:p>
  </w:footnote>
  <w:footnote w:id="22">
    <w:p w:rsidR="00C46F70" w:rsidRDefault="00CA6337">
      <w:pPr>
        <w:pStyle w:val="FootnoteText"/>
      </w:pPr>
      <w:r>
        <w:rPr>
          <w:vertAlign w:val="superscript"/>
        </w:rPr>
        <w:footnoteRef/>
      </w:r>
      <w:r>
        <w:tab/>
        <w:t xml:space="preserve">Saskaņā ar dalībvalstu sniegto informāciju galvenās nozares, kurās tiek ekspluatēti cietušie vīrieši, ir lauksaimniecība, būvniecība, viesnīcu un ēdināšanas pakalpojumi, </w:t>
      </w:r>
      <w:r>
        <w:t>ražošana un mājsaimniecības pakalpojumi. Cietušās sievietes galvenokārt tiek ekspluatētas mājsaimniecības pakalpojumos.</w:t>
      </w:r>
    </w:p>
  </w:footnote>
  <w:footnote w:id="23">
    <w:p w:rsidR="00C46F70" w:rsidRDefault="00CA6337">
      <w:pPr>
        <w:pStyle w:val="FootnoteText"/>
        <w:rPr>
          <w:rFonts w:cs="Times New Roman"/>
        </w:rPr>
      </w:pPr>
      <w:r>
        <w:rPr>
          <w:rStyle w:val="FootnoteReference"/>
        </w:rPr>
        <w:footnoteRef/>
      </w:r>
      <w:r>
        <w:tab/>
        <w:t>Kā ziņoja Eiropols savā 2016. gada februāra “Ziņojumā par situāciju cilvēku tirdzniecības jomā ES”.</w:t>
      </w:r>
    </w:p>
  </w:footnote>
  <w:footnote w:id="24">
    <w:p w:rsidR="00C46F70" w:rsidRDefault="00CA6337">
      <w:pPr>
        <w:pStyle w:val="FootnoteText"/>
      </w:pPr>
      <w:r>
        <w:rPr>
          <w:rStyle w:val="FootnoteReference"/>
        </w:rPr>
        <w:footnoteRef/>
      </w:r>
      <w:r>
        <w:tab/>
        <w:t>Jāņem vērā, ka dalībvalstis izma</w:t>
      </w:r>
      <w:r>
        <w:t>nto dažādus terminus, kas bieži attiecas uz vienu un to pašu parādību, īpaši attiecībā uz fiktīvām vai aprēķina laulībām. Definīcijas, kas piemērojamas ES tiesiskajā regulējumā par ES pilsoņu pārvietošanās brīvību, skatīt R</w:t>
      </w:r>
      <w:r>
        <w:rPr>
          <w:sz w:val="19"/>
          <w:szCs w:val="19"/>
        </w:rPr>
        <w:t>okasgrāmatu par to, kā ES tiesību</w:t>
      </w:r>
      <w:r>
        <w:rPr>
          <w:sz w:val="19"/>
          <w:szCs w:val="19"/>
        </w:rPr>
        <w:t xml:space="preserve"> aktu par ES pilsoņu tiesībām brīvi pārvietoties ietvaros risināt jautājumu par iespējamām fiktīvām laulībām starp ES pilsoņiem un trešo valstu valstspiederīgajiem, </w:t>
      </w:r>
      <w:r>
        <w:t xml:space="preserve">SWD(2014) 284, </w:t>
      </w:r>
      <w:r>
        <w:rPr>
          <w:sz w:val="19"/>
          <w:szCs w:val="19"/>
        </w:rPr>
        <w:t>http://ec.europa.eu/justice/citizen/files/swd_2014_284_lv.pdf</w:t>
      </w:r>
    </w:p>
  </w:footnote>
  <w:footnote w:id="25">
    <w:p w:rsidR="00C46F70" w:rsidRDefault="00CA6337">
      <w:pPr>
        <w:pStyle w:val="FootnoteText"/>
      </w:pPr>
      <w:r>
        <w:rPr>
          <w:vertAlign w:val="superscript"/>
        </w:rPr>
        <w:footnoteRef/>
      </w:r>
      <w:r>
        <w:tab/>
        <w:t>Eiropola 201</w:t>
      </w:r>
      <w:r>
        <w:t>6. gada februāra “Ziņojums par situāciju cilvēku tirdzniecības jomā ES”.</w:t>
      </w:r>
    </w:p>
  </w:footnote>
  <w:footnote w:id="26">
    <w:p w:rsidR="00C46F70" w:rsidRDefault="00CA6337">
      <w:pPr>
        <w:pStyle w:val="FootnoteText"/>
        <w:rPr>
          <w:rFonts w:cs="Times New Roman"/>
        </w:rPr>
      </w:pPr>
      <w:r>
        <w:rPr>
          <w:vertAlign w:val="superscript"/>
        </w:rPr>
        <w:footnoteRef/>
      </w:r>
      <w:r>
        <w:tab/>
        <w:t>Informācija attiecībā uz vecumu bija pieejama tikai par 13 841 no 15 846 reģistrētajiem cietušajiem. Tādēļ patiesais skaits var būt lielāks.</w:t>
      </w:r>
    </w:p>
  </w:footnote>
  <w:footnote w:id="27">
    <w:p w:rsidR="00C46F70" w:rsidRDefault="00CA6337">
      <w:pPr>
        <w:pStyle w:val="FootnoteText"/>
        <w:rPr>
          <w:rFonts w:cs="Times New Roman"/>
        </w:rPr>
      </w:pPr>
      <w:r>
        <w:rPr>
          <w:vertAlign w:val="superscript"/>
        </w:rPr>
        <w:footnoteRef/>
      </w:r>
      <w:r>
        <w:tab/>
      </w:r>
      <w:hyperlink r:id="rId14">
        <w:r>
          <w:rPr>
            <w:rStyle w:val="Hyperlink0"/>
            <w:rFonts w:eastAsia="Calibri"/>
          </w:rPr>
          <w:t>Eiropola 2014. gada informatīvais ziņojums “Bērnu tirdzniecība ekspluatācijai piespiedu noziedzīgās darbībās”</w:t>
        </w:r>
      </w:hyperlink>
      <w:r>
        <w:t>.</w:t>
      </w:r>
    </w:p>
  </w:footnote>
  <w:footnote w:id="28">
    <w:p w:rsidR="00C46F70" w:rsidRDefault="00CA6337">
      <w:pPr>
        <w:pStyle w:val="FootnoteText"/>
        <w:rPr>
          <w:rFonts w:cs="Times New Roman"/>
        </w:rPr>
      </w:pPr>
      <w:r>
        <w:rPr>
          <w:rStyle w:val="FootnoteReference"/>
        </w:rPr>
        <w:footnoteRef/>
      </w:r>
      <w:r>
        <w:tab/>
        <w:t>Apvienoto Nāciju Organizācij</w:t>
      </w:r>
      <w:r>
        <w:t xml:space="preserve">as Augstā komisāra bēgļu jautājumos birojs, </w:t>
      </w:r>
      <w:hyperlink r:id="rId15" w:history="1">
        <w:r>
          <w:rPr>
            <w:rStyle w:val="Hyperlink0"/>
            <w:rFonts w:eastAsia="Calibri"/>
          </w:rPr>
          <w:t>http://data.unhcr.org/mediterranean/regional.php</w:t>
        </w:r>
      </w:hyperlink>
      <w:r>
        <w:t>, 22.12.2015.</w:t>
      </w:r>
    </w:p>
  </w:footnote>
  <w:footnote w:id="29">
    <w:p w:rsidR="00C46F70" w:rsidRDefault="00CA6337">
      <w:pPr>
        <w:pStyle w:val="FootnoteText"/>
        <w:rPr>
          <w:rFonts w:cs="Times New Roman"/>
        </w:rPr>
      </w:pPr>
      <w:r>
        <w:rPr>
          <w:vertAlign w:val="superscript"/>
        </w:rPr>
        <w:footnoteRef/>
      </w:r>
      <w:r>
        <w:tab/>
        <w:t xml:space="preserve">Turpat. </w:t>
      </w:r>
    </w:p>
  </w:footnote>
  <w:footnote w:id="30">
    <w:p w:rsidR="00C46F70" w:rsidRDefault="00CA6337">
      <w:pPr>
        <w:pStyle w:val="FootnoteText"/>
        <w:rPr>
          <w:rFonts w:cs="Times New Roman"/>
        </w:rPr>
      </w:pPr>
      <w:r>
        <w:rPr>
          <w:rStyle w:val="FootnoteReference"/>
        </w:rPr>
        <w:footnoteRef/>
      </w:r>
      <w:r>
        <w:tab/>
      </w:r>
      <w:r>
        <w:t xml:space="preserve">Lai iegūtu sīkāku informāciju, lūdzu, skatiet Komisijas Pētījumu par augsta riska grupām </w:t>
      </w:r>
      <w:hyperlink r:id="rId16">
        <w:r>
          <w:rPr>
            <w:rStyle w:val="Hyperlink1"/>
            <w:rFonts w:eastAsia="Calibri"/>
          </w:rPr>
          <w:t>http://e</w:t>
        </w:r>
        <w:r>
          <w:rPr>
            <w:rStyle w:val="Hyperlink1"/>
            <w:rFonts w:eastAsia="Calibri"/>
          </w:rPr>
          <w:t>c.europa.eu/anti-trafficking/sites/antitrafficking/files/study_on_children_as_high_risk_groups_of_trafficking_in_human_beings_0.pdf</w:t>
        </w:r>
      </w:hyperlink>
    </w:p>
  </w:footnote>
  <w:footnote w:id="31">
    <w:p w:rsidR="00C46F70" w:rsidRDefault="00CA6337">
      <w:pPr>
        <w:pStyle w:val="FootnoteText"/>
        <w:rPr>
          <w:rFonts w:cs="Times New Roman"/>
        </w:rPr>
      </w:pPr>
      <w:r>
        <w:rPr>
          <w:rStyle w:val="FootnoteReference"/>
        </w:rPr>
        <w:footnoteRef/>
      </w:r>
      <w:r>
        <w:tab/>
        <w:t>Eiropola 2016. gada februāra “Ziņojums par situāciju cilvēku tirdzniecības jomā ES”.</w:t>
      </w:r>
    </w:p>
  </w:footnote>
  <w:footnote w:id="32">
    <w:p w:rsidR="00C46F70" w:rsidRDefault="00CA6337">
      <w:pPr>
        <w:pStyle w:val="FootnoteText"/>
      </w:pPr>
      <w:r>
        <w:rPr>
          <w:vertAlign w:val="superscript"/>
        </w:rPr>
        <w:footnoteRef/>
      </w:r>
      <w:r>
        <w:tab/>
        <w:t xml:space="preserve">Turpat. </w:t>
      </w:r>
    </w:p>
  </w:footnote>
  <w:footnote w:id="33">
    <w:p w:rsidR="00C46F70" w:rsidRDefault="00CA6337">
      <w:pPr>
        <w:pStyle w:val="FootnoteText"/>
      </w:pPr>
      <w:r>
        <w:rPr>
          <w:vertAlign w:val="superscript"/>
        </w:rPr>
        <w:footnoteRef/>
      </w:r>
      <w:r>
        <w:tab/>
      </w:r>
      <w:hyperlink r:id="rId17" w:history="1">
        <w:r>
          <w:rPr>
            <w:rStyle w:val="Hyperlink0"/>
            <w:rFonts w:eastAsia="Calibri"/>
          </w:rPr>
          <w:t>http://ec.europa.eu/dgs/home-affairs/what-we-do/policies/european-agenda-migration/pro</w:t>
        </w:r>
        <w:r>
          <w:rPr>
            <w:rStyle w:val="Hyperlink0"/>
            <w:rFonts w:eastAsia="Calibri"/>
          </w:rPr>
          <w:t>posal-implementation-package/docs/managing_the_refugee_crisis_state_of_play_20160210_en.pdf</w:t>
        </w:r>
      </w:hyperlink>
      <w:r>
        <w:t xml:space="preserve"> </w:t>
      </w:r>
    </w:p>
  </w:footnote>
  <w:footnote w:id="34">
    <w:p w:rsidR="00C46F70" w:rsidRDefault="00CA6337">
      <w:pPr>
        <w:pStyle w:val="FootnoteText"/>
        <w:rPr>
          <w:rFonts w:cs="Times New Roman"/>
        </w:rPr>
      </w:pPr>
      <w:r>
        <w:rPr>
          <w:rStyle w:val="FootnoteReference"/>
        </w:rPr>
        <w:footnoteRef/>
      </w:r>
      <w:r>
        <w:tab/>
        <w:t xml:space="preserve">Starptautiskā Migrācijas organizācija Itālijā, </w:t>
      </w:r>
      <w:hyperlink r:id="rId18" w:history="1">
        <w:r>
          <w:rPr>
            <w:rStyle w:val="Hyperlink0"/>
            <w:rFonts w:eastAsia="Calibri"/>
          </w:rPr>
          <w:t>http://www.italy.</w:t>
        </w:r>
        <w:r>
          <w:rPr>
            <w:rStyle w:val="Hyperlink0"/>
            <w:rFonts w:eastAsia="Calibri"/>
          </w:rPr>
          <w:t>iom.int/index.php?option=com_content&amp;task=view&amp;id=341&amp;Itemid=46</w:t>
        </w:r>
      </w:hyperlink>
    </w:p>
  </w:footnote>
  <w:footnote w:id="35">
    <w:p w:rsidR="00C46F70" w:rsidRDefault="00CA6337">
      <w:pPr>
        <w:pStyle w:val="Body"/>
        <w:spacing w:after="0"/>
        <w:ind w:left="284" w:hanging="284"/>
        <w:jc w:val="both"/>
        <w:rPr>
          <w:rFonts w:ascii="Times New Roman" w:hAnsi="Times New Roman" w:cs="Times New Roman"/>
          <w:sz w:val="20"/>
          <w:szCs w:val="20"/>
        </w:rPr>
      </w:pPr>
      <w:r>
        <w:rPr>
          <w:rFonts w:ascii="Times New Roman" w:hAnsi="Times New Roman"/>
          <w:sz w:val="20"/>
          <w:vertAlign w:val="superscript"/>
        </w:rPr>
        <w:footnoteRef/>
      </w:r>
      <w:r>
        <w:tab/>
      </w:r>
      <w:r>
        <w:rPr>
          <w:rFonts w:ascii="Times New Roman" w:hAnsi="Times New Roman"/>
          <w:sz w:val="20"/>
        </w:rPr>
        <w:t xml:space="preserve">Skatīt </w:t>
      </w:r>
      <w:hyperlink r:id="rId19">
        <w:r>
          <w:rPr>
            <w:rStyle w:val="Hyperlink2"/>
            <w:rFonts w:eastAsia="Calibri"/>
          </w:rPr>
          <w:t>Pamatnostādnes cilvēku tirdzniecībā cietušo identifikācijai</w:t>
        </w:r>
        <w:r>
          <w:rPr>
            <w:rStyle w:val="Hyperlink2"/>
            <w:rFonts w:eastAsia="Calibri"/>
          </w:rPr>
          <w:t>, jo īpaši konsulārajiem dienestiem un robežsargiem</w:t>
        </w:r>
      </w:hyperlink>
      <w:r>
        <w:rPr>
          <w:rFonts w:ascii="Times New Roman" w:hAnsi="Times New Roman"/>
          <w:sz w:val="20"/>
        </w:rPr>
        <w:t>, Eiropas Komisija, 2013.</w:t>
      </w:r>
    </w:p>
  </w:footnote>
  <w:footnote w:id="36">
    <w:p w:rsidR="00C46F70" w:rsidRDefault="00CA6337">
      <w:pPr>
        <w:pStyle w:val="FootnoteText"/>
        <w:rPr>
          <w:rFonts w:cs="Times New Roman"/>
        </w:rPr>
      </w:pPr>
      <w:r>
        <w:rPr>
          <w:rStyle w:val="FootnoteReference"/>
        </w:rPr>
        <w:footnoteRef/>
      </w:r>
      <w:r>
        <w:tab/>
        <w:t xml:space="preserve">Šis jautājums ir sīkāk aplūkots pievienotajā </w:t>
      </w:r>
      <w:r>
        <w:rPr>
          <w:i/>
        </w:rPr>
        <w:t>SWD</w:t>
      </w:r>
      <w:r>
        <w:t>.</w:t>
      </w:r>
    </w:p>
  </w:footnote>
  <w:footnote w:id="37">
    <w:p w:rsidR="00C46F70" w:rsidRDefault="00CA6337">
      <w:pPr>
        <w:pStyle w:val="Body"/>
        <w:spacing w:after="0" w:line="240" w:lineRule="auto"/>
        <w:ind w:left="284" w:hanging="284"/>
        <w:jc w:val="both"/>
        <w:rPr>
          <w:rFonts w:ascii="Times New Roman" w:hAnsi="Times New Roman" w:cs="Times New Roman"/>
          <w:sz w:val="20"/>
          <w:szCs w:val="20"/>
        </w:rPr>
      </w:pPr>
      <w:r>
        <w:rPr>
          <w:rFonts w:ascii="Times New Roman" w:hAnsi="Times New Roman"/>
          <w:sz w:val="20"/>
          <w:vertAlign w:val="superscript"/>
        </w:rPr>
        <w:footnoteRef/>
      </w:r>
      <w:r>
        <w:tab/>
      </w:r>
      <w:r>
        <w:rPr>
          <w:rFonts w:ascii="Times New Roman" w:hAnsi="Times New Roman"/>
          <w:sz w:val="20"/>
        </w:rPr>
        <w:t>Finanšu darījumu darba grupa (</w:t>
      </w:r>
      <w:r>
        <w:rPr>
          <w:rFonts w:ascii="Times New Roman" w:hAnsi="Times New Roman"/>
          <w:i/>
          <w:sz w:val="20"/>
        </w:rPr>
        <w:t>FATF</w:t>
      </w:r>
      <w:r>
        <w:rPr>
          <w:rFonts w:ascii="Times New Roman" w:hAnsi="Times New Roman"/>
          <w:sz w:val="20"/>
        </w:rPr>
        <w:t>) ir starpvaldību struktūra, ko 1989. gadā izveidoja tās dalībvalstu jurisdikciju ministri.</w:t>
      </w:r>
      <w:r>
        <w:rPr>
          <w:rFonts w:ascii="Times New Roman" w:hAnsi="Times New Roman"/>
          <w:sz w:val="20"/>
        </w:rPr>
        <w:t xml:space="preserve"> </w:t>
      </w:r>
    </w:p>
  </w:footnote>
  <w:footnote w:id="38">
    <w:p w:rsidR="00C46F70" w:rsidRDefault="00CA6337">
      <w:pPr>
        <w:pStyle w:val="FootnoteText"/>
      </w:pPr>
      <w:r>
        <w:rPr>
          <w:vertAlign w:val="superscript"/>
        </w:rPr>
        <w:footnoteRef/>
      </w:r>
      <w:r>
        <w:tab/>
        <w:t>Padomes savstarpējā izvērtējuma 5. kārtā visas ES dalībvalstis ir izvērtētas attiecībā uz finanšu noziegumiem un finanšu izmeklēšanu no 2008. gada līdz 2011. gadam.</w:t>
      </w:r>
    </w:p>
  </w:footnote>
  <w:footnote w:id="39">
    <w:p w:rsidR="00C46F70" w:rsidRDefault="00CA6337">
      <w:pPr>
        <w:pStyle w:val="Body"/>
        <w:spacing w:after="0"/>
        <w:ind w:left="284" w:hanging="284"/>
        <w:jc w:val="both"/>
        <w:rPr>
          <w:rFonts w:ascii="Times New Roman" w:hAnsi="Times New Roman" w:cs="Times New Roman"/>
          <w:sz w:val="20"/>
          <w:szCs w:val="20"/>
        </w:rPr>
      </w:pPr>
      <w:r>
        <w:rPr>
          <w:rFonts w:ascii="Times New Roman" w:hAnsi="Times New Roman"/>
          <w:sz w:val="20"/>
          <w:vertAlign w:val="superscript"/>
        </w:rPr>
        <w:footnoteRef/>
      </w:r>
      <w:r>
        <w:tab/>
      </w:r>
      <w:r>
        <w:rPr>
          <w:rFonts w:ascii="Times New Roman" w:hAnsi="Times New Roman"/>
          <w:sz w:val="20"/>
        </w:rPr>
        <w:t xml:space="preserve">Eiropas Savienības Padome savos secinājumos, kuros atzinīgi novērtēja ES Stratēģiju, aicināja dalībvalstis “izstrādāt vai atjaunināt tādus funkcionālos mehānismus cietušo nosūtīšanai uz atbalsta dienestiem, kā nolemts ES politikas ciklā, kuros aprakstītas </w:t>
      </w:r>
      <w:r>
        <w:rPr>
          <w:rFonts w:ascii="Times New Roman" w:hAnsi="Times New Roman"/>
          <w:sz w:val="20"/>
        </w:rPr>
        <w:t xml:space="preserve">procedūras cietušo efektīvākai identifikācijai, nosūtīšanai uz atbalsta dienestiem, aizsardzībai un palīdzībai un iekļautas visas attiecīgās valsts iestādes un pilsoniskā sabiedrība”, </w:t>
      </w:r>
      <w:hyperlink r:id="rId20">
        <w:r>
          <w:rPr>
            <w:rStyle w:val="Hyperlink2"/>
            <w:rFonts w:eastAsia="Calibri"/>
          </w:rPr>
          <w:t>http://ec.europa.eu/anti-trafficking/eu-policy/council-conclusions-new-eu-strategy_en</w:t>
        </w:r>
      </w:hyperlink>
    </w:p>
  </w:footnote>
  <w:footnote w:id="40">
    <w:p w:rsidR="00C46F70" w:rsidRDefault="00CA6337">
      <w:pPr>
        <w:pStyle w:val="FootnoteText"/>
      </w:pPr>
      <w:r>
        <w:rPr>
          <w:vertAlign w:val="superscript"/>
        </w:rPr>
        <w:footnoteRef/>
      </w:r>
      <w:r>
        <w:tab/>
        <w:t>Apvienotā Karaliste, Beļģija, Bulgārija, Čehijas Republika, Dānija, Grieķija, Horvātija, Īrija, Kipra, Latvija, Malta, Polija, Portugāl</w:t>
      </w:r>
      <w:r>
        <w:t>e, Rumānija, Slovākija, Spānija, Ungārija.</w:t>
      </w:r>
    </w:p>
  </w:footnote>
  <w:footnote w:id="41">
    <w:p w:rsidR="00C46F70" w:rsidRDefault="00CA6337">
      <w:pPr>
        <w:pStyle w:val="FootnoteText"/>
        <w:rPr>
          <w:rFonts w:cs="Times New Roman"/>
        </w:rPr>
      </w:pPr>
      <w:r>
        <w:rPr>
          <w:rStyle w:val="FootnoteReference"/>
        </w:rPr>
        <w:footnoteRef/>
      </w:r>
      <w:r>
        <w:tab/>
        <w:t>Šā ziņojuma mērķis nav pārbaudīt, vai dalībvalstis izpilda savus pienākumus, kas izriet no direktīvas 18. panta, jo tas tiks veikts atsevišķā ziņojumā, kā noteikts 23. pantā. Šajā ziņojumā ietvertā informācija n</w:t>
      </w:r>
      <w:r>
        <w:t>av pilnīga un nekādā veidā neietekmē Eiropas Komisijas secinājumus.</w:t>
      </w:r>
    </w:p>
  </w:footnote>
  <w:footnote w:id="42">
    <w:p w:rsidR="00C46F70" w:rsidRDefault="00CA6337">
      <w:pPr>
        <w:pStyle w:val="FootnoteText"/>
      </w:pPr>
      <w:r>
        <w:rPr>
          <w:vertAlign w:val="superscript"/>
        </w:rPr>
        <w:footnoteRef/>
      </w:r>
      <w:r>
        <w:tab/>
      </w:r>
      <w:hyperlink r:id="rId21">
        <w:r>
          <w:rPr>
            <w:rStyle w:val="Hyperlink0"/>
            <w:rFonts w:eastAsia="Calibri"/>
          </w:rPr>
          <w:t>http://eur-lex.europa.eu/LexUriServ/LexUriServ.do?uri=OJ:L:2009:168:0024:0032:LV:P</w:t>
        </w:r>
        <w:r>
          <w:rPr>
            <w:rStyle w:val="Hyperlink0"/>
            <w:rFonts w:eastAsia="Calibri"/>
          </w:rPr>
          <w:t>DF</w:t>
        </w:r>
      </w:hyperlink>
      <w:r>
        <w:t xml:space="preserve"> .</w:t>
      </w:r>
    </w:p>
  </w:footnote>
  <w:footnote w:id="43">
    <w:p w:rsidR="00C46F70" w:rsidRDefault="00CA6337">
      <w:pPr>
        <w:pStyle w:val="FootnoteText"/>
      </w:pPr>
      <w:r>
        <w:rPr>
          <w:vertAlign w:val="superscript"/>
        </w:rPr>
        <w:footnoteRef/>
      </w:r>
      <w:r>
        <w:tab/>
      </w:r>
      <w:hyperlink r:id="rId22">
        <w:r>
          <w:rPr>
            <w:rStyle w:val="Hyperlink0"/>
            <w:rFonts w:eastAsia="Calibri"/>
          </w:rPr>
          <w:t>Direktīva 2011/93/ES par seksuālas vardarbības pret bērniem, bērnu seksuālas izmantošanas un bērnu pornogrāfijas apkarošanu.</w:t>
        </w:r>
      </w:hyperlink>
    </w:p>
  </w:footnote>
  <w:footnote w:id="44">
    <w:p w:rsidR="00C46F70" w:rsidRDefault="00CA6337">
      <w:pPr>
        <w:pStyle w:val="FootnoteText"/>
        <w:rPr>
          <w:rFonts w:cs="Times New Roman"/>
        </w:rPr>
      </w:pPr>
      <w:r>
        <w:rPr>
          <w:rStyle w:val="FootnoteReference"/>
        </w:rPr>
        <w:footnoteRef/>
      </w:r>
      <w:r>
        <w:t xml:space="preserve"> Šobrīd 26 no 27 dalībvalstīm, uz </w:t>
      </w:r>
      <w:r>
        <w:t>kurām attiecas direktīva, ir paziņojušas Komisijai par pilnīgu tās transponēšanu.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7" w:rsidRDefault="00CA6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70" w:rsidRDefault="00C46F70" w:rsidP="00CA6337">
    <w:pPr>
      <w:pStyle w:val="HeaderCoverPage"/>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37" w:rsidRDefault="00CA63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70" w:rsidRDefault="00C46F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70" w:rsidRDefault="00C46F70">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70" w:rsidRDefault="00C46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5C4"/>
    <w:multiLevelType w:val="hybridMultilevel"/>
    <w:tmpl w:val="748A2F9E"/>
    <w:numStyleLink w:val="ImportedStyle4"/>
  </w:abstractNum>
  <w:abstractNum w:abstractNumId="1">
    <w:nsid w:val="130D7F86"/>
    <w:multiLevelType w:val="hybridMultilevel"/>
    <w:tmpl w:val="F4167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7B4571"/>
    <w:multiLevelType w:val="hybridMultilevel"/>
    <w:tmpl w:val="6B540E68"/>
    <w:styleLink w:val="ImportedStyle5"/>
    <w:lvl w:ilvl="0" w:tplc="1B38853C">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F864F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5626A8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1A8EF34">
      <w:start w:val="1"/>
      <w:numFmt w:val="bullet"/>
      <w:lvlText w:val="•"/>
      <w:lvlJc w:val="left"/>
      <w:pPr>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EF028F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78FAF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AF849BC">
      <w:start w:val="1"/>
      <w:numFmt w:val="bullet"/>
      <w:lvlText w:val="•"/>
      <w:lvlJc w:val="left"/>
      <w:pPr>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BFE2FB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FE489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22346969"/>
    <w:multiLevelType w:val="hybridMultilevel"/>
    <w:tmpl w:val="09AC4A5C"/>
    <w:numStyleLink w:val="ImportedStyle3"/>
  </w:abstractNum>
  <w:abstractNum w:abstractNumId="4">
    <w:nsid w:val="24D82CCC"/>
    <w:multiLevelType w:val="hybridMultilevel"/>
    <w:tmpl w:val="02EECC56"/>
    <w:numStyleLink w:val="ImportedStyle2"/>
  </w:abstractNum>
  <w:abstractNum w:abstractNumId="5">
    <w:nsid w:val="2729046D"/>
    <w:multiLevelType w:val="hybridMultilevel"/>
    <w:tmpl w:val="02EECC56"/>
    <w:styleLink w:val="ImportedStyle2"/>
    <w:lvl w:ilvl="0" w:tplc="A4A03AA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89E2A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E5E9C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F54FB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568C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E24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BE8A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A8A5F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FCAC6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367D1A00"/>
    <w:multiLevelType w:val="hybridMultilevel"/>
    <w:tmpl w:val="748A2F9E"/>
    <w:styleLink w:val="ImportedStyle4"/>
    <w:lvl w:ilvl="0" w:tplc="41B0672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67C9F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C5E6A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B4CA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5B06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5468B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DEB0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3FEB8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9A83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4FE95218"/>
    <w:multiLevelType w:val="hybridMultilevel"/>
    <w:tmpl w:val="32E00A24"/>
    <w:styleLink w:val="ImportedStyle1"/>
    <w:lvl w:ilvl="0" w:tplc="56BCFC20">
      <w:start w:val="1"/>
      <w:numFmt w:val="upperRoman"/>
      <w:pStyle w:val="HeaderCoverPage"/>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1" w:tplc="DFB4B76A">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tplc="CD7495C4">
      <w:start w:val="1"/>
      <w:numFmt w:val="decimal"/>
      <w:lvlText w:val="%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tplc="1ED08734">
      <w:start w:val="1"/>
      <w:numFmt w:val="lowerLetter"/>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rPr>
    </w:lvl>
    <w:lvl w:ilvl="4" w:tplc="6F441886">
      <w:start w:val="1"/>
      <w:numFmt w:val="decimal"/>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rPr>
    </w:lvl>
    <w:lvl w:ilvl="5" w:tplc="3D0E9B74">
      <w:start w:val="1"/>
      <w:numFmt w:val="lowerLetter"/>
      <w:lvlText w:val="(%6)"/>
      <w:lvlJc w:val="left"/>
      <w:pPr>
        <w:ind w:left="3600" w:hanging="720"/>
      </w:pPr>
      <w:rPr>
        <w:rFonts w:hAnsi="Arial Unicode MS"/>
        <w:b/>
        <w:bCs/>
        <w:caps w:val="0"/>
        <w:smallCaps w:val="0"/>
        <w:strike w:val="0"/>
        <w:dstrike w:val="0"/>
        <w:color w:val="000000"/>
        <w:spacing w:val="0"/>
        <w:w w:val="100"/>
        <w:kern w:val="0"/>
        <w:position w:val="0"/>
        <w:highlight w:val="none"/>
        <w:vertAlign w:val="baseline"/>
      </w:rPr>
    </w:lvl>
    <w:lvl w:ilvl="6" w:tplc="2A045236">
      <w:start w:val="1"/>
      <w:numFmt w:val="lowerRoman"/>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rPr>
    </w:lvl>
    <w:lvl w:ilvl="7" w:tplc="6A4A1F02">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rPr>
    </w:lvl>
    <w:lvl w:ilvl="8" w:tplc="ED92B460">
      <w:start w:val="1"/>
      <w:numFmt w:val="lowerRoman"/>
      <w:lvlText w:val="(%9)"/>
      <w:lvlJc w:val="left"/>
      <w:pPr>
        <w:ind w:left="5760" w:hanging="72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5D751C92"/>
    <w:multiLevelType w:val="multilevel"/>
    <w:tmpl w:val="2C68DEDC"/>
    <w:lvl w:ilvl="0">
      <w:start w:val="1"/>
      <w:numFmt w:val="upperRoman"/>
      <w:lvlText w:val="%1."/>
      <w:lvlJc w:val="left"/>
      <w:pPr>
        <w:ind w:left="0" w:firstLine="0"/>
      </w:pPr>
      <w:rPr>
        <w:sz w:val="28"/>
        <w:szCs w:val="28"/>
      </w:r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65361F5F"/>
    <w:multiLevelType w:val="hybridMultilevel"/>
    <w:tmpl w:val="6B540E68"/>
    <w:numStyleLink w:val="ImportedStyle5"/>
  </w:abstractNum>
  <w:abstractNum w:abstractNumId="10">
    <w:nsid w:val="71BB67CB"/>
    <w:multiLevelType w:val="hybridMultilevel"/>
    <w:tmpl w:val="32E00A24"/>
    <w:numStyleLink w:val="ImportedStyle1"/>
  </w:abstractNum>
  <w:abstractNum w:abstractNumId="11">
    <w:nsid w:val="76E630F7"/>
    <w:multiLevelType w:val="hybridMultilevel"/>
    <w:tmpl w:val="3D069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6910CF"/>
    <w:multiLevelType w:val="hybridMultilevel"/>
    <w:tmpl w:val="09AC4A5C"/>
    <w:styleLink w:val="ImportedStyle3"/>
    <w:lvl w:ilvl="0" w:tplc="01C2B6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EA26A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B788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03E784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804B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640EA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C065C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86A3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7F4D5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10"/>
  </w:num>
  <w:num w:numId="3">
    <w:abstractNumId w:val="5"/>
  </w:num>
  <w:num w:numId="4">
    <w:abstractNumId w:val="4"/>
  </w:num>
  <w:num w:numId="5">
    <w:abstractNumId w:val="10"/>
    <w:lvlOverride w:ilvl="0">
      <w:startOverride w:val="2"/>
      <w:lvl w:ilvl="0" w:tplc="FC4C79A4">
        <w:start w:val="2"/>
        <w:numFmt w:val="upperRoman"/>
        <w:pStyle w:val="HeaderCoverPage"/>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8CB000">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C00E96">
        <w:start w:val="1"/>
        <w:numFmt w:val="decimal"/>
        <w:lvlText w:val="%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A2EEEE">
        <w:start w:val="1"/>
        <w:numFmt w:val="lowerLetter"/>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7CE4F4">
        <w:start w:val="1"/>
        <w:numFmt w:val="decimal"/>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E8CD1C">
        <w:start w:val="1"/>
        <w:numFmt w:val="lowerLetter"/>
        <w:lvlText w:val="(%6)"/>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6E0C88">
        <w:start w:val="1"/>
        <w:numFmt w:val="lowerRoman"/>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E22EFAA">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142C04">
        <w:start w:val="1"/>
        <w:numFmt w:val="lowerRoman"/>
        <w:lvlText w:val="(%9)"/>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2"/>
  </w:num>
  <w:num w:numId="7">
    <w:abstractNumId w:val="3"/>
    <w:lvlOverride w:ilvl="0">
      <w:lvl w:ilvl="0" w:tplc="9508E756">
        <w:start w:val="1"/>
        <w:numFmt w:val="bullet"/>
        <w:lvlText w:val="•"/>
        <w:lvlJc w:val="left"/>
        <w:pPr>
          <w:ind w:left="720" w:hanging="360"/>
        </w:pPr>
        <w:rPr>
          <w:rFonts w:ascii="Times New Roman" w:eastAsia="Symbo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8">
    <w:abstractNumId w:val="6"/>
  </w:num>
  <w:num w:numId="9">
    <w:abstractNumId w:val="0"/>
    <w:lvlOverride w:ilvl="0">
      <w:lvl w:ilvl="0" w:tplc="6C2C3782">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10">
    <w:abstractNumId w:val="10"/>
    <w:lvlOverride w:ilvl="0">
      <w:startOverride w:val="3"/>
      <w:lvl w:ilvl="0" w:tplc="FC4C79A4">
        <w:start w:val="3"/>
        <w:numFmt w:val="upperRoman"/>
        <w:pStyle w:val="HeaderCoverPage"/>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8CB000">
        <w:start w:val="1"/>
        <w:numFmt w:val="decimal"/>
        <w:lvlText w:val="%2."/>
        <w:lvlJc w:val="left"/>
        <w:pPr>
          <w:ind w:left="142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C00E96">
        <w:start w:val="1"/>
        <w:numFmt w:val="decimal"/>
        <w:lvlText w:val="%3."/>
        <w:lvlJc w:val="left"/>
        <w:pPr>
          <w:ind w:left="214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A2EEEE">
        <w:start w:val="1"/>
        <w:numFmt w:val="lowerLetter"/>
        <w:lvlText w:val="%4)"/>
        <w:lvlJc w:val="left"/>
        <w:pPr>
          <w:ind w:left="286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7CE4F4">
        <w:start w:val="1"/>
        <w:numFmt w:val="decimal"/>
        <w:lvlText w:val="(%5)"/>
        <w:lvlJc w:val="left"/>
        <w:pPr>
          <w:ind w:left="358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E8CD1C">
        <w:start w:val="1"/>
        <w:numFmt w:val="lowerLetter"/>
        <w:lvlText w:val="(%6)"/>
        <w:lvlJc w:val="left"/>
        <w:pPr>
          <w:ind w:left="43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6E0C88">
        <w:start w:val="1"/>
        <w:numFmt w:val="lowerRoman"/>
        <w:lvlText w:val="(%7)"/>
        <w:lvlJc w:val="left"/>
        <w:pPr>
          <w:ind w:left="502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E22EFAA">
        <w:start w:val="1"/>
        <w:numFmt w:val="lowerLetter"/>
        <w:lvlText w:val="(%8)"/>
        <w:lvlJc w:val="left"/>
        <w:pPr>
          <w:ind w:left="574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142C04">
        <w:start w:val="1"/>
        <w:numFmt w:val="lowerRoman"/>
        <w:lvlText w:val="(%9)"/>
        <w:lvlJc w:val="left"/>
        <w:pPr>
          <w:ind w:left="646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9"/>
  </w:num>
  <w:num w:numId="13">
    <w:abstractNumId w:val="10"/>
    <w:lvlOverride w:ilvl="0">
      <w:startOverride w:val="1"/>
      <w:lvl w:ilvl="0" w:tplc="FC4C79A4">
        <w:start w:val="1"/>
        <w:numFmt w:val="upperRoman"/>
        <w:pStyle w:val="HeaderCoverPage"/>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FD8CB000">
        <w:start w:val="3"/>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C00E96">
        <w:start w:val="1"/>
        <w:numFmt w:val="decimal"/>
        <w:lvlText w:val="%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A2EEEE">
        <w:start w:val="1"/>
        <w:numFmt w:val="lowerLetter"/>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7CE4F4">
        <w:start w:val="1"/>
        <w:numFmt w:val="decimal"/>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E8CD1C">
        <w:start w:val="1"/>
        <w:numFmt w:val="lowerLetter"/>
        <w:lvlText w:val="(%6)"/>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6E0C88">
        <w:start w:val="1"/>
        <w:numFmt w:val="lowerRoman"/>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E22EFAA">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142C04">
        <w:start w:val="1"/>
        <w:numFmt w:val="lowerRoman"/>
        <w:lvlText w:val="(%9)"/>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8"/>
  </w:num>
  <w:num w:numId="15">
    <w:abstractNumId w:val="3"/>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F3BEFBA1885D4A5CAEDC5F8623CB7042"/>
    <w:docVar w:name="LW_CROSSREFERENCE" w:val="{SWD(2016) 159 final}"/>
    <w:docVar w:name="LW_DocType" w:val="NORMAL"/>
    <w:docVar w:name="LW_EMISSION" w:val="19.5.2016"/>
    <w:docVar w:name="LW_EMISSION_ISODATE" w:val="2016-05-19"/>
    <w:docVar w:name="LW_EMISSION_LOCATION" w:val="BRX"/>
    <w:docVar w:name="LW_EMISSION_PREFIX" w:val="Briselē, "/>
    <w:docVar w:name="LW_EMISSION_SUFFIX" w:val="."/>
    <w:docVar w:name="LW_ID_DOCTYPE_NONLW" w:val="CP-006"/>
    <w:docVar w:name="LW_LANGUE" w:val="LV"/>
    <w:docVar w:name="LW_MARKING" w:val="&lt;UNUSED&g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6) 267"/>
    <w:docVar w:name="LW_REF.INTERNE" w:val="&lt;UNUSED&gt;"/>
    <w:docVar w:name="LW_SOUS.TITRE.OBJ" w:val="k\u257? noteikts Direkt\u299?vas 2011/36/ES par cilv\u275?ku tirdzniec\u299?bas nov\u275?r\u353?anu un apkaro\u353?anu un cietu\u353?o aizsardz\u299?bu 20. pant\u257?"/>
    <w:docVar w:name="LW_SOUS.TITRE.OBJ.CP" w:val="k\u257? noteikts Direkt\u299?vas 2011/36/ES par cilv\u275?ku tirdzniec\u299?bas nov\u275?r\u353?anu un apkaro\u353?anu un cietu\u353?o aizsardz\u299?bu 20. pant\u257?"/>
    <w:docVar w:name="LW_SUPERTITRE" w:val="&lt;UNUSED&gt;"/>
    <w:docVar w:name="LW_TITRE.OBJ.CP" w:val="Zi\u326?ojums par g\u363?tajiem pan\u257?kumiem c\u299?\u326?\u257? pret cilv\u275?ku tirdzniec\u299?bu (2016. gads),"/>
    <w:docVar w:name="LW_TYPE.DOC.CP" w:val="KOMISIJAS ZI\u325?OJUMS EIROPAS PARLAMENTAM UN PADOMEI"/>
  </w:docVars>
  <w:rsids>
    <w:rsidRoot w:val="00C46F70"/>
    <w:rsid w:val="00C46F70"/>
    <w:rsid w:val="00CA6337"/>
  </w:rsids>
  <m:mathPr>
    <m:mathFont m:val="Cambria Math"/>
    <m:brkBin m:val="before"/>
    <m:brkBinSub m:val="--"/>
    <m:smallFrac m:val="0"/>
    <m:dispDef/>
    <m:lMargin m:val="0"/>
    <m:rMargin m:val="0"/>
    <m:defJc m:val="centerGroup"/>
    <m:wrapIndent m:val="1440"/>
    <m:intLim m:val="subSup"/>
    <m:naryLim m:val="undOvr"/>
  </m:mathPr>
  <w:themeFontLang w:val="el-GR"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lv-LV"/>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Heading2">
    <w:name w:val="heading 2"/>
    <w:next w:val="Body"/>
    <w:uiPriority w:val="9"/>
    <w:qFormat/>
    <w:pPr>
      <w:keepNext/>
      <w:keepLines/>
      <w:spacing w:before="200" w:line="276" w:lineRule="auto"/>
      <w:ind w:firstLine="720"/>
      <w:outlineLvl w:val="1"/>
    </w:pPr>
    <w:rPr>
      <w:rFonts w:ascii="Cambria" w:eastAsia="Cambria" w:hAnsi="Cambria" w:cs="Cambria"/>
      <w:b/>
      <w:bCs/>
      <w:color w:val="4F81BD"/>
      <w:sz w:val="26"/>
      <w:szCs w:val="26"/>
      <w:u w:color="4F81BD"/>
    </w:rPr>
  </w:style>
  <w:style w:type="paragraph" w:styleId="Heading3">
    <w:name w:val="heading 3"/>
    <w:basedOn w:val="Normal"/>
    <w:next w:val="Normal"/>
    <w:link w:val="Heading3Char"/>
    <w:uiPriority w:val="9"/>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440"/>
      <w:outlineLvl w:val="2"/>
    </w:pPr>
    <w:rPr>
      <w:rFonts w:asciiTheme="majorHAnsi" w:eastAsiaTheme="majorEastAsia" w:hAnsiTheme="majorHAnsi" w:cstheme="majorBidi"/>
      <w:b/>
      <w:bCs/>
      <w:color w:val="4F81BD" w:themeColor="accent1"/>
      <w:sz w:val="22"/>
      <w:szCs w:val="22"/>
      <w:bdr w:val="none" w:sz="0" w:space="0" w:color="auto"/>
    </w:rPr>
  </w:style>
  <w:style w:type="paragraph" w:styleId="Heading4">
    <w:name w:val="heading 4"/>
    <w:basedOn w:val="Normal"/>
    <w:next w:val="Normal"/>
    <w:link w:val="Heading4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2160"/>
      <w:outlineLvl w:val="3"/>
    </w:pPr>
    <w:rPr>
      <w:rFonts w:asciiTheme="majorHAnsi" w:eastAsiaTheme="majorEastAsia" w:hAnsiTheme="majorHAnsi" w:cstheme="majorBidi"/>
      <w:b/>
      <w:bCs/>
      <w:i/>
      <w:iCs/>
      <w:color w:val="4F81BD" w:themeColor="accent1"/>
      <w:sz w:val="22"/>
      <w:szCs w:val="22"/>
      <w:bdr w:val="none" w:sz="0" w:space="0" w:color="auto"/>
    </w:rPr>
  </w:style>
  <w:style w:type="paragraph" w:styleId="Heading5">
    <w:name w:val="heading 5"/>
    <w:basedOn w:val="Normal"/>
    <w:next w:val="Normal"/>
    <w:link w:val="Heading5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2880"/>
      <w:outlineLvl w:val="4"/>
    </w:pPr>
    <w:rPr>
      <w:rFonts w:asciiTheme="majorHAnsi" w:eastAsiaTheme="majorEastAsia" w:hAnsiTheme="majorHAnsi" w:cstheme="majorBidi"/>
      <w:color w:val="243F60" w:themeColor="accent1" w:themeShade="7F"/>
      <w:sz w:val="22"/>
      <w:szCs w:val="22"/>
      <w:bdr w:val="none" w:sz="0" w:space="0" w:color="auto"/>
    </w:rPr>
  </w:style>
  <w:style w:type="paragraph" w:styleId="Heading6">
    <w:name w:val="heading 6"/>
    <w:basedOn w:val="Normal"/>
    <w:next w:val="Normal"/>
    <w:link w:val="Heading6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3600"/>
      <w:outlineLvl w:val="5"/>
    </w:pPr>
    <w:rPr>
      <w:rFonts w:asciiTheme="majorHAnsi" w:eastAsiaTheme="majorEastAsia" w:hAnsiTheme="majorHAnsi" w:cstheme="majorBidi"/>
      <w:i/>
      <w:iCs/>
      <w:color w:val="243F60" w:themeColor="accent1" w:themeShade="7F"/>
      <w:sz w:val="22"/>
      <w:szCs w:val="22"/>
      <w:bdr w:val="none" w:sz="0" w:space="0" w:color="auto"/>
    </w:rPr>
  </w:style>
  <w:style w:type="paragraph" w:styleId="Heading7">
    <w:name w:val="heading 7"/>
    <w:basedOn w:val="Normal"/>
    <w:next w:val="Normal"/>
    <w:link w:val="Heading7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4320"/>
      <w:outlineLvl w:val="6"/>
    </w:pPr>
    <w:rPr>
      <w:rFonts w:asciiTheme="majorHAnsi" w:eastAsiaTheme="majorEastAsia" w:hAnsiTheme="majorHAnsi" w:cstheme="majorBidi"/>
      <w:i/>
      <w:iCs/>
      <w:color w:val="404040" w:themeColor="text1" w:themeTint="BF"/>
      <w:sz w:val="22"/>
      <w:szCs w:val="22"/>
      <w:bdr w:val="none" w:sz="0" w:space="0" w:color="auto"/>
    </w:rPr>
  </w:style>
  <w:style w:type="paragraph" w:styleId="Heading8">
    <w:name w:val="heading 8"/>
    <w:basedOn w:val="Normal"/>
    <w:next w:val="Normal"/>
    <w:link w:val="Heading8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5040"/>
      <w:outlineLvl w:val="7"/>
    </w:pPr>
    <w:rPr>
      <w:rFonts w:asciiTheme="majorHAnsi" w:eastAsiaTheme="majorEastAsia" w:hAnsiTheme="majorHAnsi" w:cstheme="majorBidi"/>
      <w:color w:val="404040" w:themeColor="text1" w:themeTint="BF"/>
      <w:sz w:val="20"/>
      <w:szCs w:val="20"/>
      <w:bdr w:val="none" w:sz="0" w:space="0" w:color="auto"/>
    </w:rPr>
  </w:style>
  <w:style w:type="paragraph" w:styleId="Heading9">
    <w:name w:val="heading 9"/>
    <w:basedOn w:val="Normal"/>
    <w:next w:val="Normal"/>
    <w:link w:val="Heading9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5760"/>
      <w:outlineLvl w:val="8"/>
    </w:pPr>
    <w:rPr>
      <w:rFonts w:asciiTheme="majorHAnsi" w:eastAsiaTheme="majorEastAsia" w:hAnsiTheme="majorHAnsi" w:cstheme="majorBidi"/>
      <w:i/>
      <w:iCs/>
      <w:color w:val="404040" w:themeColor="text1" w:themeTint="BF"/>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Body"/>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customStyle="1" w:styleId="Heading">
    <w:name w:val="Heading"/>
    <w:next w:val="Body"/>
    <w:link w:val="HeadingChar"/>
    <w:pPr>
      <w:keepNext/>
      <w:keepLines/>
      <w:spacing w:before="480" w:line="276" w:lineRule="auto"/>
      <w:outlineLvl w:val="0"/>
    </w:pPr>
    <w:rPr>
      <w:rFonts w:ascii="Cambria" w:eastAsia="Cambria" w:hAnsi="Cambria" w:cs="Cambria"/>
      <w:b/>
      <w:bCs/>
      <w:color w:val="365F91"/>
      <w:sz w:val="28"/>
      <w:szCs w:val="28"/>
      <w:u w:color="365F91"/>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uiPriority w:val="99"/>
    <w:pPr>
      <w:ind w:left="284" w:hanging="284"/>
      <w:jc w:val="both"/>
    </w:pPr>
    <w:rPr>
      <w:rFonts w:eastAsia="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FR,ftref"/>
    <w:link w:val="-FNCharCharChar"/>
    <w:uiPriority w:val="99"/>
    <w:qFormat/>
    <w:rPr>
      <w:vertAlign w:val="superscript"/>
    </w:rPr>
  </w:style>
  <w:style w:type="numbering" w:customStyle="1" w:styleId="ImportedStyle4">
    <w:name w:val="Imported Style 4"/>
    <w:pPr>
      <w:numPr>
        <w:numId w:val="8"/>
      </w:numPr>
    </w:pPr>
  </w:style>
  <w:style w:type="character" w:customStyle="1" w:styleId="Hyperlink1">
    <w:name w:val="Hyperlink.1"/>
    <w:basedOn w:val="Link"/>
    <w:rPr>
      <w:rFonts w:ascii="Times New Roman" w:eastAsia="Times New Roman" w:hAnsi="Times New Roman" w:cs="Times New Roman"/>
      <w:color w:val="0000FF"/>
      <w:u w:val="single" w:color="0000FF"/>
      <w:lang w:val="lv-LV"/>
    </w:rPr>
  </w:style>
  <w:style w:type="character" w:customStyle="1" w:styleId="Hyperlink2">
    <w:name w:val="Hyperlink.2"/>
    <w:basedOn w:val="Link"/>
    <w:rPr>
      <w:rFonts w:ascii="Times New Roman" w:eastAsia="Times New Roman" w:hAnsi="Times New Roman" w:cs="Times New Roman"/>
      <w:color w:val="0000FF"/>
      <w:sz w:val="20"/>
      <w:szCs w:val="20"/>
      <w:u w:val="single" w:color="0000FF"/>
    </w:rPr>
  </w:style>
  <w:style w:type="numbering" w:customStyle="1" w:styleId="ImportedStyle5">
    <w:name w:val="Imported Style 5"/>
    <w:pPr>
      <w:numPr>
        <w:numId w:val="1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lv-LV" w:eastAsia="lv-LV"/>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v-LV" w:eastAsia="lv-LV"/>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lang w:val="lv-LV" w:eastAsia="lv-LV"/>
    </w:rPr>
  </w:style>
  <w:style w:type="character" w:customStyle="1" w:styleId="st1">
    <w:name w:val="st1"/>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one" w:sz="0" w:space="0" w:color="auto"/>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2"/>
      <w:szCs w:val="22"/>
      <w:bdr w:val="none" w:sz="0" w:space="0" w:color="auto"/>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szCs w:val="22"/>
      <w:bdr w:val="none" w:sz="0" w:space="0" w:color="aut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2"/>
      <w:szCs w:val="22"/>
      <w:bdr w:val="none" w:sz="0" w:space="0" w:color="auto"/>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2"/>
      <w:szCs w:val="22"/>
      <w:bdr w:val="none" w:sz="0" w:space="0" w:color="auto"/>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bdr w:val="none" w:sz="0" w:space="0" w:color="auto"/>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bdr w:val="none" w:sz="0" w:space="0" w:color="auto"/>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bdr w:val="none" w:sz="0" w:space="0" w:color="auto"/>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uiPriority w:val="99"/>
    <w:rPr>
      <w:rFonts w:ascii="Calibri" w:eastAsia="Calibri" w:hAnsi="Calibri" w:cs="Calibri"/>
      <w:color w:val="000000"/>
      <w:u w:color="000000"/>
      <w:lang w:val="lv-LV"/>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customStyle="1" w:styleId="FollowedHyperlink1">
    <w:name w:val="FollowedHyperlink1"/>
    <w:basedOn w:val="DefaultParagraphFont"/>
    <w:uiPriority w:val="99"/>
    <w:semiHidden/>
    <w:unhideWhenUsed/>
    <w:rPr>
      <w:color w:val="800080"/>
      <w:u w:val="single"/>
    </w:rPr>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eastAsia="lv-LV"/>
    </w:rPr>
  </w:style>
  <w:style w:type="paragraph" w:customStyle="1" w:styleId="HeaderCoverPage">
    <w:name w:val="Header Cover Page"/>
    <w:basedOn w:val="Normal"/>
    <w:link w:val="HeaderCoverPageChar"/>
    <w:pPr>
      <w:numPr>
        <w:numId w:val="2"/>
      </w:numPr>
      <w:tabs>
        <w:tab w:val="center" w:pos="4535"/>
        <w:tab w:val="right" w:pos="9071"/>
      </w:tabs>
      <w:spacing w:after="120"/>
      <w:ind w:left="0"/>
      <w:jc w:val="both"/>
    </w:pPr>
    <w:rPr>
      <w:rFonts w:eastAsia="Cambria"/>
      <w:color w:val="000000"/>
      <w:u w:color="000000"/>
    </w:rPr>
  </w:style>
  <w:style w:type="character" w:customStyle="1" w:styleId="HeadingChar">
    <w:name w:val="Heading Char"/>
    <w:basedOn w:val="DefaultParagraphFont"/>
    <w:link w:val="Heading"/>
    <w:rPr>
      <w:rFonts w:ascii="Cambria" w:eastAsia="Cambria" w:hAnsi="Cambria" w:cs="Cambria"/>
      <w:b/>
      <w:bCs/>
      <w:color w:val="365F91"/>
      <w:sz w:val="28"/>
      <w:szCs w:val="28"/>
      <w:u w:color="365F91"/>
    </w:rPr>
  </w:style>
  <w:style w:type="character" w:customStyle="1" w:styleId="HeaderCoverPageChar">
    <w:name w:val="Header Cover Page Char"/>
    <w:basedOn w:val="HeadingChar"/>
    <w:link w:val="HeaderCoverPage"/>
    <w:rPr>
      <w:rFonts w:ascii="Cambria" w:eastAsia="Cambria" w:hAnsi="Cambria" w:cs="Cambria"/>
      <w:b w:val="0"/>
      <w:bCs w:val="0"/>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lv-LV"/>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Heading2">
    <w:name w:val="heading 2"/>
    <w:next w:val="Body"/>
    <w:uiPriority w:val="9"/>
    <w:qFormat/>
    <w:pPr>
      <w:keepNext/>
      <w:keepLines/>
      <w:spacing w:before="200" w:line="276" w:lineRule="auto"/>
      <w:ind w:firstLine="720"/>
      <w:outlineLvl w:val="1"/>
    </w:pPr>
    <w:rPr>
      <w:rFonts w:ascii="Cambria" w:eastAsia="Cambria" w:hAnsi="Cambria" w:cs="Cambria"/>
      <w:b/>
      <w:bCs/>
      <w:color w:val="4F81BD"/>
      <w:sz w:val="26"/>
      <w:szCs w:val="26"/>
      <w:u w:color="4F81BD"/>
    </w:rPr>
  </w:style>
  <w:style w:type="paragraph" w:styleId="Heading3">
    <w:name w:val="heading 3"/>
    <w:basedOn w:val="Normal"/>
    <w:next w:val="Normal"/>
    <w:link w:val="Heading3Char"/>
    <w:uiPriority w:val="9"/>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440"/>
      <w:outlineLvl w:val="2"/>
    </w:pPr>
    <w:rPr>
      <w:rFonts w:asciiTheme="majorHAnsi" w:eastAsiaTheme="majorEastAsia" w:hAnsiTheme="majorHAnsi" w:cstheme="majorBidi"/>
      <w:b/>
      <w:bCs/>
      <w:color w:val="4F81BD" w:themeColor="accent1"/>
      <w:sz w:val="22"/>
      <w:szCs w:val="22"/>
      <w:bdr w:val="none" w:sz="0" w:space="0" w:color="auto"/>
    </w:rPr>
  </w:style>
  <w:style w:type="paragraph" w:styleId="Heading4">
    <w:name w:val="heading 4"/>
    <w:basedOn w:val="Normal"/>
    <w:next w:val="Normal"/>
    <w:link w:val="Heading4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2160"/>
      <w:outlineLvl w:val="3"/>
    </w:pPr>
    <w:rPr>
      <w:rFonts w:asciiTheme="majorHAnsi" w:eastAsiaTheme="majorEastAsia" w:hAnsiTheme="majorHAnsi" w:cstheme="majorBidi"/>
      <w:b/>
      <w:bCs/>
      <w:i/>
      <w:iCs/>
      <w:color w:val="4F81BD" w:themeColor="accent1"/>
      <w:sz w:val="22"/>
      <w:szCs w:val="22"/>
      <w:bdr w:val="none" w:sz="0" w:space="0" w:color="auto"/>
    </w:rPr>
  </w:style>
  <w:style w:type="paragraph" w:styleId="Heading5">
    <w:name w:val="heading 5"/>
    <w:basedOn w:val="Normal"/>
    <w:next w:val="Normal"/>
    <w:link w:val="Heading5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2880"/>
      <w:outlineLvl w:val="4"/>
    </w:pPr>
    <w:rPr>
      <w:rFonts w:asciiTheme="majorHAnsi" w:eastAsiaTheme="majorEastAsia" w:hAnsiTheme="majorHAnsi" w:cstheme="majorBidi"/>
      <w:color w:val="243F60" w:themeColor="accent1" w:themeShade="7F"/>
      <w:sz w:val="22"/>
      <w:szCs w:val="22"/>
      <w:bdr w:val="none" w:sz="0" w:space="0" w:color="auto"/>
    </w:rPr>
  </w:style>
  <w:style w:type="paragraph" w:styleId="Heading6">
    <w:name w:val="heading 6"/>
    <w:basedOn w:val="Normal"/>
    <w:next w:val="Normal"/>
    <w:link w:val="Heading6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3600"/>
      <w:outlineLvl w:val="5"/>
    </w:pPr>
    <w:rPr>
      <w:rFonts w:asciiTheme="majorHAnsi" w:eastAsiaTheme="majorEastAsia" w:hAnsiTheme="majorHAnsi" w:cstheme="majorBidi"/>
      <w:i/>
      <w:iCs/>
      <w:color w:val="243F60" w:themeColor="accent1" w:themeShade="7F"/>
      <w:sz w:val="22"/>
      <w:szCs w:val="22"/>
      <w:bdr w:val="none" w:sz="0" w:space="0" w:color="auto"/>
    </w:rPr>
  </w:style>
  <w:style w:type="paragraph" w:styleId="Heading7">
    <w:name w:val="heading 7"/>
    <w:basedOn w:val="Normal"/>
    <w:next w:val="Normal"/>
    <w:link w:val="Heading7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4320"/>
      <w:outlineLvl w:val="6"/>
    </w:pPr>
    <w:rPr>
      <w:rFonts w:asciiTheme="majorHAnsi" w:eastAsiaTheme="majorEastAsia" w:hAnsiTheme="majorHAnsi" w:cstheme="majorBidi"/>
      <w:i/>
      <w:iCs/>
      <w:color w:val="404040" w:themeColor="text1" w:themeTint="BF"/>
      <w:sz w:val="22"/>
      <w:szCs w:val="22"/>
      <w:bdr w:val="none" w:sz="0" w:space="0" w:color="auto"/>
    </w:rPr>
  </w:style>
  <w:style w:type="paragraph" w:styleId="Heading8">
    <w:name w:val="heading 8"/>
    <w:basedOn w:val="Normal"/>
    <w:next w:val="Normal"/>
    <w:link w:val="Heading8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5040"/>
      <w:outlineLvl w:val="7"/>
    </w:pPr>
    <w:rPr>
      <w:rFonts w:asciiTheme="majorHAnsi" w:eastAsiaTheme="majorEastAsia" w:hAnsiTheme="majorHAnsi" w:cstheme="majorBidi"/>
      <w:color w:val="404040" w:themeColor="text1" w:themeTint="BF"/>
      <w:sz w:val="20"/>
      <w:szCs w:val="20"/>
      <w:bdr w:val="none" w:sz="0" w:space="0" w:color="auto"/>
    </w:rPr>
  </w:style>
  <w:style w:type="paragraph" w:styleId="Heading9">
    <w:name w:val="heading 9"/>
    <w:basedOn w:val="Normal"/>
    <w:next w:val="Normal"/>
    <w:link w:val="Heading9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5760"/>
      <w:outlineLvl w:val="8"/>
    </w:pPr>
    <w:rPr>
      <w:rFonts w:asciiTheme="majorHAnsi" w:eastAsiaTheme="majorEastAsia" w:hAnsiTheme="majorHAnsi" w:cstheme="majorBidi"/>
      <w:i/>
      <w:iCs/>
      <w:color w:val="404040" w:themeColor="text1" w:themeTint="BF"/>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Body"/>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customStyle="1" w:styleId="Heading">
    <w:name w:val="Heading"/>
    <w:next w:val="Body"/>
    <w:link w:val="HeadingChar"/>
    <w:pPr>
      <w:keepNext/>
      <w:keepLines/>
      <w:spacing w:before="480" w:line="276" w:lineRule="auto"/>
      <w:outlineLvl w:val="0"/>
    </w:pPr>
    <w:rPr>
      <w:rFonts w:ascii="Cambria" w:eastAsia="Cambria" w:hAnsi="Cambria" w:cs="Cambria"/>
      <w:b/>
      <w:bCs/>
      <w:color w:val="365F91"/>
      <w:sz w:val="28"/>
      <w:szCs w:val="28"/>
      <w:u w:color="365F91"/>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uiPriority w:val="99"/>
    <w:pPr>
      <w:ind w:left="284" w:hanging="284"/>
      <w:jc w:val="both"/>
    </w:pPr>
    <w:rPr>
      <w:rFonts w:eastAsia="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FR,ftref"/>
    <w:link w:val="-FNCharCharChar"/>
    <w:uiPriority w:val="99"/>
    <w:qFormat/>
    <w:rPr>
      <w:vertAlign w:val="superscript"/>
    </w:rPr>
  </w:style>
  <w:style w:type="numbering" w:customStyle="1" w:styleId="ImportedStyle4">
    <w:name w:val="Imported Style 4"/>
    <w:pPr>
      <w:numPr>
        <w:numId w:val="8"/>
      </w:numPr>
    </w:pPr>
  </w:style>
  <w:style w:type="character" w:customStyle="1" w:styleId="Hyperlink1">
    <w:name w:val="Hyperlink.1"/>
    <w:basedOn w:val="Link"/>
    <w:rPr>
      <w:rFonts w:ascii="Times New Roman" w:eastAsia="Times New Roman" w:hAnsi="Times New Roman" w:cs="Times New Roman"/>
      <w:color w:val="0000FF"/>
      <w:u w:val="single" w:color="0000FF"/>
      <w:lang w:val="lv-LV"/>
    </w:rPr>
  </w:style>
  <w:style w:type="character" w:customStyle="1" w:styleId="Hyperlink2">
    <w:name w:val="Hyperlink.2"/>
    <w:basedOn w:val="Link"/>
    <w:rPr>
      <w:rFonts w:ascii="Times New Roman" w:eastAsia="Times New Roman" w:hAnsi="Times New Roman" w:cs="Times New Roman"/>
      <w:color w:val="0000FF"/>
      <w:sz w:val="20"/>
      <w:szCs w:val="20"/>
      <w:u w:val="single" w:color="0000FF"/>
    </w:rPr>
  </w:style>
  <w:style w:type="numbering" w:customStyle="1" w:styleId="ImportedStyle5">
    <w:name w:val="Imported Style 5"/>
    <w:pPr>
      <w:numPr>
        <w:numId w:val="1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lv-LV" w:eastAsia="lv-LV"/>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v-LV" w:eastAsia="lv-LV"/>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lang w:val="lv-LV" w:eastAsia="lv-LV"/>
    </w:rPr>
  </w:style>
  <w:style w:type="character" w:customStyle="1" w:styleId="st1">
    <w:name w:val="st1"/>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one" w:sz="0" w:space="0" w:color="auto"/>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2"/>
      <w:szCs w:val="22"/>
      <w:bdr w:val="none" w:sz="0" w:space="0" w:color="auto"/>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szCs w:val="22"/>
      <w:bdr w:val="none" w:sz="0" w:space="0" w:color="aut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2"/>
      <w:szCs w:val="22"/>
      <w:bdr w:val="none" w:sz="0" w:space="0" w:color="auto"/>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2"/>
      <w:szCs w:val="22"/>
      <w:bdr w:val="none" w:sz="0" w:space="0" w:color="auto"/>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bdr w:val="none" w:sz="0" w:space="0" w:color="auto"/>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bdr w:val="none" w:sz="0" w:space="0" w:color="auto"/>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bdr w:val="none" w:sz="0" w:space="0" w:color="auto"/>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uiPriority w:val="99"/>
    <w:rPr>
      <w:rFonts w:ascii="Calibri" w:eastAsia="Calibri" w:hAnsi="Calibri" w:cs="Calibri"/>
      <w:color w:val="000000"/>
      <w:u w:color="000000"/>
      <w:lang w:val="lv-LV"/>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customStyle="1" w:styleId="FollowedHyperlink1">
    <w:name w:val="FollowedHyperlink1"/>
    <w:basedOn w:val="DefaultParagraphFont"/>
    <w:uiPriority w:val="99"/>
    <w:semiHidden/>
    <w:unhideWhenUsed/>
    <w:rPr>
      <w:color w:val="800080"/>
      <w:u w:val="single"/>
    </w:rPr>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eastAsia="lv-LV"/>
    </w:rPr>
  </w:style>
  <w:style w:type="paragraph" w:customStyle="1" w:styleId="HeaderCoverPage">
    <w:name w:val="Header Cover Page"/>
    <w:basedOn w:val="Normal"/>
    <w:link w:val="HeaderCoverPageChar"/>
    <w:pPr>
      <w:numPr>
        <w:numId w:val="2"/>
      </w:numPr>
      <w:tabs>
        <w:tab w:val="center" w:pos="4535"/>
        <w:tab w:val="right" w:pos="9071"/>
      </w:tabs>
      <w:spacing w:after="120"/>
      <w:ind w:left="0"/>
      <w:jc w:val="both"/>
    </w:pPr>
    <w:rPr>
      <w:rFonts w:eastAsia="Cambria"/>
      <w:color w:val="000000"/>
      <w:u w:color="000000"/>
    </w:rPr>
  </w:style>
  <w:style w:type="character" w:customStyle="1" w:styleId="HeadingChar">
    <w:name w:val="Heading Char"/>
    <w:basedOn w:val="DefaultParagraphFont"/>
    <w:link w:val="Heading"/>
    <w:rPr>
      <w:rFonts w:ascii="Cambria" w:eastAsia="Cambria" w:hAnsi="Cambria" w:cs="Cambria"/>
      <w:b/>
      <w:bCs/>
      <w:color w:val="365F91"/>
      <w:sz w:val="28"/>
      <w:szCs w:val="28"/>
      <w:u w:color="365F91"/>
    </w:rPr>
  </w:style>
  <w:style w:type="character" w:customStyle="1" w:styleId="HeaderCoverPageChar">
    <w:name w:val="Header Cover Page Char"/>
    <w:basedOn w:val="HeadingChar"/>
    <w:link w:val="HeaderCoverPage"/>
    <w:rPr>
      <w:rFonts w:ascii="Cambria" w:eastAsia="Cambria" w:hAnsi="Cambria" w:cs="Cambria"/>
      <w:b w:val="0"/>
      <w:bCs w:val="0"/>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peaid/sites/devco/files/staff-working-document-gender-2016-2020-20150922_en.pdf" TargetMode="External"/><Relationship Id="rId13" Type="http://schemas.openxmlformats.org/officeDocument/2006/relationships/hyperlink" Target="https://www.europol.europa.eu/content/trafficking-human-beings-eu" TargetMode="External"/><Relationship Id="rId18" Type="http://schemas.openxmlformats.org/officeDocument/2006/relationships/hyperlink" Target="http://www.italy.iom.int/index.php?option=com_content&amp;task=view&amp;id=341&amp;Itemid=46" TargetMode="External"/><Relationship Id="rId3" Type="http://schemas.openxmlformats.org/officeDocument/2006/relationships/hyperlink" Target="http://eur-lex.europa.eu/legal-content/LV/ALL/?uri=CELEX:52012DC0286" TargetMode="External"/><Relationship Id="rId21" Type="http://schemas.openxmlformats.org/officeDocument/2006/relationships/hyperlink" Target="http://eur-lex.europa.eu/LexUriServ/LexUriServ.do?uri=OJ:L:2009:168:0024:0032:LV:PDF" TargetMode="External"/><Relationship Id="rId7" Type="http://schemas.openxmlformats.org/officeDocument/2006/relationships/hyperlink" Target="https://ec.europa.eu/anti-trafficking/sites/antitrafficking/files/joint_communication_on_human_rights_and_democracy_en.pdf" TargetMode="External"/><Relationship Id="rId12" Type="http://schemas.openxmlformats.org/officeDocument/2006/relationships/hyperlink" Target="http://ec.europa.eu/eurostat/cache/metadata/en/crim_esms.htm" TargetMode="External"/><Relationship Id="rId17" Type="http://schemas.openxmlformats.org/officeDocument/2006/relationships/hyperlink" Target="http://ec.europa.eu/dgs/home-affairs/what-we-do/policies/european-agenda-migration/proposal-implementation-package/docs/managing_the_refugee_crisis_state_of_play_20160210_en.pdf" TargetMode="External"/><Relationship Id="rId2" Type="http://schemas.openxmlformats.org/officeDocument/2006/relationships/hyperlink" Target="https://ec.europa.eu/anti-trafficking/eu-anti-trafficking-coordinator_en" TargetMode="External"/><Relationship Id="rId16" Type="http://schemas.openxmlformats.org/officeDocument/2006/relationships/hyperlink" Target="http://ec.europa.eu/anti-trafficking/sites/antitrafficking/files/study_on_children_as_high_risk_groups_of_trafficking_in_human_beings_0.pdf" TargetMode="External"/><Relationship Id="rId20" Type="http://schemas.openxmlformats.org/officeDocument/2006/relationships/hyperlink" Target="http://ec.europa.eu/anti-trafficking/eu-policy/council-conclusions-new-eu-strategy_en" TargetMode="External"/><Relationship Id="rId1" Type="http://schemas.openxmlformats.org/officeDocument/2006/relationships/hyperlink" Target="http://eur-lex.europa.eu/legal-content/LV/ALL/?uri=CELEX:32011L0036" TargetMode="External"/><Relationship Id="rId6" Type="http://schemas.openxmlformats.org/officeDocument/2006/relationships/hyperlink" Target="http://ec.europa.eu/dgs/home-affairs/e-library/documents/policies/asylum/general/docs/eu_action_plan_against_migrant_smuggling_lv.pdf" TargetMode="External"/><Relationship Id="rId11" Type="http://schemas.openxmlformats.org/officeDocument/2006/relationships/hyperlink" Target="https://ec.europa.eu/anti-trafficking/sites/antitrafficking/files/eurostat_report_on_trafficking_in_human_beings_-_2015_edition.pdf" TargetMode="External"/><Relationship Id="rId5" Type="http://schemas.openxmlformats.org/officeDocument/2006/relationships/hyperlink" Target="http://ec.europa.eu/dgs/home-affairs/e-library/documents/basic-documents/docs/eu_agenda_on_security_en.pdf" TargetMode="External"/><Relationship Id="rId15" Type="http://schemas.openxmlformats.org/officeDocument/2006/relationships/hyperlink" Target="http://data.unhcr.org/mediterranean/regional.php" TargetMode="External"/><Relationship Id="rId10" Type="http://schemas.openxmlformats.org/officeDocument/2006/relationships/hyperlink" Target="http://ec.europa.eu/anti-trafficking/" TargetMode="External"/><Relationship Id="rId19" Type="http://schemas.openxmlformats.org/officeDocument/2006/relationships/hyperlink" Target="http://ec.europa.eu/dgs/home-affairs/e-library/docs/thb-victims-identification/thb_identification_en.pdf" TargetMode="External"/><Relationship Id="rId4" Type="http://schemas.openxmlformats.org/officeDocument/2006/relationships/hyperlink" Target="http://ec.europa.eu/dgs/home-affairs/what-we-do/policies/european-agenda-migration/background-information/docs/communication_on_the_european_agenda_on_migration_lv.pdf" TargetMode="External"/><Relationship Id="rId9" Type="http://schemas.openxmlformats.org/officeDocument/2006/relationships/hyperlink" Target="http://ec.europa.eu/europeaid/sites/devco/files/staff-working-document-gender-2016-2020-20150922_en.pdf" TargetMode="External"/><Relationship Id="rId14" Type="http://schemas.openxmlformats.org/officeDocument/2006/relationships/hyperlink" Target="https://www.europol.europa.eu/content/fighting-child-trafficking-main-priority-eu-law-enforcement" TargetMode="External"/><Relationship Id="rId22" Type="http://schemas.openxmlformats.org/officeDocument/2006/relationships/hyperlink" Target="http://eur-lex.europa.eu/legal-content/LV/TXT/?uri=celex%3A32011L0093"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26AD-8840-4D84-8681-CC115430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5307</Words>
  <Characters>30252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23</cp:revision>
  <cp:lastPrinted>2016-03-18T13:51:00Z</cp:lastPrinted>
  <dcterms:created xsi:type="dcterms:W3CDTF">2016-05-10T13:47:00Z</dcterms:created>
  <dcterms:modified xsi:type="dcterms:W3CDTF">2016-05-17T06:45:00Z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