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CD" w:rsidRDefault="005A5274">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7209190D87F4C7EBD5CD5FBE814D33E" style="width:450.75pt;height:348pt">
            <v:imagedata r:id="rId9" o:title=""/>
          </v:shape>
        </w:pict>
      </w:r>
    </w:p>
    <w:bookmarkEnd w:id="0"/>
    <w:p w:rsidR="00B80DCD" w:rsidRDefault="00B80DCD">
      <w:pPr>
        <w:pStyle w:val="Pagedecouverture"/>
        <w:rPr>
          <w:noProof/>
        </w:rPr>
        <w:sectPr w:rsidR="00B80DCD">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rsidR="00B80DCD" w:rsidRDefault="005A5274">
      <w:pPr>
        <w:pStyle w:val="Heading"/>
        <w:numPr>
          <w:ilvl w:val="0"/>
          <w:numId w:val="2"/>
        </w:numPr>
        <w:rPr>
          <w:rFonts w:ascii="Times New Roman" w:eastAsia="Times New Roman" w:hAnsi="Times New Roman" w:cs="Times New Roman"/>
          <w:noProof/>
          <w:color w:val="000000"/>
          <w:u w:color="000000"/>
        </w:rPr>
      </w:pPr>
      <w:r>
        <w:rPr>
          <w:rFonts w:ascii="Times New Roman" w:hAnsi="Times New Roman"/>
          <w:noProof/>
          <w:color w:val="000000"/>
          <w:u w:color="000000"/>
        </w:rPr>
        <w:lastRenderedPageBreak/>
        <w:t>КОНТЕКСТ</w:t>
      </w:r>
    </w:p>
    <w:p w:rsidR="00B80DCD" w:rsidRDefault="005A5274">
      <w:pPr>
        <w:pStyle w:val="ListParagraph"/>
        <w:spacing w:before="240"/>
        <w:ind w:left="0"/>
        <w:jc w:val="both"/>
        <w:rPr>
          <w:rFonts w:ascii="Times New Roman" w:eastAsia="Times New Roman" w:hAnsi="Times New Roman" w:cs="Times New Roman"/>
          <w:noProof/>
          <w:sz w:val="24"/>
          <w:szCs w:val="24"/>
        </w:rPr>
      </w:pPr>
      <w:r>
        <w:rPr>
          <w:rFonts w:ascii="Times New Roman" w:hAnsi="Times New Roman"/>
          <w:noProof/>
          <w:sz w:val="24"/>
        </w:rPr>
        <w:t xml:space="preserve">Трафикът на хора е купуването, продажбата и експлоатацията на възрастни и деца. Това е явление с пагубно въздействие върху хората, обществото и икономиката. </w:t>
      </w:r>
      <w:r>
        <w:rPr>
          <w:rFonts w:ascii="Times New Roman" w:hAnsi="Times New Roman"/>
          <w:b/>
          <w:noProof/>
          <w:sz w:val="24"/>
        </w:rPr>
        <w:t>Трафикантите</w:t>
      </w:r>
      <w:r>
        <w:rPr>
          <w:rFonts w:ascii="Times New Roman" w:hAnsi="Times New Roman"/>
          <w:noProof/>
          <w:sz w:val="24"/>
        </w:rPr>
        <w:t xml:space="preserve"> </w:t>
      </w:r>
      <w:r>
        <w:rPr>
          <w:rFonts w:ascii="Times New Roman" w:hAnsi="Times New Roman"/>
          <w:b/>
          <w:noProof/>
          <w:sz w:val="24"/>
        </w:rPr>
        <w:t>експлоатират уязвимостта на хората</w:t>
      </w:r>
      <w:r>
        <w:rPr>
          <w:rFonts w:ascii="Times New Roman" w:hAnsi="Times New Roman"/>
          <w:noProof/>
          <w:sz w:val="24"/>
        </w:rPr>
        <w:t>, чието положение може да бъде влошено от фактори ка</w:t>
      </w:r>
      <w:r>
        <w:rPr>
          <w:rFonts w:ascii="Times New Roman" w:hAnsi="Times New Roman"/>
          <w:noProof/>
          <w:sz w:val="24"/>
        </w:rPr>
        <w:t xml:space="preserve">то бедност, дискриминация, неравенство между половете, насилие срещу жените, липса на достъп до образование, етнически конфликти и природни бедствия. </w:t>
      </w:r>
    </w:p>
    <w:p w:rsidR="00B80DCD" w:rsidRDefault="005A5274">
      <w:pPr>
        <w:pStyle w:val="ListParagraph"/>
        <w:ind w:left="0"/>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Трафикът на хора е престъпление, мотивирано от търсенето и от печалбата.</w:t>
      </w:r>
      <w:r>
        <w:rPr>
          <w:rFonts w:ascii="Times New Roman" w:hAnsi="Times New Roman" w:cs="Times New Roman"/>
          <w:noProof/>
          <w:sz w:val="24"/>
          <w:szCs w:val="24"/>
        </w:rPr>
        <w:t xml:space="preserve"> С цел да се изкорени престъплени</w:t>
      </w:r>
      <w:r>
        <w:rPr>
          <w:rFonts w:ascii="Times New Roman" w:hAnsi="Times New Roman" w:cs="Times New Roman"/>
          <w:noProof/>
          <w:sz w:val="24"/>
          <w:szCs w:val="24"/>
        </w:rPr>
        <w:t>ето, трябва да се вземе предвид сложното взаимодействие между предлагането и търсенето, обусловени от трупането на печалби — в официалната, както и в сивата икономика.</w:t>
      </w:r>
    </w:p>
    <w:p w:rsidR="00B80DCD" w:rsidRDefault="005A5274">
      <w:pPr>
        <w:pStyle w:val="ListParagraph"/>
        <w:ind w:left="0"/>
        <w:jc w:val="both"/>
        <w:rPr>
          <w:rFonts w:ascii="Times New Roman" w:hAnsi="Times New Roman" w:cs="Times New Roman"/>
          <w:noProof/>
          <w:sz w:val="24"/>
          <w:szCs w:val="24"/>
        </w:rPr>
      </w:pPr>
      <w:r>
        <w:rPr>
          <w:rFonts w:ascii="Times New Roman" w:hAnsi="Times New Roman" w:cs="Times New Roman"/>
          <w:b/>
          <w:noProof/>
          <w:sz w:val="24"/>
          <w:szCs w:val="24"/>
        </w:rPr>
        <w:t xml:space="preserve">Трафикът на хора е </w:t>
      </w:r>
      <w:r>
        <w:rPr>
          <w:rFonts w:ascii="Times New Roman" w:hAnsi="Times New Roman" w:cs="Times New Roman"/>
          <w:noProof/>
          <w:sz w:val="24"/>
          <w:szCs w:val="24"/>
        </w:rPr>
        <w:t>тежко нарушение на основните права</w:t>
      </w:r>
      <w:r>
        <w:rPr>
          <w:rFonts w:ascii="Times New Roman" w:hAnsi="Times New Roman" w:cs="Times New Roman"/>
          <w:b/>
          <w:noProof/>
          <w:sz w:val="24"/>
          <w:szCs w:val="24"/>
        </w:rPr>
        <w:t xml:space="preserve"> и е изрично забранен съгласно Харт</w:t>
      </w:r>
      <w:r>
        <w:rPr>
          <w:rFonts w:ascii="Times New Roman" w:hAnsi="Times New Roman" w:cs="Times New Roman"/>
          <w:b/>
          <w:noProof/>
          <w:sz w:val="24"/>
          <w:szCs w:val="24"/>
        </w:rPr>
        <w:t>ата на основните права на Европейския съюз</w:t>
      </w:r>
      <w:r>
        <w:rPr>
          <w:rFonts w:ascii="Times New Roman" w:hAnsi="Times New Roman" w:cs="Times New Roman"/>
          <w:noProof/>
          <w:sz w:val="24"/>
          <w:szCs w:val="24"/>
        </w:rPr>
        <w:t xml:space="preserve">. Той е посочен също така като престъпление в член 83 от Договора за функционирането на Европейския съюз. Престъпленията по член 83 са известни още като „евро престъпления“ — особено тежки престъпления с </w:t>
      </w:r>
      <w:r>
        <w:rPr>
          <w:rFonts w:ascii="Times New Roman" w:hAnsi="Times New Roman" w:cs="Times New Roman"/>
          <w:noProof/>
          <w:sz w:val="24"/>
          <w:szCs w:val="24"/>
        </w:rPr>
        <w:t>трансгранично измерение.</w:t>
      </w:r>
    </w:p>
    <w:p w:rsidR="00B80DCD" w:rsidRDefault="005A5274">
      <w:pPr>
        <w:pStyle w:val="ListParagraph"/>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Поради това от съществено значение са сътрудничеството и координацията между държавите членки, за което свидетелства </w:t>
      </w:r>
      <w:r>
        <w:rPr>
          <w:rFonts w:ascii="Times New Roman" w:hAnsi="Times New Roman" w:cs="Times New Roman"/>
          <w:b/>
          <w:noProof/>
          <w:sz w:val="24"/>
          <w:szCs w:val="24"/>
        </w:rPr>
        <w:t>Директива 2011/36/ЕС относно предотвратяването и борбата с трафика на хора и защитата на жертвите от него</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(„Дирек</w:t>
      </w:r>
      <w:r>
        <w:rPr>
          <w:rFonts w:ascii="Times New Roman" w:hAnsi="Times New Roman" w:cs="Times New Roman"/>
          <w:noProof/>
          <w:sz w:val="24"/>
          <w:szCs w:val="24"/>
        </w:rPr>
        <w:t>тивата за борба с трафика“). В член 20 от директивата се предвижда, че, „за да се допринесе за установяването на координирана и консолидирана стратегия на Съюза за борба с трафика на хора, държавите членки подпомагат задачите на координатора за борба с тра</w:t>
      </w:r>
      <w:r>
        <w:rPr>
          <w:rFonts w:ascii="Times New Roman" w:hAnsi="Times New Roman" w:cs="Times New Roman"/>
          <w:noProof/>
          <w:sz w:val="24"/>
          <w:szCs w:val="24"/>
        </w:rPr>
        <w:t xml:space="preserve">фика. По-конкретно държавите членки предоставят на координатора за борба с трафика информацията, посочена в член 19, въз основа на която координаторът дава своя принос за докладването от Комисията на всеки две години относно постигнатия напредък в борбата </w:t>
      </w:r>
      <w:r>
        <w:rPr>
          <w:rFonts w:ascii="Times New Roman" w:hAnsi="Times New Roman" w:cs="Times New Roman"/>
          <w:noProof/>
          <w:sz w:val="24"/>
          <w:szCs w:val="24"/>
        </w:rPr>
        <w:t>с трафика на хора“.</w:t>
      </w:r>
    </w:p>
    <w:p w:rsidR="00B80DCD" w:rsidRDefault="005A5274">
      <w:pPr>
        <w:pStyle w:val="ListParagraph"/>
        <w:ind w:left="0"/>
        <w:jc w:val="both"/>
        <w:rPr>
          <w:rFonts w:ascii="Times New Roman" w:hAnsi="Times New Roman" w:cs="Times New Roman"/>
          <w:noProof/>
          <w:sz w:val="24"/>
          <w:szCs w:val="24"/>
        </w:rPr>
      </w:pPr>
      <w:r>
        <w:rPr>
          <w:rFonts w:ascii="Times New Roman" w:hAnsi="Times New Roman" w:cs="Times New Roman"/>
          <w:noProof/>
          <w:sz w:val="24"/>
          <w:szCs w:val="24"/>
        </w:rPr>
        <w:t>За тази цел Комисията назначи координатор на ЕС за борба с трафика, който отговаря за подобряване на координацията и съгласуваността между институциите и агенциите на ЕС, държавите членки и международните участници, както и за разработв</w:t>
      </w:r>
      <w:r>
        <w:rPr>
          <w:rFonts w:ascii="Times New Roman" w:hAnsi="Times New Roman" w:cs="Times New Roman"/>
          <w:noProof/>
          <w:sz w:val="24"/>
          <w:szCs w:val="24"/>
        </w:rPr>
        <w:t xml:space="preserve">ането на нови политики на ЕС за борба с трафика на хора и за подобряването на съществуващите политики в тази област </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w:t>
      </w:r>
    </w:p>
    <w:p w:rsidR="00B80DCD" w:rsidRDefault="005A5274">
      <w:pPr>
        <w:pStyle w:val="ListParagraph"/>
        <w:ind w:left="0"/>
        <w:jc w:val="both"/>
        <w:rPr>
          <w:rFonts w:ascii="Times New Roman" w:hAnsi="Times New Roman"/>
          <w:noProof/>
          <w:sz w:val="24"/>
          <w:szCs w:val="24"/>
        </w:rPr>
      </w:pPr>
      <w:r>
        <w:rPr>
          <w:rFonts w:ascii="Times New Roman" w:hAnsi="Times New Roman"/>
          <w:noProof/>
          <w:sz w:val="24"/>
        </w:rPr>
        <w:t xml:space="preserve">Това е </w:t>
      </w:r>
      <w:r>
        <w:rPr>
          <w:rFonts w:ascii="Times New Roman" w:hAnsi="Times New Roman"/>
          <w:b/>
          <w:noProof/>
          <w:sz w:val="24"/>
        </w:rPr>
        <w:t>първият доклад на Комисията относно трафика на хора, откакто е приета Директивата за борба с трафика на хора</w:t>
      </w:r>
      <w:r>
        <w:rPr>
          <w:rFonts w:ascii="Times New Roman" w:hAnsi="Times New Roman"/>
          <w:noProof/>
          <w:sz w:val="24"/>
        </w:rPr>
        <w:t>. В съответствие със с</w:t>
      </w:r>
      <w:r>
        <w:rPr>
          <w:rFonts w:ascii="Times New Roman" w:hAnsi="Times New Roman"/>
          <w:noProof/>
          <w:sz w:val="24"/>
        </w:rPr>
        <w:t xml:space="preserve">ъображение 27 и член 19 от посочената директива докладът се състои от три основни раздела: тенденции в областта на трафика на хора, резултати от конкретни действия за борба с трафика на </w:t>
      </w:r>
      <w:r>
        <w:rPr>
          <w:rFonts w:ascii="Times New Roman" w:hAnsi="Times New Roman"/>
          <w:noProof/>
          <w:sz w:val="24"/>
        </w:rPr>
        <w:lastRenderedPageBreak/>
        <w:t>хора и статистически данни, предоставени от държавите членки. Докладът</w:t>
      </w:r>
      <w:r>
        <w:rPr>
          <w:rFonts w:ascii="Times New Roman" w:hAnsi="Times New Roman"/>
          <w:noProof/>
          <w:sz w:val="24"/>
        </w:rPr>
        <w:t xml:space="preserve"> е придружен от работен документ на службите на Комисията</w:t>
      </w:r>
      <w:r>
        <w:rPr>
          <w:rStyle w:val="FootnoteReference"/>
          <w:rFonts w:ascii="Times New Roman" w:hAnsi="Times New Roman"/>
          <w:noProof/>
          <w:sz w:val="24"/>
        </w:rPr>
        <w:footnoteReference w:id="4"/>
      </w:r>
      <w:r>
        <w:rPr>
          <w:rFonts w:ascii="Times New Roman" w:hAnsi="Times New Roman"/>
          <w:noProof/>
          <w:sz w:val="24"/>
        </w:rPr>
        <w:t xml:space="preserve">, в който е предоставена подробна и изчерпателна фактическа информация в допълнение към включената в настоящия доклад информация. Освен това в него се разглеждат действията, предприети от Комисията </w:t>
      </w:r>
      <w:r>
        <w:rPr>
          <w:rFonts w:ascii="Times New Roman" w:hAnsi="Times New Roman"/>
          <w:noProof/>
          <w:sz w:val="24"/>
        </w:rPr>
        <w:t xml:space="preserve">и от други съответни заинтересовани страни в рамките на </w:t>
      </w:r>
      <w:r>
        <w:rPr>
          <w:rFonts w:ascii="Times New Roman" w:hAnsi="Times New Roman"/>
          <w:b/>
          <w:noProof/>
          <w:sz w:val="24"/>
        </w:rPr>
        <w:t>Стратегията на ЕС за премахване на трафика на хора за периода 2012—2016 г.</w:t>
      </w:r>
      <w:r>
        <w:rPr>
          <w:rStyle w:val="FootnoteReference"/>
          <w:rFonts w:ascii="Times New Roman" w:hAnsi="Times New Roman"/>
          <w:noProof/>
          <w:sz w:val="24"/>
        </w:rPr>
        <w:footnoteReference w:id="5"/>
      </w:r>
      <w:r>
        <w:rPr>
          <w:rFonts w:ascii="Times New Roman" w:hAnsi="Times New Roman"/>
          <w:noProof/>
          <w:sz w:val="24"/>
        </w:rPr>
        <w:t xml:space="preserve"> („Стратегията на ЕС“). Констатациите от настоящия доклад са използвани за очертаване на ориентацията на политиката на Комиси</w:t>
      </w:r>
      <w:r>
        <w:rPr>
          <w:rFonts w:ascii="Times New Roman" w:hAnsi="Times New Roman"/>
          <w:noProof/>
          <w:sz w:val="24"/>
        </w:rPr>
        <w:t xml:space="preserve">ята и ще послужат за разработването на </w:t>
      </w:r>
      <w:r>
        <w:rPr>
          <w:rFonts w:ascii="Times New Roman" w:hAnsi="Times New Roman"/>
          <w:b/>
          <w:noProof/>
          <w:sz w:val="24"/>
        </w:rPr>
        <w:t>стратегия относно трафика на хора за периода след 2016 г.</w:t>
      </w:r>
      <w:r>
        <w:rPr>
          <w:rFonts w:ascii="Times New Roman" w:hAnsi="Times New Roman"/>
          <w:noProof/>
          <w:sz w:val="24"/>
        </w:rPr>
        <w:t>, която ще бъде публикувана през 2016 г.</w:t>
      </w:r>
      <w:r>
        <w:rPr>
          <w:noProof/>
        </w:rPr>
        <w:t xml:space="preserve"> </w:t>
      </w:r>
    </w:p>
    <w:p w:rsidR="00B80DCD" w:rsidRDefault="005A5274">
      <w:pPr>
        <w:pStyle w:val="Body"/>
        <w:jc w:val="both"/>
        <w:rPr>
          <w:rFonts w:ascii="Times New Roman" w:hAnsi="Times New Roman" w:cs="Times New Roman"/>
          <w:noProof/>
          <w:sz w:val="24"/>
          <w:szCs w:val="24"/>
        </w:rPr>
      </w:pPr>
      <w:r>
        <w:rPr>
          <w:rFonts w:ascii="Times New Roman" w:hAnsi="Times New Roman" w:cs="Times New Roman"/>
          <w:noProof/>
          <w:sz w:val="24"/>
          <w:szCs w:val="24"/>
        </w:rPr>
        <w:t>Освен това в доклада се разглеждат ключови области на политиката на ЕС за справяне с трафика на хора, в това число Евр</w:t>
      </w:r>
      <w:r>
        <w:rPr>
          <w:rFonts w:ascii="Times New Roman" w:hAnsi="Times New Roman" w:cs="Times New Roman"/>
          <w:noProof/>
          <w:sz w:val="24"/>
          <w:szCs w:val="24"/>
        </w:rPr>
        <w:t>опейската програма за миграцията</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Европейската програма за сигурност</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Планът за действие на ЕС срещу контрабандата на мигранти (2015—2020 г.)</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Планът за действие на ЕС относно правата на човека и демокрацията (2015—2019 г.)</w:t>
      </w:r>
      <w:r>
        <w:rPr>
          <w:rFonts w:ascii="Times New Roman" w:hAnsi="Times New Roman" w:cs="Times New Roman"/>
          <w:noProof/>
          <w:color w:val="auto"/>
          <w:sz w:val="24"/>
          <w:szCs w:val="24"/>
          <w:vertAlign w:val="superscript"/>
        </w:rPr>
        <w:footnoteReference w:id="9"/>
      </w:r>
      <w:r>
        <w:rPr>
          <w:rFonts w:ascii="Times New Roman" w:hAnsi="Times New Roman" w:cs="Times New Roman"/>
          <w:noProof/>
          <w:sz w:val="24"/>
          <w:szCs w:val="24"/>
        </w:rPr>
        <w:t>, новата рамка за дейността н</w:t>
      </w:r>
      <w:r>
        <w:rPr>
          <w:rFonts w:ascii="Times New Roman" w:hAnsi="Times New Roman" w:cs="Times New Roman"/>
          <w:noProof/>
          <w:sz w:val="24"/>
          <w:szCs w:val="24"/>
        </w:rPr>
        <w:t>а ЕС относно равенството между половете и овластяването на жените в областта на външните отношения на ЕС за 2016</w:t>
      </w:r>
      <w:r>
        <w:rPr>
          <w:rFonts w:ascii="Times New Roman" w:hAnsi="Times New Roman" w:cs="Times New Roman"/>
          <w:noProof/>
          <w:sz w:val="24"/>
          <w:szCs w:val="24"/>
        </w:rPr>
        <w:noBreakHyphen/>
        <w:t>2020 г.</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както и стратегическият ангажимент на ЕС за равенство между половете за периода 2016—2019 г.</w:t>
      </w:r>
      <w:r>
        <w:rPr>
          <w:rStyle w:val="FootnoteReference"/>
          <w:rFonts w:ascii="Times New Roman" w:hAnsi="Times New Roman" w:cs="Times New Roman"/>
          <w:noProof/>
          <w:sz w:val="24"/>
          <w:szCs w:val="24"/>
        </w:rPr>
        <w:footnoteReference w:id="11"/>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Настоящият доклад е съсредоточен върху въпроси, които отразяват цялостния подход на Директивата за борба с трафика на хора и Стратегията на ЕС. По-специално, в него се разглежда напредъкът по изпълнението на „трите политики“: </w:t>
      </w:r>
      <w:r>
        <w:rPr>
          <w:rFonts w:ascii="Times New Roman" w:hAnsi="Times New Roman"/>
          <w:b/>
          <w:noProof/>
          <w:sz w:val="24"/>
        </w:rPr>
        <w:t>наказателно преследване</w:t>
      </w:r>
      <w:r>
        <w:rPr>
          <w:rFonts w:ascii="Times New Roman" w:hAnsi="Times New Roman"/>
          <w:noProof/>
          <w:sz w:val="24"/>
        </w:rPr>
        <w:t xml:space="preserve"> (с акц</w:t>
      </w:r>
      <w:r>
        <w:rPr>
          <w:rFonts w:ascii="Times New Roman" w:hAnsi="Times New Roman"/>
          <w:noProof/>
          <w:sz w:val="24"/>
        </w:rPr>
        <w:t xml:space="preserve">ент върху финансовите разследвания), </w:t>
      </w:r>
      <w:r>
        <w:rPr>
          <w:rFonts w:ascii="Times New Roman" w:hAnsi="Times New Roman"/>
          <w:b/>
          <w:noProof/>
          <w:sz w:val="24"/>
        </w:rPr>
        <w:t>закрила</w:t>
      </w:r>
      <w:r>
        <w:rPr>
          <w:rFonts w:ascii="Times New Roman" w:hAnsi="Times New Roman"/>
          <w:noProof/>
          <w:sz w:val="24"/>
        </w:rPr>
        <w:t xml:space="preserve"> (с акцент върху създаването на национални механизми за насочване) и </w:t>
      </w:r>
      <w:r>
        <w:rPr>
          <w:rFonts w:ascii="Times New Roman" w:hAnsi="Times New Roman"/>
          <w:b/>
          <w:noProof/>
          <w:sz w:val="24"/>
        </w:rPr>
        <w:t>предотвратяване</w:t>
      </w:r>
      <w:r>
        <w:rPr>
          <w:rFonts w:ascii="Times New Roman" w:hAnsi="Times New Roman"/>
          <w:noProof/>
          <w:sz w:val="24"/>
        </w:rPr>
        <w:t xml:space="preserve"> (с акцент върху действията, предприети от държавите членки за предотвратяване на престъпността, както се предвижда в член 18 на Директивата за борба с трафика на хора).</w:t>
      </w:r>
    </w:p>
    <w:p w:rsidR="00B80DCD" w:rsidRDefault="005A5274">
      <w:pPr>
        <w:pStyle w:val="ListParagraph"/>
        <w:ind w:left="0"/>
        <w:jc w:val="both"/>
        <w:rPr>
          <w:rFonts w:ascii="Times New Roman" w:eastAsia="Times New Roman" w:hAnsi="Times New Roman" w:cs="Times New Roman"/>
          <w:b/>
          <w:bCs/>
          <w:noProof/>
          <w:sz w:val="24"/>
          <w:szCs w:val="24"/>
        </w:rPr>
      </w:pPr>
      <w:r>
        <w:rPr>
          <w:rFonts w:ascii="Times New Roman" w:hAnsi="Times New Roman" w:cs="Times New Roman"/>
          <w:noProof/>
          <w:sz w:val="24"/>
          <w:szCs w:val="24"/>
        </w:rPr>
        <w:t>Докладът е изготвен въз основа на информация от три основни източника: информацията, с</w:t>
      </w:r>
      <w:r>
        <w:rPr>
          <w:rFonts w:ascii="Times New Roman" w:hAnsi="Times New Roman" w:cs="Times New Roman"/>
          <w:noProof/>
          <w:sz w:val="24"/>
          <w:szCs w:val="24"/>
        </w:rPr>
        <w:t xml:space="preserve">ъбрана от </w:t>
      </w:r>
      <w:r>
        <w:rPr>
          <w:rFonts w:ascii="Times New Roman" w:hAnsi="Times New Roman" w:cs="Times New Roman"/>
          <w:b/>
          <w:noProof/>
          <w:sz w:val="24"/>
          <w:szCs w:val="24"/>
        </w:rPr>
        <w:t>националните органи за докладване или равностойни механизми</w:t>
      </w:r>
      <w:r>
        <w:rPr>
          <w:rFonts w:ascii="Times New Roman" w:hAnsi="Times New Roman" w:cs="Times New Roman"/>
          <w:noProof/>
          <w:sz w:val="24"/>
          <w:szCs w:val="24"/>
        </w:rPr>
        <w:t xml:space="preserve"> (</w:t>
      </w:r>
      <w:r>
        <w:rPr>
          <w:rFonts w:ascii="Times New Roman" w:hAnsi="Times New Roman" w:cs="Times New Roman"/>
          <w:b/>
          <w:noProof/>
          <w:sz w:val="24"/>
          <w:szCs w:val="24"/>
        </w:rPr>
        <w:t>„НОДРМ“</w:t>
      </w:r>
      <w:r>
        <w:rPr>
          <w:rFonts w:ascii="Times New Roman" w:hAnsi="Times New Roman" w:cs="Times New Roman"/>
          <w:noProof/>
          <w:sz w:val="24"/>
          <w:szCs w:val="24"/>
        </w:rPr>
        <w:t>) и представена на координатора на ЕС за борба с трафика на хора, от държавите членки в съответствие с членове 19 и 20 от Директивата за борба с трафика на хора, приноса на орган</w:t>
      </w:r>
      <w:r>
        <w:rPr>
          <w:rFonts w:ascii="Times New Roman" w:hAnsi="Times New Roman" w:cs="Times New Roman"/>
          <w:noProof/>
          <w:sz w:val="24"/>
          <w:szCs w:val="24"/>
        </w:rPr>
        <w:t xml:space="preserve">изации на гражданското общество, участващи в </w:t>
      </w:r>
      <w:r>
        <w:rPr>
          <w:rFonts w:ascii="Times New Roman" w:hAnsi="Times New Roman" w:cs="Times New Roman"/>
          <w:b/>
          <w:noProof/>
          <w:sz w:val="24"/>
          <w:szCs w:val="24"/>
        </w:rPr>
        <w:lastRenderedPageBreak/>
        <w:t>Платформата на гражданското общество в ЕС за борба с трафика на хора</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и в </w:t>
      </w:r>
      <w:r>
        <w:rPr>
          <w:rFonts w:ascii="Times New Roman" w:hAnsi="Times New Roman" w:cs="Times New Roman"/>
          <w:b/>
          <w:noProof/>
          <w:sz w:val="24"/>
          <w:szCs w:val="24"/>
        </w:rPr>
        <w:t>Електронната платформа на гражданското общество в ЕС</w:t>
      </w:r>
      <w:r>
        <w:rPr>
          <w:rFonts w:ascii="Times New Roman" w:hAnsi="Times New Roman" w:cs="Times New Roman"/>
          <w:noProof/>
          <w:sz w:val="24"/>
          <w:szCs w:val="24"/>
        </w:rPr>
        <w:t xml:space="preserve">, както и информацията от съответните </w:t>
      </w:r>
      <w:r>
        <w:rPr>
          <w:rFonts w:ascii="Times New Roman" w:hAnsi="Times New Roman" w:cs="Times New Roman"/>
          <w:b/>
          <w:noProof/>
          <w:sz w:val="24"/>
          <w:szCs w:val="24"/>
        </w:rPr>
        <w:t>агенции на ЕС, от международни и регионални орг</w:t>
      </w:r>
      <w:r>
        <w:rPr>
          <w:rFonts w:ascii="Times New Roman" w:hAnsi="Times New Roman" w:cs="Times New Roman"/>
          <w:b/>
          <w:noProof/>
          <w:sz w:val="24"/>
          <w:szCs w:val="24"/>
        </w:rPr>
        <w:t>анизации</w:t>
      </w:r>
      <w:r>
        <w:rPr>
          <w:rFonts w:ascii="Times New Roman" w:hAnsi="Times New Roman" w:cs="Times New Roman"/>
          <w:noProof/>
          <w:sz w:val="24"/>
          <w:szCs w:val="24"/>
        </w:rPr>
        <w:t>.</w:t>
      </w:r>
    </w:p>
    <w:p w:rsidR="00B80DCD" w:rsidRDefault="005A5274">
      <w:pPr>
        <w:pStyle w:val="ListParagraph"/>
        <w:ind w:left="0"/>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Информацията, представена от държавите членки, се отнася най-вече за </w:t>
      </w:r>
      <w:r>
        <w:rPr>
          <w:rFonts w:ascii="Times New Roman" w:hAnsi="Times New Roman" w:cs="Times New Roman"/>
          <w:b/>
          <w:noProof/>
          <w:sz w:val="24"/>
          <w:szCs w:val="24"/>
        </w:rPr>
        <w:t>периода 2011—2013 г.</w:t>
      </w:r>
      <w:r>
        <w:rPr>
          <w:rFonts w:ascii="Times New Roman" w:hAnsi="Times New Roman" w:cs="Times New Roman"/>
          <w:noProof/>
          <w:sz w:val="24"/>
          <w:szCs w:val="24"/>
        </w:rPr>
        <w:t xml:space="preserve"> В доклада обаче се съдържа повече актуална информация, включително </w:t>
      </w:r>
      <w:r>
        <w:rPr>
          <w:rFonts w:ascii="Times New Roman" w:hAnsi="Times New Roman" w:cs="Times New Roman"/>
          <w:b/>
          <w:noProof/>
          <w:sz w:val="24"/>
          <w:szCs w:val="24"/>
        </w:rPr>
        <w:t>статистически данни за годините 2013—2014 г.</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w:t>
      </w:r>
    </w:p>
    <w:p w:rsidR="00B80DCD" w:rsidRDefault="005A5274">
      <w:pPr>
        <w:pStyle w:val="Heading"/>
        <w:numPr>
          <w:ilvl w:val="0"/>
          <w:numId w:val="5"/>
        </w:numPr>
        <w:rPr>
          <w:rFonts w:ascii="Times New Roman" w:eastAsia="Times New Roman" w:hAnsi="Times New Roman" w:cs="Times New Roman"/>
          <w:noProof/>
          <w:color w:val="000000"/>
          <w:u w:color="000000"/>
        </w:rPr>
      </w:pPr>
      <w:r>
        <w:rPr>
          <w:rFonts w:ascii="Times New Roman" w:hAnsi="Times New Roman"/>
          <w:noProof/>
          <w:color w:val="000000"/>
          <w:u w:color="000000"/>
        </w:rPr>
        <w:t xml:space="preserve">ТЕНДЕНЦИИ И ПРЕДИЗВИКАТЕЛСТВА В БОРБАТА С </w:t>
      </w:r>
      <w:r>
        <w:rPr>
          <w:rFonts w:ascii="Times New Roman" w:hAnsi="Times New Roman"/>
          <w:noProof/>
          <w:color w:val="000000"/>
          <w:u w:color="000000"/>
        </w:rPr>
        <w:t>ТРАФИКА НА ХОРА В ЕС</w:t>
      </w:r>
    </w:p>
    <w:p w:rsidR="00B80DCD" w:rsidRDefault="005A5274">
      <w:pPr>
        <w:pStyle w:val="Body"/>
        <w:spacing w:before="240"/>
        <w:jc w:val="both"/>
        <w:rPr>
          <w:rFonts w:ascii="Times New Roman" w:eastAsia="Times New Roman" w:hAnsi="Times New Roman" w:cs="Times New Roman"/>
          <w:b/>
          <w:bCs/>
          <w:noProof/>
          <w:sz w:val="24"/>
          <w:szCs w:val="24"/>
          <w:u w:val="single"/>
        </w:rPr>
      </w:pPr>
      <w:r>
        <w:rPr>
          <w:rFonts w:ascii="Times New Roman" w:hAnsi="Times New Roman"/>
          <w:noProof/>
          <w:sz w:val="24"/>
        </w:rPr>
        <w:t>Трудно е да се прецени точният мащаб на равнището на ЕС на сложно престъпление като трафика на хора, предвид връзките му с други престъпни дейности и разликите в националните законодателства. През последните години Комисията събира под</w:t>
      </w:r>
      <w:r>
        <w:rPr>
          <w:rFonts w:ascii="Times New Roman" w:hAnsi="Times New Roman"/>
          <w:noProof/>
          <w:sz w:val="24"/>
        </w:rPr>
        <w:t>ходящите статистически данни чрез Евростат. Последният доклад на Евростат относно трафика на хора</w:t>
      </w:r>
      <w:r>
        <w:rPr>
          <w:rFonts w:ascii="Times New Roman" w:hAnsi="Times New Roman"/>
          <w:noProof/>
          <w:color w:val="auto"/>
          <w:sz w:val="24"/>
          <w:vertAlign w:val="superscript"/>
        </w:rPr>
        <w:footnoteReference w:id="14"/>
      </w:r>
      <w:r>
        <w:rPr>
          <w:rFonts w:ascii="Times New Roman" w:hAnsi="Times New Roman"/>
          <w:noProof/>
          <w:sz w:val="24"/>
        </w:rPr>
        <w:t xml:space="preserve"> бе публикуван през 2015 г. и обхваща периода 2010—2012 г.</w:t>
      </w:r>
    </w:p>
    <w:p w:rsidR="00B80DCD" w:rsidRDefault="005A5274">
      <w:pPr>
        <w:pStyle w:val="Body"/>
        <w:jc w:val="both"/>
        <w:rPr>
          <w:rFonts w:ascii="Times New Roman" w:hAnsi="Times New Roman"/>
          <w:noProof/>
          <w:color w:val="auto"/>
          <w:sz w:val="24"/>
          <w:szCs w:val="24"/>
        </w:rPr>
      </w:pPr>
      <w:r>
        <w:rPr>
          <w:rFonts w:ascii="Times New Roman" w:hAnsi="Times New Roman"/>
          <w:noProof/>
          <w:sz w:val="24"/>
        </w:rPr>
        <w:t xml:space="preserve">Тенденциите в статистическите данни за </w:t>
      </w:r>
      <w:r>
        <w:rPr>
          <w:rFonts w:ascii="Times New Roman" w:hAnsi="Times New Roman"/>
          <w:b/>
          <w:noProof/>
          <w:sz w:val="24"/>
        </w:rPr>
        <w:t>периода 2013—2014 г.</w:t>
      </w:r>
      <w:r>
        <w:rPr>
          <w:rStyle w:val="FootnoteReference"/>
          <w:rFonts w:ascii="Times New Roman" w:hAnsi="Times New Roman"/>
          <w:noProof/>
          <w:sz w:val="24"/>
        </w:rPr>
        <w:footnoteReference w:id="15"/>
      </w:r>
      <w:r>
        <w:rPr>
          <w:rFonts w:ascii="Times New Roman" w:hAnsi="Times New Roman"/>
          <w:noProof/>
          <w:sz w:val="24"/>
        </w:rPr>
        <w:t xml:space="preserve">, предоставени от държавите членки за </w:t>
      </w:r>
      <w:r>
        <w:rPr>
          <w:rFonts w:ascii="Times New Roman" w:hAnsi="Times New Roman"/>
          <w:noProof/>
          <w:sz w:val="24"/>
        </w:rPr>
        <w:t>настоящия доклад, са съответстват на тенденциите през предходния период.</w:t>
      </w:r>
      <w:r>
        <w:rPr>
          <w:noProof/>
        </w:rPr>
        <w:t xml:space="preserve"> </w:t>
      </w:r>
      <w:r>
        <w:rPr>
          <w:rFonts w:ascii="Times New Roman" w:hAnsi="Times New Roman"/>
          <w:noProof/>
          <w:sz w:val="24"/>
        </w:rPr>
        <w:t>Важно е да се подчертае, че тези данни се отнасят до „регистрираните жертви“ (както установените, така и предполагаемите)</w:t>
      </w:r>
      <w:r>
        <w:rPr>
          <w:rStyle w:val="FootnoteReference"/>
          <w:rFonts w:ascii="Times New Roman" w:hAnsi="Times New Roman"/>
          <w:noProof/>
          <w:sz w:val="24"/>
        </w:rPr>
        <w:footnoteReference w:id="16"/>
      </w:r>
      <w:r>
        <w:rPr>
          <w:rFonts w:ascii="Times New Roman" w:hAnsi="Times New Roman"/>
          <w:noProof/>
          <w:sz w:val="24"/>
        </w:rPr>
        <w:t>. Предвид сложността на явлението обаче има сериозни основани</w:t>
      </w:r>
      <w:r>
        <w:rPr>
          <w:rFonts w:ascii="Times New Roman" w:hAnsi="Times New Roman"/>
          <w:noProof/>
          <w:sz w:val="24"/>
        </w:rPr>
        <w:t>я да се очаква, че действителният брой на жертвите на трафик на хора в ЕС е значително по-висок.</w:t>
      </w:r>
    </w:p>
    <w:p w:rsidR="00B80DCD" w:rsidRDefault="005A5274">
      <w:pPr>
        <w:pStyle w:val="Body"/>
        <w:numPr>
          <w:ilvl w:val="0"/>
          <w:numId w:val="16"/>
        </w:numPr>
        <w:jc w:val="both"/>
        <w:rPr>
          <w:rFonts w:ascii="Times New Roman" w:eastAsia="Times New Roman" w:hAnsi="Times New Roman" w:cs="Times New Roman"/>
          <w:noProof/>
          <w:sz w:val="24"/>
          <w:szCs w:val="24"/>
        </w:rPr>
      </w:pPr>
      <w:r>
        <w:rPr>
          <w:rFonts w:ascii="Times New Roman" w:hAnsi="Times New Roman"/>
          <w:noProof/>
          <w:sz w:val="24"/>
        </w:rPr>
        <w:t xml:space="preserve">Общият брой на </w:t>
      </w:r>
      <w:r>
        <w:rPr>
          <w:rFonts w:ascii="Times New Roman" w:hAnsi="Times New Roman"/>
          <w:b/>
          <w:noProof/>
          <w:sz w:val="24"/>
        </w:rPr>
        <w:t xml:space="preserve">„регистрираните жертви“ </w:t>
      </w:r>
      <w:r>
        <w:rPr>
          <w:rFonts w:ascii="Times New Roman" w:hAnsi="Times New Roman"/>
          <w:noProof/>
          <w:sz w:val="24"/>
        </w:rPr>
        <w:t>на трафик на хора в ЕС е</w:t>
      </w:r>
      <w:r>
        <w:rPr>
          <w:rFonts w:ascii="Times New Roman" w:hAnsi="Times New Roman"/>
          <w:b/>
          <w:noProof/>
          <w:sz w:val="24"/>
        </w:rPr>
        <w:t xml:space="preserve"> 15 846</w:t>
      </w:r>
      <w:r>
        <w:rPr>
          <w:rFonts w:ascii="Times New Roman" w:hAnsi="Times New Roman"/>
          <w:noProof/>
          <w:sz w:val="24"/>
        </w:rPr>
        <w:t xml:space="preserve"> (в това число установените и предполагаемите жертви).</w:t>
      </w:r>
      <w:r>
        <w:rPr>
          <w:noProof/>
        </w:rPr>
        <w:t xml:space="preserve"> </w:t>
      </w:r>
    </w:p>
    <w:p w:rsidR="00B80DCD" w:rsidRDefault="005A5274">
      <w:pPr>
        <w:pStyle w:val="ListParagraph"/>
        <w:numPr>
          <w:ilvl w:val="0"/>
          <w:numId w:val="16"/>
        </w:numPr>
        <w:jc w:val="both"/>
        <w:rPr>
          <w:rFonts w:ascii="Times New Roman" w:hAnsi="Times New Roman"/>
          <w:noProof/>
          <w:sz w:val="24"/>
          <w:szCs w:val="24"/>
        </w:rPr>
      </w:pPr>
      <w:r>
        <w:rPr>
          <w:rFonts w:ascii="Times New Roman" w:hAnsi="Times New Roman"/>
          <w:noProof/>
          <w:sz w:val="24"/>
        </w:rPr>
        <w:t xml:space="preserve">Трафикът с цел </w:t>
      </w:r>
      <w:r>
        <w:rPr>
          <w:rFonts w:ascii="Times New Roman" w:hAnsi="Times New Roman"/>
          <w:b/>
          <w:noProof/>
          <w:sz w:val="24"/>
        </w:rPr>
        <w:t>сексуална експлоат</w:t>
      </w:r>
      <w:r>
        <w:rPr>
          <w:rFonts w:ascii="Times New Roman" w:hAnsi="Times New Roman"/>
          <w:b/>
          <w:noProof/>
          <w:sz w:val="24"/>
        </w:rPr>
        <w:t>ация</w:t>
      </w:r>
      <w:r>
        <w:rPr>
          <w:rFonts w:ascii="Times New Roman" w:hAnsi="Times New Roman"/>
          <w:noProof/>
          <w:sz w:val="24"/>
        </w:rPr>
        <w:t xml:space="preserve"> остава най-широко разпространената форма (67 % от регистрираните жертви), следвана от трафика с цел трудова експлоатация (21 % от регистрираните жертви). Останалите 12 % са регистрирани като жертви на трафик с цел други форми на експлоатация.</w:t>
      </w:r>
    </w:p>
    <w:p w:rsidR="00B80DCD" w:rsidRDefault="005A5274">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noProof/>
          <w:sz w:val="24"/>
        </w:rPr>
        <w:t xml:space="preserve">Над три </w:t>
      </w:r>
      <w:r>
        <w:rPr>
          <w:rFonts w:ascii="Times New Roman" w:hAnsi="Times New Roman"/>
          <w:noProof/>
          <w:sz w:val="24"/>
        </w:rPr>
        <w:t xml:space="preserve">четвърти от регистрираните жертви са жени (76 %).  </w:t>
      </w:r>
    </w:p>
    <w:p w:rsidR="00B80DCD" w:rsidRDefault="005A5274">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noProof/>
          <w:sz w:val="24"/>
        </w:rPr>
        <w:t>Най-малко 15 % от регистрираните жертви са деца</w:t>
      </w:r>
      <w:r>
        <w:rPr>
          <w:rStyle w:val="FootnoteReference"/>
          <w:rFonts w:ascii="Times New Roman" w:hAnsi="Times New Roman"/>
          <w:noProof/>
          <w:sz w:val="24"/>
        </w:rPr>
        <w:footnoteReference w:id="17"/>
      </w:r>
      <w:r>
        <w:rPr>
          <w:rFonts w:ascii="Times New Roman" w:hAnsi="Times New Roman"/>
          <w:noProof/>
          <w:sz w:val="24"/>
        </w:rPr>
        <w:t>.</w:t>
      </w:r>
    </w:p>
    <w:p w:rsidR="00B80DCD" w:rsidRDefault="005A5274">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65 %</w:t>
      </w:r>
      <w:r>
        <w:rPr>
          <w:rFonts w:ascii="Times New Roman" w:hAnsi="Times New Roman" w:cs="Times New Roman"/>
          <w:noProof/>
          <w:sz w:val="24"/>
          <w:szCs w:val="24"/>
        </w:rPr>
        <w:t xml:space="preserve"> от регистрираните жертви са </w:t>
      </w:r>
      <w:r>
        <w:rPr>
          <w:rFonts w:ascii="Times New Roman" w:hAnsi="Times New Roman" w:cs="Times New Roman"/>
          <w:b/>
          <w:noProof/>
          <w:sz w:val="24"/>
          <w:szCs w:val="24"/>
        </w:rPr>
        <w:t>граждани на ЕС</w:t>
      </w: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B80DCD" w:rsidRDefault="005A5274">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Водещите пет държави — членки на ЕС, според гражданство</w:t>
      </w:r>
      <w:r>
        <w:rPr>
          <w:rFonts w:ascii="Times New Roman" w:hAnsi="Times New Roman" w:cs="Times New Roman"/>
          <w:noProof/>
          <w:sz w:val="24"/>
          <w:szCs w:val="24"/>
        </w:rPr>
        <w:t xml:space="preserve"> на регистрираните жертви през периода 2013—201</w:t>
      </w:r>
      <w:r>
        <w:rPr>
          <w:rFonts w:ascii="Times New Roman" w:hAnsi="Times New Roman" w:cs="Times New Roman"/>
          <w:noProof/>
          <w:sz w:val="24"/>
          <w:szCs w:val="24"/>
        </w:rPr>
        <w:t xml:space="preserve">4 г. са Румъния, България, Нидерландия, Унгария и Полша. Това са същите държави и за периода 2010—2012 г.  </w:t>
      </w:r>
    </w:p>
    <w:p w:rsidR="00B80DCD" w:rsidRDefault="005A5274">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Съответно </w:t>
      </w:r>
      <w:r>
        <w:rPr>
          <w:rFonts w:ascii="Times New Roman" w:hAnsi="Times New Roman" w:cs="Times New Roman"/>
          <w:b/>
          <w:noProof/>
          <w:sz w:val="24"/>
          <w:szCs w:val="24"/>
        </w:rPr>
        <w:t>водещите пет държави извън ЕС, според гражданството</w:t>
      </w:r>
      <w:r>
        <w:rPr>
          <w:rFonts w:ascii="Times New Roman" w:hAnsi="Times New Roman" w:cs="Times New Roman"/>
          <w:noProof/>
          <w:sz w:val="24"/>
          <w:szCs w:val="24"/>
        </w:rPr>
        <w:t>, са Нигерия, Китай, Албания, Виетнам и Мароко.</w:t>
      </w:r>
    </w:p>
    <w:p w:rsidR="00B80DCD" w:rsidRDefault="005A5274">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6 324 души</w:t>
      </w:r>
      <w:r>
        <w:rPr>
          <w:rFonts w:ascii="Times New Roman" w:hAnsi="Times New Roman" w:cs="Times New Roman"/>
          <w:noProof/>
          <w:sz w:val="24"/>
          <w:szCs w:val="24"/>
        </w:rPr>
        <w:t xml:space="preserve"> са потърсили официално съдей</w:t>
      </w:r>
      <w:r>
        <w:rPr>
          <w:rFonts w:ascii="Times New Roman" w:hAnsi="Times New Roman" w:cs="Times New Roman"/>
          <w:noProof/>
          <w:sz w:val="24"/>
          <w:szCs w:val="24"/>
        </w:rPr>
        <w:t>ствие от полицията или от наказателноправната съдебна система</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xml:space="preserve"> във връзка с трафик на хора</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w:t>
      </w:r>
    </w:p>
    <w:p w:rsidR="00B80DCD" w:rsidRDefault="005A5274">
      <w:pPr>
        <w:pStyle w:val="ListParagraph"/>
        <w:numPr>
          <w:ilvl w:val="0"/>
          <w:numId w:val="16"/>
        </w:numPr>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Като цяло са докладвани </w:t>
      </w:r>
      <w:r>
        <w:rPr>
          <w:rFonts w:ascii="Times New Roman" w:hAnsi="Times New Roman" w:cs="Times New Roman"/>
          <w:b/>
          <w:noProof/>
          <w:sz w:val="24"/>
          <w:szCs w:val="24"/>
        </w:rPr>
        <w:t>4 079</w:t>
      </w:r>
      <w:r>
        <w:rPr>
          <w:rFonts w:ascii="Times New Roman" w:hAnsi="Times New Roman" w:cs="Times New Roman"/>
          <w:noProof/>
          <w:sz w:val="24"/>
          <w:szCs w:val="24"/>
        </w:rPr>
        <w:t xml:space="preserve"> случая на наказателно преследване и </w:t>
      </w:r>
      <w:r>
        <w:rPr>
          <w:rFonts w:ascii="Times New Roman" w:hAnsi="Times New Roman" w:cs="Times New Roman"/>
          <w:b/>
          <w:noProof/>
          <w:sz w:val="24"/>
          <w:szCs w:val="24"/>
        </w:rPr>
        <w:t>3 129</w:t>
      </w:r>
      <w:r>
        <w:rPr>
          <w:rFonts w:ascii="Times New Roman" w:hAnsi="Times New Roman" w:cs="Times New Roman"/>
          <w:noProof/>
          <w:sz w:val="24"/>
          <w:szCs w:val="24"/>
        </w:rPr>
        <w:t xml:space="preserve"> присъди за трафик на хора в ЕС.</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cs="Times New Roman"/>
          <w:noProof/>
          <w:sz w:val="24"/>
          <w:szCs w:val="24"/>
        </w:rPr>
        <w:t>Статистическите данни са анализирани по-подробно в работния</w:t>
      </w:r>
      <w:r>
        <w:rPr>
          <w:rFonts w:ascii="Times New Roman" w:hAnsi="Times New Roman" w:cs="Times New Roman"/>
          <w:noProof/>
          <w:sz w:val="24"/>
          <w:szCs w:val="24"/>
        </w:rPr>
        <w:t xml:space="preserve"> документ на службите на Комисията, придружаващ настоящия доклад.</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cs="Times New Roman"/>
          <w:noProof/>
          <w:sz w:val="24"/>
          <w:szCs w:val="24"/>
        </w:rPr>
        <w:t>При сравнение на годишна база общият брой на регистрираните жертви в данните за периода 2013—2014 г. е по-нисък от броя, регистриран в работния документ на Евростат за периода 2010—2012 г. (</w:t>
      </w:r>
      <w:r>
        <w:rPr>
          <w:rFonts w:ascii="Times New Roman" w:hAnsi="Times New Roman" w:cs="Times New Roman"/>
          <w:noProof/>
          <w:sz w:val="24"/>
          <w:szCs w:val="24"/>
        </w:rPr>
        <w:t>8 034 през 2013 г. и 7 812 през 2014 г.; в сравнение с 9 710 през 2010 г., 9 438 през 2011 г. и 10 998 през 2012 г.). Въпреки че методите за събиране на данни, използвани за двата периода, са сходни, на този етап не би било целесъобразно да се сравняват да</w:t>
      </w:r>
      <w:r>
        <w:rPr>
          <w:rFonts w:ascii="Times New Roman" w:hAnsi="Times New Roman" w:cs="Times New Roman"/>
          <w:noProof/>
          <w:sz w:val="24"/>
          <w:szCs w:val="24"/>
        </w:rPr>
        <w:t>нните, нито между двете проучвания, нито между отделните години, поради евентуални различия в методите на записване и в правните определения. Поради тази причина несъответствието между стойностите на годишна база, и по-специално причините за по-малкия брой</w:t>
      </w:r>
      <w:r>
        <w:rPr>
          <w:rFonts w:ascii="Times New Roman" w:hAnsi="Times New Roman" w:cs="Times New Roman"/>
          <w:noProof/>
          <w:sz w:val="24"/>
          <w:szCs w:val="24"/>
        </w:rPr>
        <w:t xml:space="preserve"> регистрирани жертви на трафик, са въпроси, които трябва да бъдат разгледани и анализирани допълнително. Освен това съответствията по отношение на държавите на произход на жертвите, държавите по местоназначение, формите на експлоатация и профила, свързан с</w:t>
      </w:r>
      <w:r>
        <w:rPr>
          <w:rFonts w:ascii="Times New Roman" w:hAnsi="Times New Roman" w:cs="Times New Roman"/>
          <w:noProof/>
          <w:sz w:val="24"/>
          <w:szCs w:val="24"/>
        </w:rPr>
        <w:t xml:space="preserve"> възрастта и пола на жертвите, през петгодишния период (2010—2014 г.) показва, че въпреки положените усилия положението не се е променило</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w:t>
      </w:r>
    </w:p>
    <w:p w:rsidR="00B80DCD" w:rsidRDefault="005A5274">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noProof/>
          <w:sz w:val="24"/>
        </w:rPr>
        <w:t xml:space="preserve">Въз основа на тези доказателства е важно </w:t>
      </w:r>
      <w:r>
        <w:rPr>
          <w:rFonts w:ascii="Times New Roman" w:hAnsi="Times New Roman"/>
          <w:b/>
          <w:noProof/>
          <w:sz w:val="24"/>
        </w:rPr>
        <w:t>държавите членки да продължат усилията за подобряване на събирането на данн</w:t>
      </w:r>
      <w:r>
        <w:rPr>
          <w:rFonts w:ascii="Times New Roman" w:hAnsi="Times New Roman"/>
          <w:b/>
          <w:noProof/>
          <w:sz w:val="24"/>
        </w:rPr>
        <w:t>и (разбити по възраст и по пол) относно трафика на хора с цел мониторинг на явлението</w:t>
      </w:r>
      <w:r>
        <w:rPr>
          <w:rFonts w:ascii="Times New Roman" w:hAnsi="Times New Roman"/>
          <w:noProof/>
          <w:sz w:val="24"/>
        </w:rPr>
        <w:t>. Събирането на данни е също толкова важно за измерване на въздействието на действията за справяне с трафика на хора. Съответствието между статистическите тенденции през д</w:t>
      </w:r>
      <w:r>
        <w:rPr>
          <w:rFonts w:ascii="Times New Roman" w:hAnsi="Times New Roman"/>
          <w:noProof/>
          <w:sz w:val="24"/>
        </w:rPr>
        <w:t xml:space="preserve">вата периода показва, че </w:t>
      </w:r>
      <w:r>
        <w:rPr>
          <w:rFonts w:ascii="Times New Roman" w:hAnsi="Times New Roman"/>
          <w:b/>
          <w:noProof/>
          <w:sz w:val="24"/>
        </w:rPr>
        <w:t>държавите членки следва да полагат повече усилия за разследване на това престъпление</w:t>
      </w:r>
      <w:r>
        <w:rPr>
          <w:rFonts w:ascii="Times New Roman" w:hAnsi="Times New Roman"/>
          <w:noProof/>
          <w:sz w:val="24"/>
        </w:rPr>
        <w:t xml:space="preserve">, </w:t>
      </w:r>
      <w:r>
        <w:rPr>
          <w:rFonts w:ascii="Times New Roman" w:hAnsi="Times New Roman"/>
          <w:b/>
          <w:noProof/>
          <w:sz w:val="24"/>
        </w:rPr>
        <w:t>за наказателно преследване на извършителите, както и за идентифициране на потенциалните жертви.</w:t>
      </w:r>
      <w:r>
        <w:rPr>
          <w:rFonts w:ascii="Times New Roman" w:hAnsi="Times New Roman"/>
          <w:noProof/>
          <w:sz w:val="24"/>
        </w:rPr>
        <w:t xml:space="preserve"> Комисията се ангажира да подкрепя държавите членк</w:t>
      </w:r>
      <w:r>
        <w:rPr>
          <w:rFonts w:ascii="Times New Roman" w:hAnsi="Times New Roman"/>
          <w:noProof/>
          <w:sz w:val="24"/>
        </w:rPr>
        <w:t>и в усилията им в това отношение. Това ще включва публикуването на по-добри насоки и събирането на данни за допълнителни показатели с цел да се подобрят надеждността и сравнимостта на данните.</w:t>
      </w:r>
    </w:p>
    <w:p w:rsidR="00B80DCD" w:rsidRDefault="005A527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Тенденции по отношение на формите на експлоатация</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Трафикът на хора е социално явление, което съществува в различни форми. Той се развива с течение на времето, често в съответствие с търсенето и изобретателността на трафикантите. Списъкът на различните форми на експлоатация в Директивата за борба с трафика</w:t>
      </w:r>
      <w:r>
        <w:rPr>
          <w:rFonts w:ascii="Times New Roman" w:hAnsi="Times New Roman"/>
          <w:noProof/>
          <w:sz w:val="24"/>
        </w:rPr>
        <w:t xml:space="preserve"> на хора не е изчерпателен, така че в определението за трафик на хора могат да бъдат включени нови форми на експлоатация. </w:t>
      </w:r>
    </w:p>
    <w:p w:rsidR="00B80DCD" w:rsidRDefault="005A5274">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 xml:space="preserve">Държавите членки и другите участници следва да разпределят по пропорционален начин ресурсите </w:t>
      </w:r>
      <w:r>
        <w:rPr>
          <w:rFonts w:ascii="Times New Roman" w:hAnsi="Times New Roman" w:cs="Times New Roman"/>
          <w:noProof/>
          <w:sz w:val="24"/>
          <w:szCs w:val="24"/>
        </w:rPr>
        <w:t>с цел ефективното справяне с всички форм</w:t>
      </w:r>
      <w:r>
        <w:rPr>
          <w:rFonts w:ascii="Times New Roman" w:hAnsi="Times New Roman" w:cs="Times New Roman"/>
          <w:noProof/>
          <w:sz w:val="24"/>
          <w:szCs w:val="24"/>
        </w:rPr>
        <w:t>и на трафик на хора, включително нововъзникващи форми, както и да гарантират, че тенденциите в областта на трафика са подложени на мониторинг.</w:t>
      </w:r>
    </w:p>
    <w:p w:rsidR="00B80DCD" w:rsidRDefault="005A5274">
      <w:pPr>
        <w:pStyle w:val="ListParagraph"/>
        <w:numPr>
          <w:ilvl w:val="0"/>
          <w:numId w:val="18"/>
        </w:numPr>
        <w:jc w:val="both"/>
        <w:rPr>
          <w:rFonts w:ascii="Times New Roman" w:eastAsia="Times New Roman" w:hAnsi="Times New Roman" w:cs="Times New Roman"/>
          <w:b/>
          <w:bCs/>
          <w:i/>
          <w:iCs/>
          <w:noProof/>
          <w:sz w:val="24"/>
          <w:szCs w:val="24"/>
          <w:u w:val="single"/>
        </w:rPr>
      </w:pPr>
      <w:r>
        <w:rPr>
          <w:rFonts w:ascii="Times New Roman" w:hAnsi="Times New Roman"/>
          <w:b/>
          <w:i/>
          <w:noProof/>
          <w:sz w:val="24"/>
          <w:u w:val="single"/>
        </w:rPr>
        <w:t>Трафик с цел сексуална експлоатация</w:t>
      </w:r>
    </w:p>
    <w:p w:rsidR="00B80DCD" w:rsidRDefault="005A5274">
      <w:pPr>
        <w:pStyle w:val="Body"/>
        <w:jc w:val="both"/>
        <w:rPr>
          <w:rFonts w:ascii="Times New Roman" w:hAnsi="Times New Roman"/>
          <w:noProof/>
          <w:sz w:val="24"/>
          <w:szCs w:val="24"/>
        </w:rPr>
      </w:pPr>
      <w:r>
        <w:rPr>
          <w:rFonts w:ascii="Times New Roman" w:hAnsi="Times New Roman"/>
          <w:noProof/>
          <w:sz w:val="24"/>
        </w:rPr>
        <w:t xml:space="preserve">Трафикът на хора с цел сексуална експлоатация все още е най-преобладаващата </w:t>
      </w:r>
      <w:r>
        <w:rPr>
          <w:rFonts w:ascii="Times New Roman" w:hAnsi="Times New Roman"/>
          <w:noProof/>
          <w:sz w:val="24"/>
        </w:rPr>
        <w:t>форма на трафик на хора в ЕС. Според статистическите данни в периода 2013—2014 г. са регистрирани 10 044 жертви (67 % от общия брой на регистрираните жертви) на този вид експлоатация, която засяга най-вече жени и момичета (95 % от регистрираните жертви), в</w:t>
      </w:r>
      <w:r>
        <w:rPr>
          <w:rFonts w:ascii="Times New Roman" w:hAnsi="Times New Roman"/>
          <w:noProof/>
          <w:sz w:val="24"/>
        </w:rPr>
        <w:t>ъпреки че няколко държави членки са докладвали за увеличаване на броя на жертвите от мъжки пол. Повечето жертви касаят секс индустрията. Наличната информация показва, че трафикантите все повече се насочват от видими към по-малко видими форми на трафик с це</w:t>
      </w:r>
      <w:r>
        <w:rPr>
          <w:rFonts w:ascii="Times New Roman" w:hAnsi="Times New Roman"/>
          <w:noProof/>
          <w:sz w:val="24"/>
        </w:rPr>
        <w:t>л сексуална експлоатация, както и че злоупотребяват със статута на „самостоятелно заетите лица“.</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cs="Times New Roman"/>
          <w:noProof/>
          <w:sz w:val="24"/>
          <w:szCs w:val="24"/>
        </w:rPr>
        <w:t>Според Европол „в държавите, в които проституцията е законна или регулирана, е възможно търсенето на евтина работна ръка да има отражение върху предлагането на</w:t>
      </w:r>
      <w:r>
        <w:rPr>
          <w:rFonts w:ascii="Times New Roman" w:hAnsi="Times New Roman" w:cs="Times New Roman"/>
          <w:noProof/>
          <w:sz w:val="24"/>
          <w:szCs w:val="24"/>
        </w:rPr>
        <w:t xml:space="preserve"> сексуални услуги“ и в тези държави „е много по-лесно за трафикантите, които желаят да използват правната среда с цел експлоатация на техните жертви“</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xml:space="preserve">. Моделите също се променят — от видими до по-малко видими форми на проституция.  </w:t>
      </w:r>
    </w:p>
    <w:p w:rsidR="00B80DCD" w:rsidRDefault="005A5274">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b/>
          <w:bCs/>
          <w:i/>
          <w:iCs/>
          <w:noProof/>
          <w:sz w:val="24"/>
          <w:szCs w:val="24"/>
          <w:u w:val="single"/>
        </w:rPr>
      </w:pPr>
      <w:r>
        <w:rPr>
          <w:rFonts w:ascii="Times New Roman" w:hAnsi="Times New Roman" w:cs="Times New Roman"/>
          <w:noProof/>
          <w:sz w:val="24"/>
          <w:szCs w:val="24"/>
        </w:rPr>
        <w:t>Събраните данни за наст</w:t>
      </w:r>
      <w:r>
        <w:rPr>
          <w:rFonts w:ascii="Times New Roman" w:hAnsi="Times New Roman" w:cs="Times New Roman"/>
          <w:noProof/>
          <w:sz w:val="24"/>
          <w:szCs w:val="24"/>
        </w:rPr>
        <w:t xml:space="preserve">оящия доклад показват, че независимо от положените досега усилия справянето с трафика с цел сексуална експлоатация не е ефективно и той не е намалял. Държавите членки следва </w:t>
      </w:r>
      <w:r>
        <w:rPr>
          <w:rFonts w:ascii="Times New Roman" w:hAnsi="Times New Roman" w:cs="Times New Roman"/>
          <w:b/>
          <w:noProof/>
          <w:sz w:val="24"/>
          <w:szCs w:val="24"/>
        </w:rPr>
        <w:t>да продължат и дори да увеличат усилията за борба с трафика на хора с цел сексуалн</w:t>
      </w:r>
      <w:r>
        <w:rPr>
          <w:rFonts w:ascii="Times New Roman" w:hAnsi="Times New Roman" w:cs="Times New Roman"/>
          <w:b/>
          <w:noProof/>
          <w:sz w:val="24"/>
          <w:szCs w:val="24"/>
        </w:rPr>
        <w:t>а експлоатация</w:t>
      </w:r>
      <w:r>
        <w:rPr>
          <w:rFonts w:ascii="Times New Roman" w:hAnsi="Times New Roman" w:cs="Times New Roman"/>
          <w:noProof/>
          <w:sz w:val="24"/>
          <w:szCs w:val="24"/>
        </w:rPr>
        <w:t>.</w:t>
      </w:r>
    </w:p>
    <w:p w:rsidR="00B80DCD" w:rsidRDefault="005A5274">
      <w:pPr>
        <w:pStyle w:val="ListParagraph"/>
        <w:numPr>
          <w:ilvl w:val="0"/>
          <w:numId w:val="18"/>
        </w:numPr>
        <w:jc w:val="both"/>
        <w:rPr>
          <w:rFonts w:ascii="Times New Roman" w:eastAsia="Times New Roman" w:hAnsi="Times New Roman" w:cs="Times New Roman"/>
          <w:b/>
          <w:bCs/>
          <w:i/>
          <w:iCs/>
          <w:noProof/>
          <w:sz w:val="24"/>
          <w:szCs w:val="24"/>
          <w:u w:val="single"/>
        </w:rPr>
      </w:pPr>
      <w:r>
        <w:rPr>
          <w:rFonts w:ascii="Times New Roman" w:hAnsi="Times New Roman" w:cs="Times New Roman"/>
          <w:b/>
          <w:i/>
          <w:noProof/>
          <w:sz w:val="24"/>
          <w:szCs w:val="24"/>
          <w:u w:val="single"/>
        </w:rPr>
        <w:t>Tрафик с цел трудова експлоатация</w:t>
      </w:r>
    </w:p>
    <w:p w:rsidR="00B80DCD" w:rsidRDefault="005A5274">
      <w:pPr>
        <w:pStyle w:val="Body"/>
        <w:jc w:val="both"/>
        <w:rPr>
          <w:rFonts w:ascii="Times New Roman" w:hAnsi="Times New Roman" w:cs="Times New Roman"/>
          <w:noProof/>
          <w:sz w:val="24"/>
          <w:szCs w:val="24"/>
        </w:rPr>
      </w:pPr>
      <w:r>
        <w:rPr>
          <w:rFonts w:ascii="Times New Roman" w:hAnsi="Times New Roman" w:cs="Times New Roman"/>
          <w:noProof/>
          <w:sz w:val="24"/>
          <w:szCs w:val="24"/>
        </w:rPr>
        <w:t>Няколко държави членки докладваха, че трафикът на хора с цел трудова експлоатация нараства (21 % от общия брой на регистрираните жертви). Държавите членки също така отчитат увеличение на броя на жертвите от</w:t>
      </w:r>
      <w:r>
        <w:rPr>
          <w:rFonts w:ascii="Times New Roman" w:hAnsi="Times New Roman" w:cs="Times New Roman"/>
          <w:noProof/>
          <w:sz w:val="24"/>
          <w:szCs w:val="24"/>
        </w:rPr>
        <w:t xml:space="preserve"> мъжки пол на този вид трафик, например в сектора на селското стопанство. Статистическите данни за периода 2013—2014 г. показват, че 74 % от регистрираните жертви на трудова експлоатация са мъже</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w:t>
      </w:r>
    </w:p>
    <w:p w:rsidR="00B80DCD" w:rsidRDefault="005A5274">
      <w:pPr>
        <w:pStyle w:val="Body"/>
        <w:jc w:val="both"/>
        <w:rPr>
          <w:rFonts w:ascii="Times New Roman" w:hAnsi="Times New Roman"/>
          <w:noProof/>
          <w:sz w:val="24"/>
          <w:szCs w:val="24"/>
        </w:rPr>
      </w:pPr>
      <w:r>
        <w:rPr>
          <w:rFonts w:ascii="Times New Roman" w:hAnsi="Times New Roman"/>
          <w:noProof/>
          <w:sz w:val="24"/>
        </w:rPr>
        <w:t>Трафикантите използват пропуските в прилагането или в конт</w:t>
      </w:r>
      <w:r>
        <w:rPr>
          <w:rFonts w:ascii="Times New Roman" w:hAnsi="Times New Roman"/>
          <w:noProof/>
          <w:sz w:val="24"/>
        </w:rPr>
        <w:t>рола на законодателството по отношение на разрешенията за работа, визите, трудовите права и условията на труд. Трафикът с цел трудова експлоатация в никакъв случай не е ново явление в ЕС, а в резултат на икономическата криза търсенето на евтина работна рък</w:t>
      </w:r>
      <w:r>
        <w:rPr>
          <w:rFonts w:ascii="Times New Roman" w:hAnsi="Times New Roman"/>
          <w:noProof/>
          <w:sz w:val="24"/>
        </w:rPr>
        <w:t>а се увеличава</w:t>
      </w:r>
      <w:r>
        <w:rPr>
          <w:rStyle w:val="FootnoteReference"/>
          <w:rFonts w:ascii="Times New Roman" w:hAnsi="Times New Roman"/>
          <w:noProof/>
          <w:sz w:val="24"/>
        </w:rPr>
        <w:footnoteReference w:id="23"/>
      </w:r>
      <w:r>
        <w:rPr>
          <w:rFonts w:ascii="Times New Roman" w:hAnsi="Times New Roman"/>
          <w:noProof/>
          <w:sz w:val="24"/>
        </w:rPr>
        <w:t>, като лицата — жертви на трафик на хора, към и в рамките на ЕС, извършват ниско или много ниско платена работа в условия на живот и труд, които не зачитат човешкото им достойнство.</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Принудителното подчинение в домашни условия е форма на траф</w:t>
      </w:r>
      <w:r>
        <w:rPr>
          <w:rFonts w:ascii="Times New Roman" w:hAnsi="Times New Roman"/>
          <w:noProof/>
          <w:sz w:val="24"/>
        </w:rPr>
        <w:t>ик с цел трудова експлоатация, която е особено трудна за откриване. Тя засяга предимно жените и момичетата. Тъй като тази форма на трафик се среща в частните домакинства, жертвите често са изолирани, с ограничени или никакви възможности да подадат сигнал и</w:t>
      </w:r>
      <w:r>
        <w:rPr>
          <w:rFonts w:ascii="Times New Roman" w:hAnsi="Times New Roman"/>
          <w:noProof/>
          <w:sz w:val="24"/>
        </w:rPr>
        <w:t>ли да се освободят от експлоатацията.</w:t>
      </w:r>
    </w:p>
    <w:p w:rsidR="00B80DCD" w:rsidRDefault="005A5274">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hAnsi="Times New Roman"/>
          <w:noProof/>
          <w:sz w:val="24"/>
          <w:szCs w:val="24"/>
        </w:rPr>
      </w:pPr>
      <w:r>
        <w:rPr>
          <w:rFonts w:ascii="Times New Roman" w:hAnsi="Times New Roman"/>
          <w:noProof/>
          <w:sz w:val="24"/>
        </w:rPr>
        <w:t xml:space="preserve">Въпреки че е важно да се подчертае, че не всички ситуации на експлоатация на пазара на труда в ЕС са резултат от трафика на хора, някои може да са такива. В тези случаи </w:t>
      </w:r>
      <w:r>
        <w:rPr>
          <w:rFonts w:ascii="Times New Roman" w:hAnsi="Times New Roman"/>
          <w:b/>
          <w:noProof/>
          <w:sz w:val="24"/>
        </w:rPr>
        <w:t>всички жертви на трафика с цел трудова експлоатац</w:t>
      </w:r>
      <w:r>
        <w:rPr>
          <w:rFonts w:ascii="Times New Roman" w:hAnsi="Times New Roman"/>
          <w:b/>
          <w:noProof/>
          <w:sz w:val="24"/>
        </w:rPr>
        <w:t>ия трябва да бъдат надлежно идентифицирани и да им се окаже съдействие.</w:t>
      </w:r>
      <w:r>
        <w:rPr>
          <w:rFonts w:ascii="Times New Roman" w:hAnsi="Times New Roman"/>
          <w:noProof/>
          <w:sz w:val="24"/>
        </w:rPr>
        <w:t xml:space="preserve"> </w:t>
      </w:r>
    </w:p>
    <w:p w:rsidR="00B80DCD" w:rsidRDefault="005A5274">
      <w:pPr>
        <w:pStyle w:val="ListParagraph"/>
        <w:numPr>
          <w:ilvl w:val="0"/>
          <w:numId w:val="18"/>
        </w:numPr>
        <w:jc w:val="both"/>
        <w:rPr>
          <w:rFonts w:ascii="Times New Roman" w:eastAsia="Times New Roman" w:hAnsi="Times New Roman" w:cs="Times New Roman"/>
          <w:i/>
          <w:iCs/>
          <w:noProof/>
          <w:sz w:val="24"/>
          <w:szCs w:val="24"/>
        </w:rPr>
      </w:pPr>
      <w:r>
        <w:rPr>
          <w:rFonts w:ascii="Times New Roman" w:hAnsi="Times New Roman"/>
          <w:b/>
          <w:i/>
          <w:noProof/>
          <w:sz w:val="24"/>
          <w:u w:val="single"/>
        </w:rPr>
        <w:t>Трафик с цел други форми на експлоатация</w:t>
      </w:r>
    </w:p>
    <w:p w:rsidR="00B80DCD" w:rsidRDefault="005A5274">
      <w:pPr>
        <w:pStyle w:val="Body"/>
        <w:jc w:val="both"/>
        <w:rPr>
          <w:rFonts w:ascii="Times New Roman" w:hAnsi="Times New Roman"/>
          <w:noProof/>
          <w:sz w:val="24"/>
          <w:szCs w:val="24"/>
        </w:rPr>
      </w:pPr>
      <w:r>
        <w:rPr>
          <w:rFonts w:ascii="Times New Roman" w:hAnsi="Times New Roman"/>
          <w:noProof/>
          <w:sz w:val="24"/>
        </w:rPr>
        <w:t>Според статистическите данни за периода 2013—2014 г. другите форми на експлоатация съставляват 12 % от общия брой на жертвите.</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Другите форми </w:t>
      </w:r>
      <w:r>
        <w:rPr>
          <w:rFonts w:ascii="Times New Roman" w:hAnsi="Times New Roman"/>
          <w:noProof/>
          <w:sz w:val="24"/>
        </w:rPr>
        <w:t xml:space="preserve">на експлоатация, докладвани от държавите членки, включват трафика с цел принудителна просия, престъпна дейност, принудителните бракове, фиктивните бракове, отнемането на органи, трафика на кърмачета и малки деца за осиновяване, трафика на бременни жени за </w:t>
      </w:r>
      <w:r>
        <w:rPr>
          <w:rFonts w:ascii="Times New Roman" w:hAnsi="Times New Roman"/>
          <w:noProof/>
          <w:sz w:val="24"/>
        </w:rPr>
        <w:t>продажба на новородените им бебета, трафика за производство на канабис, както и трафика за контрабанда на наркотици или за продажба на наркотици.</w:t>
      </w:r>
    </w:p>
    <w:p w:rsidR="00B80DCD" w:rsidRDefault="005A5274">
      <w:pPr>
        <w:pStyle w:val="Body"/>
        <w:jc w:val="both"/>
        <w:rPr>
          <w:rFonts w:ascii="Times New Roman" w:hAnsi="Times New Roman"/>
          <w:noProof/>
          <w:sz w:val="24"/>
          <w:szCs w:val="24"/>
        </w:rPr>
      </w:pPr>
      <w:r>
        <w:rPr>
          <w:rFonts w:ascii="Times New Roman" w:hAnsi="Times New Roman"/>
          <w:noProof/>
          <w:sz w:val="24"/>
        </w:rPr>
        <w:t xml:space="preserve">Държавите членки също така докладват за случаи, при които хора стават жертва на </w:t>
      </w:r>
      <w:r>
        <w:rPr>
          <w:rFonts w:ascii="Times New Roman" w:hAnsi="Times New Roman"/>
          <w:b/>
          <w:noProof/>
          <w:sz w:val="24"/>
        </w:rPr>
        <w:t xml:space="preserve">множество форми на </w:t>
      </w:r>
      <w:r>
        <w:rPr>
          <w:rFonts w:ascii="Times New Roman" w:hAnsi="Times New Roman"/>
          <w:b/>
          <w:noProof/>
          <w:sz w:val="24"/>
        </w:rPr>
        <w:t>експлоатация</w:t>
      </w:r>
      <w:r>
        <w:rPr>
          <w:rFonts w:ascii="Times New Roman" w:hAnsi="Times New Roman"/>
          <w:noProof/>
          <w:sz w:val="24"/>
        </w:rPr>
        <w:t>. Например, когато те са обект на трафик с цел както трудова, така и сексуална експлоатация, или ако са подложени на трафик с цел трудова експлоатация, но са принудени да извършват и престъпна дейност.</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Докладите от държавите членки показват, че</w:t>
      </w:r>
      <w:r>
        <w:rPr>
          <w:rFonts w:ascii="Times New Roman" w:hAnsi="Times New Roman"/>
          <w:noProof/>
          <w:sz w:val="24"/>
        </w:rPr>
        <w:t xml:space="preserve"> нараства </w:t>
      </w:r>
      <w:r>
        <w:rPr>
          <w:rFonts w:ascii="Times New Roman" w:hAnsi="Times New Roman"/>
          <w:b/>
          <w:noProof/>
          <w:sz w:val="24"/>
        </w:rPr>
        <w:t>експлоатацията на лица с увреждания — физически, умствени или свързани с развитието</w:t>
      </w:r>
      <w:r>
        <w:rPr>
          <w:rFonts w:ascii="Times New Roman" w:hAnsi="Times New Roman"/>
          <w:noProof/>
          <w:sz w:val="24"/>
        </w:rPr>
        <w:t xml:space="preserve">. Увеличение е отчетено и </w:t>
      </w:r>
      <w:r>
        <w:rPr>
          <w:rFonts w:ascii="Times New Roman" w:hAnsi="Times New Roman"/>
          <w:b/>
          <w:noProof/>
          <w:sz w:val="24"/>
        </w:rPr>
        <w:t>при трафика</w:t>
      </w:r>
      <w:r>
        <w:rPr>
          <w:rFonts w:ascii="Times New Roman" w:hAnsi="Times New Roman"/>
          <w:noProof/>
          <w:sz w:val="24"/>
        </w:rPr>
        <w:t xml:space="preserve"> на хора от ромски етнически произход </w:t>
      </w:r>
      <w:r>
        <w:rPr>
          <w:rFonts w:ascii="Times New Roman" w:hAnsi="Times New Roman"/>
          <w:b/>
          <w:noProof/>
          <w:sz w:val="24"/>
        </w:rPr>
        <w:t>с цел принудителна просия</w:t>
      </w:r>
      <w:r>
        <w:rPr>
          <w:rFonts w:ascii="Times New Roman" w:hAnsi="Times New Roman"/>
          <w:noProof/>
          <w:sz w:val="24"/>
        </w:rPr>
        <w:t xml:space="preserve">. Жертвите на трафика са използвани и </w:t>
      </w:r>
      <w:r>
        <w:rPr>
          <w:rFonts w:ascii="Times New Roman" w:hAnsi="Times New Roman"/>
          <w:b/>
          <w:noProof/>
          <w:sz w:val="24"/>
        </w:rPr>
        <w:t>като куриери на наркотици</w:t>
      </w:r>
      <w:r>
        <w:rPr>
          <w:rFonts w:ascii="Times New Roman" w:hAnsi="Times New Roman"/>
          <w:noProof/>
          <w:sz w:val="24"/>
        </w:rPr>
        <w:t xml:space="preserve">, експлоатирани са в </w:t>
      </w:r>
      <w:r>
        <w:rPr>
          <w:rFonts w:ascii="Times New Roman" w:hAnsi="Times New Roman"/>
          <w:b/>
          <w:noProof/>
          <w:sz w:val="24"/>
        </w:rPr>
        <w:t>отглеждането на канабис</w:t>
      </w:r>
      <w:r>
        <w:rPr>
          <w:rFonts w:ascii="Times New Roman" w:hAnsi="Times New Roman"/>
          <w:noProof/>
          <w:sz w:val="24"/>
        </w:rPr>
        <w:t xml:space="preserve"> или в </w:t>
      </w:r>
      <w:r>
        <w:rPr>
          <w:rFonts w:ascii="Times New Roman" w:hAnsi="Times New Roman"/>
          <w:b/>
          <w:noProof/>
          <w:sz w:val="24"/>
        </w:rPr>
        <w:t>измами с помощи</w:t>
      </w:r>
      <w:r>
        <w:rPr>
          <w:rFonts w:ascii="Times New Roman" w:hAnsi="Times New Roman"/>
          <w:noProof/>
          <w:sz w:val="24"/>
        </w:rPr>
        <w:t xml:space="preserve">. Държавите членки също така докладват, че </w:t>
      </w:r>
      <w:r>
        <w:rPr>
          <w:rFonts w:ascii="Times New Roman" w:hAnsi="Times New Roman"/>
          <w:b/>
          <w:noProof/>
          <w:sz w:val="24"/>
        </w:rPr>
        <w:t>бременни жени са вербувани и принуждавани да продават новородените си бебета</w:t>
      </w:r>
      <w:r>
        <w:rPr>
          <w:rFonts w:ascii="Times New Roman" w:hAnsi="Times New Roman"/>
          <w:noProof/>
          <w:sz w:val="24"/>
        </w:rPr>
        <w:t>.</w:t>
      </w:r>
    </w:p>
    <w:p w:rsidR="00B80DCD" w:rsidRDefault="005A5274">
      <w:pPr>
        <w:pStyle w:val="Body"/>
        <w:tabs>
          <w:tab w:val="left" w:pos="3402"/>
        </w:tabs>
        <w:jc w:val="both"/>
        <w:rPr>
          <w:rFonts w:ascii="Times New Roman" w:eastAsia="Times New Roman" w:hAnsi="Times New Roman" w:cs="Times New Roman"/>
          <w:noProof/>
          <w:color w:val="auto"/>
          <w:sz w:val="24"/>
          <w:szCs w:val="24"/>
        </w:rPr>
      </w:pPr>
      <w:r>
        <w:rPr>
          <w:rFonts w:ascii="Times New Roman" w:hAnsi="Times New Roman" w:cs="Times New Roman"/>
          <w:b/>
          <w:noProof/>
          <w:sz w:val="24"/>
          <w:szCs w:val="24"/>
        </w:rPr>
        <w:t>Все по-често в контекста на трафика на хора държавите членки докладва</w:t>
      </w:r>
      <w:r>
        <w:rPr>
          <w:rFonts w:ascii="Times New Roman" w:hAnsi="Times New Roman" w:cs="Times New Roman"/>
          <w:b/>
          <w:noProof/>
          <w:sz w:val="24"/>
          <w:szCs w:val="24"/>
        </w:rPr>
        <w:t>т за принудителни бракове</w:t>
      </w:r>
      <w:r>
        <w:rPr>
          <w:rStyle w:val="FootnoteReference"/>
          <w:rFonts w:ascii="Times New Roman" w:hAnsi="Times New Roman" w:cs="Times New Roman"/>
          <w:b/>
          <w:noProof/>
          <w:color w:val="auto"/>
          <w:sz w:val="24"/>
          <w:szCs w:val="24"/>
        </w:rPr>
        <w:footnoteReference w:id="24"/>
      </w:r>
      <w:r>
        <w:rPr>
          <w:rFonts w:ascii="Times New Roman" w:hAnsi="Times New Roman" w:cs="Times New Roman"/>
          <w:b/>
          <w:noProof/>
          <w:sz w:val="24"/>
          <w:szCs w:val="24"/>
        </w:rPr>
        <w:t xml:space="preserve"> и за фиктивни бракове.</w:t>
      </w:r>
      <w:r>
        <w:rPr>
          <w:rFonts w:ascii="Times New Roman" w:hAnsi="Times New Roman" w:cs="Times New Roman"/>
          <w:noProof/>
          <w:color w:val="auto"/>
          <w:sz w:val="24"/>
          <w:szCs w:val="24"/>
        </w:rPr>
        <w:t xml:space="preserve"> </w:t>
      </w:r>
      <w:r>
        <w:rPr>
          <w:rFonts w:ascii="Times New Roman" w:hAnsi="Times New Roman" w:cs="Times New Roman"/>
          <w:noProof/>
          <w:sz w:val="24"/>
          <w:szCs w:val="24"/>
        </w:rPr>
        <w:t>Според Европол е възможно да се очаква, че настоящата миграционна и бежанска криза ще доведе до увеличаване на броя на принудителните бракове предвид зачестилите опити от страна на мигранти и на лица, търсе</w:t>
      </w:r>
      <w:r>
        <w:rPr>
          <w:rFonts w:ascii="Times New Roman" w:hAnsi="Times New Roman" w:cs="Times New Roman"/>
          <w:noProof/>
          <w:sz w:val="24"/>
          <w:szCs w:val="24"/>
        </w:rPr>
        <w:t>щи убежище, да получат право на законно пребиваване</w:t>
      </w:r>
      <w:r>
        <w:rPr>
          <w:rStyle w:val="FootnoteReference"/>
          <w:rFonts w:ascii="Times New Roman" w:hAnsi="Times New Roman" w:cs="Times New Roman"/>
          <w:noProof/>
          <w:color w:val="auto"/>
          <w:sz w:val="24"/>
          <w:szCs w:val="24"/>
        </w:rPr>
        <w:footnoteReference w:id="25"/>
      </w:r>
      <w:r>
        <w:rPr>
          <w:rFonts w:ascii="Times New Roman" w:hAnsi="Times New Roman" w:cs="Times New Roman"/>
          <w:noProof/>
          <w:sz w:val="24"/>
          <w:szCs w:val="24"/>
        </w:rPr>
        <w:t>.</w:t>
      </w:r>
      <w:r>
        <w:rPr>
          <w:rFonts w:ascii="Times New Roman" w:hAnsi="Times New Roman" w:cs="Times New Roman"/>
          <w:noProof/>
          <w:color w:val="auto"/>
          <w:sz w:val="24"/>
          <w:szCs w:val="24"/>
        </w:rPr>
        <w:t xml:space="preserve"> </w:t>
      </w:r>
    </w:p>
    <w:p w:rsidR="00B80DCD" w:rsidRDefault="005A5274">
      <w:pPr>
        <w:spacing w:after="240"/>
        <w:jc w:val="both"/>
        <w:rPr>
          <w:rFonts w:eastAsia="Times New Roman"/>
          <w:b/>
          <w:bCs/>
          <w:iCs/>
          <w:noProof/>
          <w:u w:val="single"/>
        </w:rPr>
      </w:pPr>
      <w:r>
        <w:rPr>
          <w:b/>
          <w:noProof/>
          <w:u w:val="single"/>
        </w:rPr>
        <w:t>Тенденции в областта на трафика на деца</w:t>
      </w:r>
    </w:p>
    <w:p w:rsidR="00B80DCD" w:rsidRDefault="005A5274">
      <w:pPr>
        <w:pStyle w:val="Body"/>
        <w:jc w:val="both"/>
        <w:rPr>
          <w:rFonts w:ascii="Times New Roman" w:hAnsi="Times New Roman" w:cs="Times New Roman"/>
          <w:noProof/>
          <w:sz w:val="24"/>
          <w:szCs w:val="24"/>
        </w:rPr>
      </w:pPr>
      <w:r>
        <w:rPr>
          <w:rFonts w:ascii="Times New Roman" w:hAnsi="Times New Roman" w:cs="Times New Roman"/>
          <w:b/>
          <w:noProof/>
          <w:sz w:val="24"/>
          <w:szCs w:val="24"/>
        </w:rPr>
        <w:t>Държавите членки докладват, че една от най-рязко увеличаващите се тенденции в ЕС е трафикът на деца.</w:t>
      </w:r>
      <w:r>
        <w:rPr>
          <w:rFonts w:ascii="Times New Roman" w:hAnsi="Times New Roman" w:cs="Times New Roman"/>
          <w:noProof/>
          <w:sz w:val="24"/>
          <w:szCs w:val="24"/>
        </w:rPr>
        <w:t xml:space="preserve"> Статистическите данни за периода 2013—2014 г. показват, че от 15 846 регистрирани жертви на трафик в ЕС поне 2 375 са деца</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xml:space="preserve">. </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Мрежите за трафик се насочват към семейства в неравностойно социално и икономическо положение, като ги задлъжняват с дългове, кои</w:t>
      </w:r>
      <w:r>
        <w:rPr>
          <w:rFonts w:ascii="Times New Roman" w:hAnsi="Times New Roman" w:cs="Times New Roman"/>
          <w:b/>
          <w:noProof/>
          <w:sz w:val="24"/>
          <w:szCs w:val="24"/>
        </w:rPr>
        <w:t>то те не могат да изплащат.</w:t>
      </w:r>
      <w:r>
        <w:rPr>
          <w:rFonts w:ascii="Times New Roman" w:hAnsi="Times New Roman" w:cs="Times New Roman"/>
          <w:noProof/>
          <w:sz w:val="24"/>
          <w:szCs w:val="24"/>
        </w:rPr>
        <w:t xml:space="preserve"> При такива обстоятелства като начин за изплащане на дълга децата се отнемат от родителите.</w:t>
      </w:r>
    </w:p>
    <w:p w:rsidR="00B80DCD" w:rsidRDefault="005A5274">
      <w:pPr>
        <w:pStyle w:val="Body"/>
        <w:jc w:val="both"/>
        <w:rPr>
          <w:rFonts w:ascii="Times New Roman" w:hAnsi="Times New Roman" w:cs="Times New Roman"/>
          <w:noProof/>
          <w:sz w:val="24"/>
          <w:szCs w:val="24"/>
        </w:rPr>
      </w:pPr>
      <w:r>
        <w:rPr>
          <w:rFonts w:ascii="Times New Roman" w:hAnsi="Times New Roman" w:cs="Times New Roman"/>
          <w:noProof/>
          <w:sz w:val="24"/>
          <w:szCs w:val="24"/>
        </w:rPr>
        <w:t>Децата са една от най-уязвимите групи, към които се насочват трафикантите. Организираните престъпни групи предпочитат да извършват трафик</w:t>
      </w:r>
      <w:r>
        <w:rPr>
          <w:rFonts w:ascii="Times New Roman" w:hAnsi="Times New Roman" w:cs="Times New Roman"/>
          <w:noProof/>
          <w:sz w:val="24"/>
          <w:szCs w:val="24"/>
        </w:rPr>
        <w:t xml:space="preserve"> на деца — те са лесни за вербуване и бързо могат да бъдат заменени</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Въпреки че трафикът на деца е широко разпространен в ситуации, които не са свързани с миграцията, получената информация показва, че явлението се изостря от продължаващата миграционна кри</w:t>
      </w:r>
      <w:r>
        <w:rPr>
          <w:rFonts w:ascii="Times New Roman" w:hAnsi="Times New Roman" w:cs="Times New Roman"/>
          <w:noProof/>
          <w:sz w:val="24"/>
          <w:szCs w:val="24"/>
        </w:rPr>
        <w:t>за, по време на която броят на децата, пристигащи в ЕС, се е увеличил значително</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Значителна част от тези деца не са с придружител, пътуват към и в рамките на ЕС без да се придружени от възрастен, който отговаря за тях, или са оставени без придружител сле</w:t>
      </w:r>
      <w:r>
        <w:rPr>
          <w:rFonts w:ascii="Times New Roman" w:hAnsi="Times New Roman" w:cs="Times New Roman"/>
          <w:noProof/>
          <w:sz w:val="24"/>
          <w:szCs w:val="24"/>
        </w:rPr>
        <w:t>д влизането си в ЕС.</w:t>
      </w:r>
    </w:p>
    <w:p w:rsidR="00B80DCD" w:rsidRDefault="005A5274">
      <w:pPr>
        <w:pStyle w:val="Body"/>
        <w:spacing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Идентифицирането на деца, които са жертви на трафик, и установяването на истинската им самоличност са все по-голям проблем, тъй като поради уязвимостта си децата са предпочитана цел за трафикантите.</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cs="Times New Roman"/>
          <w:noProof/>
          <w:sz w:val="24"/>
          <w:szCs w:val="24"/>
        </w:rPr>
        <w:t>Нараства трафикът на деца с цел прин</w:t>
      </w:r>
      <w:r>
        <w:rPr>
          <w:rFonts w:ascii="Times New Roman" w:hAnsi="Times New Roman" w:cs="Times New Roman"/>
          <w:noProof/>
          <w:sz w:val="24"/>
          <w:szCs w:val="24"/>
        </w:rPr>
        <w:t xml:space="preserve">удителна престъпност и сексуална експлоатация. Децата — жертви, са изложени на голям риск, не само от повторен трафик, но и от </w:t>
      </w:r>
      <w:r>
        <w:rPr>
          <w:rFonts w:ascii="Times New Roman" w:hAnsi="Times New Roman" w:cs="Times New Roman"/>
          <w:b/>
          <w:noProof/>
          <w:sz w:val="24"/>
          <w:szCs w:val="24"/>
        </w:rPr>
        <w:t>вторична виктимизация</w:t>
      </w:r>
      <w:r>
        <w:rPr>
          <w:rFonts w:ascii="Times New Roman" w:hAnsi="Times New Roman" w:cs="Times New Roman"/>
          <w:noProof/>
          <w:sz w:val="24"/>
          <w:szCs w:val="24"/>
        </w:rPr>
        <w:t xml:space="preserve"> — да бъдат третирани като извършители на престъпления, а не като жертви на трафик</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w:t>
      </w:r>
    </w:p>
    <w:p w:rsidR="00B80DCD" w:rsidRDefault="005A5274">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b/>
          <w:noProof/>
          <w:sz w:val="24"/>
          <w:bdr w:val="none" w:sz="0" w:space="0" w:color="auto"/>
        </w:rPr>
        <w:t>Комисията препоръчва да</w:t>
      </w:r>
      <w:r>
        <w:rPr>
          <w:rFonts w:ascii="Times New Roman" w:hAnsi="Times New Roman"/>
          <w:b/>
          <w:noProof/>
          <w:sz w:val="24"/>
          <w:bdr w:val="none" w:sz="0" w:space="0" w:color="auto"/>
        </w:rPr>
        <w:t xml:space="preserve"> се предприемат съгласувани и координирани усилия за предотвратяване и борба с трафика на деца, за намаляване на уязвимостта на децата в риск, за предоставяне на подходяща подкрепа на децата — жертви, както и да се гарантира, че аспектите на закрилата на д</w:t>
      </w:r>
      <w:r>
        <w:rPr>
          <w:rFonts w:ascii="Times New Roman" w:hAnsi="Times New Roman"/>
          <w:b/>
          <w:noProof/>
          <w:sz w:val="24"/>
          <w:bdr w:val="none" w:sz="0" w:space="0" w:color="auto"/>
        </w:rPr>
        <w:t>етето</w:t>
      </w:r>
      <w:r>
        <w:rPr>
          <w:rFonts w:ascii="Times New Roman" w:hAnsi="Times New Roman"/>
          <w:noProof/>
          <w:sz w:val="24"/>
          <w:bdr w:val="none" w:sz="0" w:space="0" w:color="auto"/>
        </w:rPr>
        <w:t xml:space="preserve"> са залегнали във всички мерки, насочени към децата, по-специално чрез укрепване на интегрираните системи за закрила на детето и трансграничното сътрудничество</w:t>
      </w:r>
      <w:r>
        <w:rPr>
          <w:rStyle w:val="FootnoteReference"/>
          <w:rFonts w:ascii="Times New Roman" w:hAnsi="Times New Roman"/>
          <w:noProof/>
          <w:sz w:val="24"/>
          <w:bdr w:val="none" w:sz="0" w:space="0" w:color="auto"/>
        </w:rPr>
        <w:footnoteReference w:id="30"/>
      </w:r>
      <w:r>
        <w:rPr>
          <w:noProof/>
        </w:rPr>
        <w:t>.</w:t>
      </w:r>
      <w:r>
        <w:rPr>
          <w:rFonts w:ascii="Times New Roman" w:hAnsi="Times New Roman"/>
          <w:noProof/>
          <w:sz w:val="24"/>
        </w:rPr>
        <w:t xml:space="preserve">  </w:t>
      </w:r>
    </w:p>
    <w:p w:rsidR="00B80DCD" w:rsidRDefault="005A5274">
      <w:pPr>
        <w:pStyle w:val="Body"/>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Тенденции в областта на трафика на хора и организираната престъпност</w:t>
      </w:r>
    </w:p>
    <w:p w:rsidR="00B80DCD" w:rsidRDefault="005A5274">
      <w:pPr>
        <w:pStyle w:val="Body"/>
        <w:jc w:val="both"/>
        <w:rPr>
          <w:rFonts w:ascii="Times New Roman" w:hAnsi="Times New Roman"/>
          <w:noProof/>
          <w:sz w:val="24"/>
          <w:szCs w:val="24"/>
        </w:rPr>
      </w:pPr>
      <w:r>
        <w:rPr>
          <w:rFonts w:ascii="Times New Roman" w:hAnsi="Times New Roman"/>
          <w:noProof/>
          <w:sz w:val="24"/>
        </w:rPr>
        <w:t xml:space="preserve">Обикновено </w:t>
      </w:r>
      <w:r>
        <w:rPr>
          <w:rFonts w:ascii="Times New Roman" w:hAnsi="Times New Roman"/>
          <w:noProof/>
          <w:sz w:val="24"/>
        </w:rPr>
        <w:t>трафикът на хора е</w:t>
      </w:r>
      <w:r>
        <w:rPr>
          <w:rFonts w:ascii="Times New Roman" w:hAnsi="Times New Roman"/>
          <w:b/>
          <w:noProof/>
          <w:sz w:val="24"/>
        </w:rPr>
        <w:t xml:space="preserve"> свързан с организираната престъпност</w:t>
      </w:r>
      <w:r>
        <w:rPr>
          <w:rFonts w:ascii="Times New Roman" w:hAnsi="Times New Roman"/>
          <w:noProof/>
          <w:sz w:val="24"/>
        </w:rPr>
        <w:t xml:space="preserve">, въпреки че съществуват случаи, при които малък брой жертви са експлоатирани на местно равнище и когато </w:t>
      </w:r>
      <w:r>
        <w:rPr>
          <w:rFonts w:ascii="Times New Roman" w:hAnsi="Times New Roman"/>
          <w:b/>
          <w:noProof/>
          <w:sz w:val="24"/>
        </w:rPr>
        <w:t>отделни престъпници действат без организация</w:t>
      </w:r>
      <w:r>
        <w:rPr>
          <w:rFonts w:ascii="Times New Roman" w:hAnsi="Times New Roman"/>
          <w:noProof/>
          <w:sz w:val="24"/>
        </w:rPr>
        <w:t>. Престъпните организации, участващи в трафика, се х</w:t>
      </w:r>
      <w:r>
        <w:rPr>
          <w:rFonts w:ascii="Times New Roman" w:hAnsi="Times New Roman"/>
          <w:noProof/>
          <w:sz w:val="24"/>
        </w:rPr>
        <w:t>арактеризират с неясно определени, гъвкави мрежи, които се приспособяват бързо и са свързани чрез родство или етническа принадлежност. Ролите на членовете често са взаимозаменяеми и организациите като цяло присъстват в редица държави.</w:t>
      </w:r>
      <w:r>
        <w:rPr>
          <w:rFonts w:ascii="Times New Roman" w:hAnsi="Times New Roman"/>
          <w:noProof/>
          <w:sz w:val="24"/>
          <w:vertAlign w:val="superscript"/>
        </w:rPr>
        <w:t xml:space="preserve"> </w:t>
      </w:r>
      <w:r>
        <w:rPr>
          <w:rFonts w:ascii="Times New Roman" w:hAnsi="Times New Roman"/>
          <w:noProof/>
          <w:sz w:val="24"/>
          <w:vertAlign w:val="superscript"/>
        </w:rPr>
        <w:footnoteReference w:id="31"/>
      </w:r>
    </w:p>
    <w:p w:rsidR="00B80DCD" w:rsidRDefault="005A5274">
      <w:pPr>
        <w:pStyle w:val="Body"/>
        <w:jc w:val="both"/>
        <w:rPr>
          <w:rFonts w:ascii="Times New Roman" w:hAnsi="Times New Roman"/>
          <w:noProof/>
          <w:sz w:val="24"/>
          <w:szCs w:val="24"/>
        </w:rPr>
      </w:pPr>
      <w:r>
        <w:rPr>
          <w:rFonts w:ascii="Times New Roman" w:hAnsi="Times New Roman"/>
          <w:noProof/>
          <w:sz w:val="24"/>
        </w:rPr>
        <w:t>Трафикът на хора, к</w:t>
      </w:r>
      <w:r>
        <w:rPr>
          <w:rFonts w:ascii="Times New Roman" w:hAnsi="Times New Roman"/>
          <w:noProof/>
          <w:sz w:val="24"/>
        </w:rPr>
        <w:t xml:space="preserve">ойто представлява тежка форма на организирана престъпност и значителна заплаха за сигурността, изисква </w:t>
      </w:r>
      <w:r>
        <w:rPr>
          <w:rFonts w:ascii="Times New Roman" w:hAnsi="Times New Roman"/>
          <w:b/>
          <w:noProof/>
          <w:sz w:val="24"/>
        </w:rPr>
        <w:t>координиран и целенасочен политически отговор на равнището на ЕС</w:t>
      </w:r>
      <w:r>
        <w:rPr>
          <w:rFonts w:ascii="Times New Roman" w:hAnsi="Times New Roman"/>
          <w:noProof/>
          <w:sz w:val="24"/>
        </w:rPr>
        <w:t xml:space="preserve">, както се посочва в </w:t>
      </w:r>
      <w:r>
        <w:rPr>
          <w:rFonts w:ascii="Times New Roman" w:hAnsi="Times New Roman"/>
          <w:b/>
          <w:noProof/>
          <w:sz w:val="24"/>
        </w:rPr>
        <w:t>Европейската програма за сигурност.</w:t>
      </w:r>
      <w:r>
        <w:rPr>
          <w:rFonts w:ascii="Times New Roman" w:eastAsiaTheme="minorHAnsi" w:hAnsi="Times New Roman"/>
          <w:b/>
          <w:noProof/>
          <w:sz w:val="24"/>
        </w:rPr>
        <w:t xml:space="preserve"> </w:t>
      </w:r>
      <w:r>
        <w:rPr>
          <w:rFonts w:ascii="Times New Roman" w:hAnsi="Times New Roman"/>
          <w:noProof/>
          <w:sz w:val="24"/>
        </w:rPr>
        <w:t xml:space="preserve">Отговорът следва да е </w:t>
      </w:r>
      <w:r>
        <w:rPr>
          <w:rFonts w:ascii="Times New Roman" w:hAnsi="Times New Roman"/>
          <w:b/>
          <w:noProof/>
          <w:sz w:val="24"/>
        </w:rPr>
        <w:t>насочен</w:t>
      </w:r>
      <w:r>
        <w:rPr>
          <w:rFonts w:ascii="Times New Roman" w:hAnsi="Times New Roman"/>
          <w:noProof/>
          <w:sz w:val="24"/>
        </w:rPr>
        <w:t xml:space="preserve"> </w:t>
      </w:r>
      <w:r>
        <w:rPr>
          <w:rFonts w:ascii="Times New Roman" w:hAnsi="Times New Roman"/>
          <w:b/>
          <w:noProof/>
          <w:sz w:val="24"/>
        </w:rPr>
        <w:t>и</w:t>
      </w:r>
      <w:r>
        <w:rPr>
          <w:rFonts w:ascii="Times New Roman" w:hAnsi="Times New Roman"/>
          <w:noProof/>
          <w:sz w:val="24"/>
        </w:rPr>
        <w:t xml:space="preserve"> </w:t>
      </w:r>
      <w:r>
        <w:rPr>
          <w:rFonts w:ascii="Times New Roman" w:hAnsi="Times New Roman"/>
          <w:b/>
          <w:noProof/>
          <w:sz w:val="24"/>
        </w:rPr>
        <w:t>към други взаимосвързани престъпления</w:t>
      </w:r>
      <w:r>
        <w:rPr>
          <w:rFonts w:ascii="Times New Roman" w:hAnsi="Times New Roman"/>
          <w:noProof/>
          <w:sz w:val="24"/>
        </w:rPr>
        <w:t xml:space="preserve">, </w:t>
      </w:r>
      <w:r>
        <w:rPr>
          <w:rFonts w:ascii="Times New Roman" w:hAnsi="Times New Roman" w:cs="Times New Roman"/>
          <w:noProof/>
          <w:sz w:val="24"/>
          <w:szCs w:val="24"/>
        </w:rPr>
        <w:t xml:space="preserve">като например фалшифицирането на документи, трафикът на наркотици, киберпрестъпността, детската порнография, трафикът на мигранти и измамите с помощи. </w:t>
      </w:r>
      <w:r>
        <w:rPr>
          <w:rFonts w:ascii="Times New Roman" w:hAnsi="Times New Roman" w:cs="Times New Roman"/>
          <w:b/>
          <w:noProof/>
          <w:sz w:val="24"/>
          <w:szCs w:val="24"/>
        </w:rPr>
        <w:t>Фактът, че има такива свързани престъпления, често означава, че тр</w:t>
      </w:r>
      <w:r>
        <w:rPr>
          <w:rFonts w:ascii="Times New Roman" w:hAnsi="Times New Roman" w:cs="Times New Roman"/>
          <w:b/>
          <w:noProof/>
          <w:sz w:val="24"/>
          <w:szCs w:val="24"/>
        </w:rPr>
        <w:t>афикът на хора не се разследва или регистрира като такъв</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Постоянно променящите се форми на трафик на хора и способността на трафикантите да се приспособяват към нови ситуации още повече затруднява</w:t>
      </w:r>
      <w:r>
        <w:rPr>
          <w:rFonts w:ascii="Times New Roman" w:hAnsi="Times New Roman"/>
          <w:noProof/>
          <w:sz w:val="24"/>
        </w:rPr>
        <w:t xml:space="preserve"> разследванията и наказателните преследвания.</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b/>
          <w:noProof/>
          <w:sz w:val="24"/>
          <w:u w:val="single"/>
        </w:rPr>
        <w:t xml:space="preserve">Тенденции в </w:t>
      </w:r>
      <w:r>
        <w:rPr>
          <w:rFonts w:ascii="Times New Roman" w:hAnsi="Times New Roman"/>
          <w:b/>
          <w:noProof/>
          <w:sz w:val="24"/>
          <w:u w:val="single"/>
        </w:rPr>
        <w:t>областта на трафика в контекста на миграцията и търсенето на убежище</w:t>
      </w:r>
    </w:p>
    <w:p w:rsidR="00B80DCD" w:rsidRDefault="005A5274">
      <w:pPr>
        <w:pStyle w:val="Body"/>
        <w:jc w:val="both"/>
        <w:rPr>
          <w:rFonts w:ascii="Times New Roman" w:hAnsi="Times New Roman"/>
          <w:noProof/>
          <w:sz w:val="24"/>
          <w:szCs w:val="24"/>
        </w:rPr>
      </w:pPr>
      <w:r>
        <w:rPr>
          <w:rFonts w:ascii="Times New Roman" w:hAnsi="Times New Roman"/>
          <w:noProof/>
          <w:sz w:val="24"/>
        </w:rPr>
        <w:t>Според неотдавнашното Съобщение на Комисията относно актуалното състояние във връзка с изпълнението на приоритетните действия в рамките на Европейската програма за миграцията</w:t>
      </w:r>
      <w:r>
        <w:rPr>
          <w:rFonts w:ascii="Times New Roman" w:hAnsi="Times New Roman"/>
          <w:noProof/>
          <w:color w:val="auto"/>
          <w:sz w:val="24"/>
          <w:vertAlign w:val="superscript"/>
        </w:rPr>
        <w:footnoteReference w:id="33"/>
      </w:r>
      <w:r>
        <w:rPr>
          <w:rFonts w:ascii="Times New Roman" w:hAnsi="Times New Roman"/>
          <w:noProof/>
          <w:sz w:val="24"/>
        </w:rPr>
        <w:t>, има сериоз</w:t>
      </w:r>
      <w:r>
        <w:rPr>
          <w:rFonts w:ascii="Times New Roman" w:hAnsi="Times New Roman"/>
          <w:noProof/>
          <w:sz w:val="24"/>
        </w:rPr>
        <w:t xml:space="preserve">ни доказателства, че </w:t>
      </w:r>
      <w:r>
        <w:rPr>
          <w:rFonts w:ascii="Times New Roman" w:hAnsi="Times New Roman"/>
          <w:b/>
          <w:noProof/>
          <w:sz w:val="24"/>
        </w:rPr>
        <w:t>миграционната криза се използва от престъпните мрежи, участващи в трафика на хора, които мрежи са насочени към най-уязвимите групи, особено жените и децата</w:t>
      </w:r>
      <w:r>
        <w:rPr>
          <w:rFonts w:ascii="Times New Roman" w:hAnsi="Times New Roman"/>
          <w:noProof/>
          <w:sz w:val="24"/>
        </w:rPr>
        <w:t>. Трафикантите все повече злоупотребяват със системите за предоставяне на убежищ</w:t>
      </w:r>
      <w:r>
        <w:rPr>
          <w:rFonts w:ascii="Times New Roman" w:hAnsi="Times New Roman"/>
          <w:noProof/>
          <w:sz w:val="24"/>
        </w:rPr>
        <w:t xml:space="preserve">е, които невинаги са свързани с националните механизми за насочване. Установено е </w:t>
      </w:r>
      <w:r>
        <w:rPr>
          <w:rFonts w:ascii="Times New Roman" w:hAnsi="Times New Roman"/>
          <w:b/>
          <w:noProof/>
          <w:sz w:val="24"/>
        </w:rPr>
        <w:t>тревожно рязко увеличение на броя на нигерийските жени и момичета</w:t>
      </w:r>
      <w:r>
        <w:rPr>
          <w:rFonts w:ascii="Times New Roman" w:hAnsi="Times New Roman"/>
          <w:noProof/>
          <w:sz w:val="24"/>
        </w:rPr>
        <w:t>, напускащи Либия (4 371 в периода януари—септември 2015 г. в сравнение с 1 008 през предходната година, 80 %</w:t>
      </w:r>
      <w:r>
        <w:rPr>
          <w:rFonts w:ascii="Times New Roman" w:hAnsi="Times New Roman"/>
          <w:noProof/>
          <w:sz w:val="24"/>
        </w:rPr>
        <w:t xml:space="preserve"> от които — според Международната организация по миграция (IOM) в Италия, са жертви на трафик)</w:t>
      </w:r>
      <w:r>
        <w:rPr>
          <w:rStyle w:val="FootnoteReference"/>
          <w:rFonts w:ascii="Times New Roman" w:hAnsi="Times New Roman"/>
          <w:noProof/>
          <w:sz w:val="24"/>
        </w:rPr>
        <w:footnoteReference w:id="34"/>
      </w:r>
      <w:r>
        <w:rPr>
          <w:rFonts w:ascii="Times New Roman" w:hAnsi="Times New Roman"/>
          <w:noProof/>
          <w:sz w:val="24"/>
        </w:rPr>
        <w:t xml:space="preserve">, и има опасения като цяло, че нараства рискът от трафик на хора с цел сексуална експлоатация. </w:t>
      </w:r>
    </w:p>
    <w:p w:rsidR="00B80DCD" w:rsidRDefault="005A5274">
      <w:pPr>
        <w:pStyle w:val="Body"/>
        <w:jc w:val="both"/>
        <w:rPr>
          <w:rFonts w:ascii="Times New Roman" w:eastAsia="Times New Roman" w:hAnsi="Times New Roman" w:cs="Times New Roman"/>
          <w:noProof/>
          <w:spacing w:val="-6"/>
          <w:sz w:val="24"/>
          <w:szCs w:val="24"/>
        </w:rPr>
      </w:pPr>
      <w:r>
        <w:rPr>
          <w:rFonts w:ascii="Times New Roman" w:hAnsi="Times New Roman"/>
          <w:noProof/>
          <w:spacing w:val="-6"/>
          <w:sz w:val="24"/>
        </w:rPr>
        <w:t>Като един от инструментите за справяне с миграционната криза през</w:t>
      </w:r>
      <w:r>
        <w:rPr>
          <w:rFonts w:ascii="Times New Roman" w:hAnsi="Times New Roman"/>
          <w:noProof/>
          <w:spacing w:val="-6"/>
          <w:sz w:val="24"/>
        </w:rPr>
        <w:t xml:space="preserve"> 2015 г. ЕС значително засили сътрудничеството с трети държави и трафикът на хора е една от основните области на сътрудничество с Африка, държавите от Западните Балкани и Турция.</w:t>
      </w:r>
    </w:p>
    <w:p w:rsidR="00B80DCD" w:rsidRDefault="005A5274">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hAnsi="Times New Roman" w:cs="Times New Roman"/>
          <w:noProof/>
          <w:sz w:val="24"/>
          <w:szCs w:val="24"/>
        </w:rPr>
      </w:pPr>
      <w:r>
        <w:rPr>
          <w:rFonts w:ascii="Times New Roman" w:hAnsi="Times New Roman" w:cs="Times New Roman"/>
          <w:b/>
          <w:noProof/>
          <w:sz w:val="24"/>
          <w:szCs w:val="24"/>
        </w:rPr>
        <w:t>Следва да бъде осигурена координация на място в рамките на т.нар. подход на г</w:t>
      </w:r>
      <w:r>
        <w:rPr>
          <w:rFonts w:ascii="Times New Roman" w:hAnsi="Times New Roman" w:cs="Times New Roman"/>
          <w:b/>
          <w:noProof/>
          <w:sz w:val="24"/>
          <w:szCs w:val="24"/>
        </w:rPr>
        <w:t>орещите точки, между всички различни участници</w:t>
      </w:r>
      <w:r>
        <w:rPr>
          <w:rFonts w:ascii="Times New Roman" w:hAnsi="Times New Roman" w:cs="Times New Roman"/>
          <w:noProof/>
          <w:sz w:val="24"/>
          <w:szCs w:val="24"/>
        </w:rPr>
        <w:t xml:space="preserve"> в проверката, снемането на пръстови отпечатъци, идентифицирането и регистрирането на граждани на трети държави, както и в другите приемни инфраструктури на първа линия, с цел бързо идентифициране и насочване н</w:t>
      </w:r>
      <w:r>
        <w:rPr>
          <w:rFonts w:ascii="Times New Roman" w:hAnsi="Times New Roman" w:cs="Times New Roman"/>
          <w:noProof/>
          <w:sz w:val="24"/>
          <w:szCs w:val="24"/>
        </w:rPr>
        <w:t>а жертвите на трафик и предоставяне на необходимото равнище на грижи и закрила. С оглед на това също следва да се предостави подходящо обучение на служители на първа линия</w:t>
      </w:r>
      <w:r>
        <w:rPr>
          <w:rStyle w:val="FootnoteReference"/>
          <w:rFonts w:ascii="Times New Roman" w:hAnsi="Times New Roman" w:cs="Times New Roman"/>
          <w:noProof/>
          <w:sz w:val="24"/>
          <w:szCs w:val="24"/>
        </w:rPr>
        <w:footnoteReference w:id="35"/>
      </w:r>
      <w:r>
        <w:rPr>
          <w:rFonts w:ascii="Times New Roman" w:hAnsi="Times New Roman" w:cs="Times New Roman"/>
          <w:noProof/>
          <w:sz w:val="24"/>
          <w:szCs w:val="24"/>
        </w:rPr>
        <w:t>.</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b/>
          <w:noProof/>
          <w:sz w:val="24"/>
          <w:u w:val="single"/>
        </w:rPr>
        <w:t>Тенденции в използването на интернет и на новите технологии</w:t>
      </w:r>
    </w:p>
    <w:p w:rsidR="00B80DCD" w:rsidRDefault="005A5274">
      <w:pPr>
        <w:pStyle w:val="Body"/>
        <w:jc w:val="both"/>
        <w:rPr>
          <w:rFonts w:ascii="Times New Roman" w:eastAsia="Times New Roman" w:hAnsi="Times New Roman" w:cs="Times New Roman"/>
          <w:b/>
          <w:bCs/>
          <w:noProof/>
          <w:sz w:val="24"/>
          <w:szCs w:val="24"/>
        </w:rPr>
      </w:pPr>
      <w:r>
        <w:rPr>
          <w:rFonts w:ascii="Times New Roman" w:hAnsi="Times New Roman"/>
          <w:noProof/>
          <w:sz w:val="24"/>
        </w:rPr>
        <w:t>Интернет и новите технологии позволяват на организираните престъпни групи да достигнат до голяма група потенциални жертви, да прикриват дейността си, както и да извършват широк спектър от престъпни деяния в по-кратък срок и в по-голям мащаб от всякога. Дър</w:t>
      </w:r>
      <w:r>
        <w:rPr>
          <w:rFonts w:ascii="Times New Roman" w:hAnsi="Times New Roman"/>
          <w:noProof/>
          <w:sz w:val="24"/>
        </w:rPr>
        <w:t xml:space="preserve">жавите членки докладват, че </w:t>
      </w:r>
      <w:r>
        <w:rPr>
          <w:rFonts w:ascii="Times New Roman" w:hAnsi="Times New Roman"/>
          <w:b/>
          <w:noProof/>
          <w:sz w:val="24"/>
        </w:rPr>
        <w:t>много от жертвите на трафик, особено с цел сексуална и трудова експлоатация, са вербувани онлайн</w:t>
      </w:r>
      <w:r>
        <w:rPr>
          <w:rFonts w:ascii="Times New Roman" w:hAnsi="Times New Roman"/>
          <w:noProof/>
          <w:sz w:val="24"/>
        </w:rPr>
        <w:t>.</w:t>
      </w:r>
    </w:p>
    <w:p w:rsidR="00B80DCD" w:rsidRDefault="005A527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noProof/>
          <w:sz w:val="24"/>
          <w:szCs w:val="24"/>
        </w:rPr>
      </w:pPr>
      <w:r>
        <w:rPr>
          <w:rFonts w:ascii="Times New Roman" w:hAnsi="Times New Roman"/>
          <w:noProof/>
          <w:sz w:val="24"/>
        </w:rPr>
        <w:t xml:space="preserve">Необходимо е да се предприемат мерки за </w:t>
      </w:r>
      <w:r>
        <w:rPr>
          <w:rFonts w:ascii="Times New Roman" w:hAnsi="Times New Roman"/>
          <w:b/>
          <w:noProof/>
          <w:sz w:val="24"/>
        </w:rPr>
        <w:t>предотвратяване и справяне с използването на новите технологии</w:t>
      </w:r>
      <w:r>
        <w:rPr>
          <w:rFonts w:ascii="Times New Roman" w:hAnsi="Times New Roman"/>
          <w:noProof/>
          <w:sz w:val="24"/>
        </w:rPr>
        <w:t xml:space="preserve"> като средство за вербуване на жертви на трафика на хора.</w:t>
      </w:r>
    </w:p>
    <w:p w:rsidR="00B80DCD" w:rsidRDefault="005A5274">
      <w:pPr>
        <w:pStyle w:val="Heading"/>
        <w:numPr>
          <w:ilvl w:val="0"/>
          <w:numId w:val="10"/>
        </w:numPr>
        <w:spacing w:after="240"/>
        <w:rPr>
          <w:rFonts w:ascii="Times New Roman Bold" w:eastAsia="Times New Roman" w:hAnsi="Times New Roman Bold" w:cs="Times New Roman"/>
          <w:noProof/>
          <w:color w:val="000000"/>
          <w:spacing w:val="-4"/>
          <w:u w:color="000000"/>
        </w:rPr>
      </w:pPr>
      <w:r>
        <w:rPr>
          <w:rFonts w:ascii="Times New Roman Bold" w:hAnsi="Times New Roman Bold"/>
          <w:noProof/>
          <w:color w:val="000000"/>
          <w:spacing w:val="-4"/>
          <w:u w:color="000000"/>
        </w:rPr>
        <w:t>РЕЗУЛТАТИ ОТ ДЕЙСТВИЯТА ЗА БОРБА С ТРАФИКА НА ХОРА</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Повечето държави членки подчертаха </w:t>
      </w:r>
      <w:r>
        <w:rPr>
          <w:rFonts w:ascii="Times New Roman" w:hAnsi="Times New Roman"/>
          <w:b/>
          <w:noProof/>
          <w:sz w:val="24"/>
        </w:rPr>
        <w:t>трудностите при измерване на резултатите и на въздействието от действията за борба с трафика на хора</w:t>
      </w:r>
      <w:r>
        <w:rPr>
          <w:rFonts w:ascii="Times New Roman" w:hAnsi="Times New Roman"/>
          <w:noProof/>
          <w:sz w:val="24"/>
        </w:rPr>
        <w:t>. Само някои</w:t>
      </w:r>
      <w:r>
        <w:rPr>
          <w:rFonts w:ascii="Times New Roman" w:hAnsi="Times New Roman"/>
          <w:noProof/>
          <w:sz w:val="24"/>
        </w:rPr>
        <w:t xml:space="preserve"> от тях обаче са разработили съответните показатели или са направили оценка на своите национални стратегии и планове за действие.</w:t>
      </w:r>
    </w:p>
    <w:p w:rsidR="00B80DCD" w:rsidRDefault="005A527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noProof/>
          <w:sz w:val="24"/>
        </w:rPr>
        <w:t xml:space="preserve">За да се осигурят ефективни и ориентирани към бъдещето политики и действия, Комисията счита, че от голямо значение са </w:t>
      </w:r>
      <w:r>
        <w:rPr>
          <w:rFonts w:ascii="Times New Roman" w:hAnsi="Times New Roman"/>
          <w:b/>
          <w:noProof/>
          <w:sz w:val="24"/>
        </w:rPr>
        <w:t>системат</w:t>
      </w:r>
      <w:r>
        <w:rPr>
          <w:rFonts w:ascii="Times New Roman" w:hAnsi="Times New Roman"/>
          <w:b/>
          <w:noProof/>
          <w:sz w:val="24"/>
        </w:rPr>
        <w:t>ичните оценки на стратегиите и плановете за действие на държавите членки и измерването на резултатите и на въздействието от предприетите действия</w:t>
      </w:r>
      <w:r>
        <w:rPr>
          <w:rFonts w:ascii="Times New Roman" w:hAnsi="Times New Roman"/>
          <w:noProof/>
          <w:sz w:val="24"/>
        </w:rPr>
        <w:t>.</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В този раздел от доклада са изтъкнати основните действия, предприети от държавите членки, в три ключови темат</w:t>
      </w:r>
      <w:r>
        <w:rPr>
          <w:rFonts w:ascii="Times New Roman" w:hAnsi="Times New Roman"/>
          <w:noProof/>
          <w:sz w:val="24"/>
        </w:rPr>
        <w:t>ични области, определени в Директивата за борба с трафика на хора и в Стратегията на ЕС. Тези области са разгледани допълнително в работния документ на службите на Комисията, придружаващ настоящия доклад. Работният документ на службите на Комисията включва</w:t>
      </w:r>
      <w:r>
        <w:rPr>
          <w:rFonts w:ascii="Times New Roman" w:hAnsi="Times New Roman"/>
          <w:noProof/>
          <w:sz w:val="24"/>
        </w:rPr>
        <w:t xml:space="preserve"> също така примери от държавите членки, както и действия, предприети от Комисията в съответните области.</w:t>
      </w:r>
    </w:p>
    <w:p w:rsidR="00B80DCD" w:rsidRDefault="005A5274">
      <w:pPr>
        <w:pStyle w:val="Heading2"/>
        <w:numPr>
          <w:ilvl w:val="1"/>
          <w:numId w:val="5"/>
        </w:numPr>
        <w:spacing w:after="240"/>
        <w:rPr>
          <w:rFonts w:ascii="Times New Roman" w:eastAsia="Times New Roman" w:hAnsi="Times New Roman" w:cs="Times New Roman"/>
          <w:noProof/>
          <w:color w:val="000000"/>
          <w:u w:val="single" w:color="000000"/>
        </w:rPr>
      </w:pPr>
      <w:r>
        <w:rPr>
          <w:rFonts w:ascii="Times New Roman" w:hAnsi="Times New Roman"/>
          <w:noProof/>
          <w:color w:val="000000"/>
          <w:u w:val="single" w:color="000000"/>
        </w:rPr>
        <w:t>Наказателно право, разследвания и наказателни преследвания</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Увеличаването на броя на разследванията и на наказателните преследвания</w:t>
      </w:r>
      <w:r>
        <w:rPr>
          <w:rFonts w:ascii="Times New Roman" w:hAnsi="Times New Roman" w:cs="Times New Roman"/>
          <w:noProof/>
          <w:sz w:val="24"/>
          <w:szCs w:val="24"/>
        </w:rPr>
        <w:t xml:space="preserve"> по отношение на траф</w:t>
      </w:r>
      <w:r>
        <w:rPr>
          <w:rFonts w:ascii="Times New Roman" w:hAnsi="Times New Roman" w:cs="Times New Roman"/>
          <w:noProof/>
          <w:sz w:val="24"/>
          <w:szCs w:val="24"/>
        </w:rPr>
        <w:t>ика на хора е един от основните приоритети на правната и политическата рамка на ЕС.</w:t>
      </w:r>
    </w:p>
    <w:p w:rsidR="00B80DCD" w:rsidRDefault="005A5274">
      <w:pPr>
        <w:pStyle w:val="Body"/>
        <w:jc w:val="both"/>
        <w:rPr>
          <w:rFonts w:ascii="Times New Roman" w:hAnsi="Times New Roman" w:cs="Times New Roman"/>
          <w:noProof/>
          <w:sz w:val="24"/>
          <w:szCs w:val="24"/>
        </w:rPr>
      </w:pPr>
      <w:r>
        <w:rPr>
          <w:rFonts w:ascii="Times New Roman" w:hAnsi="Times New Roman" w:cs="Times New Roman"/>
          <w:b/>
          <w:noProof/>
          <w:sz w:val="24"/>
          <w:szCs w:val="24"/>
        </w:rPr>
        <w:t>Равнището на наказателните преследвания и на присъдите все още е тревожно ниско</w:t>
      </w:r>
      <w:r>
        <w:rPr>
          <w:rFonts w:ascii="Times New Roman" w:hAnsi="Times New Roman" w:cs="Times New Roman"/>
          <w:noProof/>
          <w:sz w:val="24"/>
          <w:szCs w:val="24"/>
        </w:rPr>
        <w:t>, особено в сравнение с броя на идентифицираните жертви. Въпреки че при разследванията в тази</w:t>
      </w:r>
      <w:r>
        <w:rPr>
          <w:rFonts w:ascii="Times New Roman" w:hAnsi="Times New Roman" w:cs="Times New Roman"/>
          <w:noProof/>
          <w:sz w:val="24"/>
          <w:szCs w:val="24"/>
        </w:rPr>
        <w:t xml:space="preserve"> област са необходими значителни по обем доказателства с цел осъждане, събраната за настоящия доклад информация показва, че държавите членки не използват достатъчно ефективни средства за разследване. Финансовите разследвания се провеждат предимно за всеки </w:t>
      </w:r>
      <w:r>
        <w:rPr>
          <w:rFonts w:ascii="Times New Roman" w:hAnsi="Times New Roman" w:cs="Times New Roman"/>
          <w:noProof/>
          <w:sz w:val="24"/>
          <w:szCs w:val="24"/>
        </w:rPr>
        <w:t>отделен случай, а не по систематичен начин, и често са ограничени до разследвания с цел възстановяване на активи</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Това противоречи на стандартите на специалната група за финансови действия (FATF)</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xml:space="preserve"> и на препоръките на Съвета</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 xml:space="preserve">. </w:t>
      </w:r>
    </w:p>
    <w:p w:rsidR="00B80DCD" w:rsidRDefault="005A5274">
      <w:pPr>
        <w:pStyle w:val="Body"/>
        <w:jc w:val="both"/>
        <w:rPr>
          <w:rFonts w:ascii="Times New Roman" w:hAnsi="Times New Roman" w:cs="Times New Roman"/>
          <w:noProof/>
          <w:sz w:val="24"/>
          <w:szCs w:val="24"/>
        </w:rPr>
      </w:pPr>
      <w:r>
        <w:rPr>
          <w:rFonts w:ascii="Times New Roman" w:hAnsi="Times New Roman" w:cs="Times New Roman"/>
          <w:noProof/>
          <w:sz w:val="24"/>
          <w:szCs w:val="24"/>
        </w:rPr>
        <w:t xml:space="preserve">Докладвано бе също така, че </w:t>
      </w:r>
      <w:r>
        <w:rPr>
          <w:rFonts w:ascii="Times New Roman" w:hAnsi="Times New Roman" w:cs="Times New Roman"/>
          <w:noProof/>
          <w:sz w:val="24"/>
          <w:szCs w:val="24"/>
        </w:rPr>
        <w:t xml:space="preserve">преди и в хода на наказателните производства жертвите са подложени на прекомерна тежест. Някои данни сочат, че </w:t>
      </w:r>
      <w:r>
        <w:rPr>
          <w:rFonts w:ascii="Times New Roman" w:hAnsi="Times New Roman" w:cs="Times New Roman"/>
          <w:b/>
          <w:noProof/>
          <w:sz w:val="24"/>
          <w:szCs w:val="24"/>
        </w:rPr>
        <w:t xml:space="preserve">на жертвите често се отказва помощ в полицейските участъци или че те са идентифицирани неправилно като извършители и впоследствие са разследвани </w:t>
      </w:r>
      <w:r>
        <w:rPr>
          <w:rFonts w:ascii="Times New Roman" w:hAnsi="Times New Roman" w:cs="Times New Roman"/>
          <w:b/>
          <w:noProof/>
          <w:sz w:val="24"/>
          <w:szCs w:val="24"/>
        </w:rPr>
        <w:t>и осъждани</w:t>
      </w:r>
      <w:r>
        <w:rPr>
          <w:rFonts w:ascii="Times New Roman" w:hAnsi="Times New Roman" w:cs="Times New Roman"/>
          <w:noProof/>
          <w:sz w:val="24"/>
          <w:szCs w:val="24"/>
        </w:rPr>
        <w:t>.</w:t>
      </w:r>
    </w:p>
    <w:p w:rsidR="00B80DCD" w:rsidRDefault="005A5274">
      <w:pPr>
        <w:pStyle w:val="Body"/>
        <w:jc w:val="both"/>
        <w:rPr>
          <w:rFonts w:ascii="Times New Roman" w:hAnsi="Times New Roman"/>
          <w:noProof/>
          <w:sz w:val="24"/>
          <w:szCs w:val="24"/>
        </w:rPr>
      </w:pPr>
      <w:r>
        <w:rPr>
          <w:rFonts w:ascii="Times New Roman" w:hAnsi="Times New Roman"/>
          <w:noProof/>
          <w:sz w:val="24"/>
        </w:rPr>
        <w:t xml:space="preserve">Получената информация показва също така, че са положени усилия за организиране на </w:t>
      </w:r>
      <w:r>
        <w:rPr>
          <w:rFonts w:ascii="Times New Roman" w:hAnsi="Times New Roman"/>
          <w:b/>
          <w:noProof/>
          <w:sz w:val="24"/>
        </w:rPr>
        <w:t>съвместни разследвания и за създаване на съвместни екипи за разследване и че в това отношение е натрупан положителен опит</w:t>
      </w:r>
      <w:r>
        <w:rPr>
          <w:rFonts w:ascii="Times New Roman" w:hAnsi="Times New Roman"/>
          <w:noProof/>
          <w:sz w:val="24"/>
        </w:rPr>
        <w:t xml:space="preserve">. Налице е също така </w:t>
      </w:r>
      <w:r>
        <w:rPr>
          <w:rFonts w:ascii="Times New Roman" w:hAnsi="Times New Roman"/>
          <w:b/>
          <w:noProof/>
          <w:sz w:val="24"/>
        </w:rPr>
        <w:t>подобряване на транс</w:t>
      </w:r>
      <w:r>
        <w:rPr>
          <w:rFonts w:ascii="Times New Roman" w:hAnsi="Times New Roman"/>
          <w:b/>
          <w:noProof/>
          <w:sz w:val="24"/>
        </w:rPr>
        <w:t>европейското сътрудничеството</w:t>
      </w:r>
      <w:r>
        <w:rPr>
          <w:rFonts w:ascii="Times New Roman" w:hAnsi="Times New Roman"/>
          <w:noProof/>
          <w:sz w:val="24"/>
        </w:rPr>
        <w:t xml:space="preserve"> в тази област. </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Информацията свидетелства също така за практическите проблеми при </w:t>
      </w:r>
      <w:r>
        <w:rPr>
          <w:rFonts w:ascii="Times New Roman" w:hAnsi="Times New Roman"/>
          <w:b/>
          <w:noProof/>
          <w:sz w:val="24"/>
        </w:rPr>
        <w:t>изземвания и конфискации</w:t>
      </w:r>
      <w:r>
        <w:rPr>
          <w:rFonts w:ascii="Times New Roman" w:hAnsi="Times New Roman"/>
          <w:noProof/>
          <w:sz w:val="24"/>
        </w:rPr>
        <w:t xml:space="preserve"> във връзка със случаи, свързани с трафика на хора, включително </w:t>
      </w:r>
      <w:r>
        <w:rPr>
          <w:rFonts w:ascii="Times New Roman" w:hAnsi="Times New Roman"/>
          <w:b/>
          <w:noProof/>
          <w:sz w:val="24"/>
        </w:rPr>
        <w:t>проблеми с откриването на облаги от престъпна дейност</w:t>
      </w:r>
      <w:r>
        <w:rPr>
          <w:rFonts w:ascii="Times New Roman" w:hAnsi="Times New Roman"/>
          <w:noProof/>
          <w:sz w:val="24"/>
        </w:rPr>
        <w:t xml:space="preserve"> и </w:t>
      </w:r>
      <w:r>
        <w:rPr>
          <w:rFonts w:ascii="Times New Roman" w:hAnsi="Times New Roman"/>
          <w:b/>
          <w:noProof/>
          <w:sz w:val="24"/>
        </w:rPr>
        <w:t>неефикасно международно сътрудничество</w:t>
      </w:r>
      <w:r>
        <w:rPr>
          <w:rFonts w:ascii="Times New Roman" w:hAnsi="Times New Roman"/>
          <w:noProof/>
          <w:sz w:val="24"/>
        </w:rPr>
        <w:t xml:space="preserve">, когато средствата са изпратени към държава извън ЕС. </w:t>
      </w:r>
      <w:r>
        <w:rPr>
          <w:rFonts w:ascii="Times New Roman" w:hAnsi="Times New Roman"/>
          <w:b/>
          <w:noProof/>
          <w:sz w:val="24"/>
        </w:rPr>
        <w:t>Финансовите разследвания</w:t>
      </w:r>
      <w:r>
        <w:rPr>
          <w:rFonts w:ascii="Times New Roman" w:hAnsi="Times New Roman"/>
          <w:noProof/>
          <w:sz w:val="24"/>
        </w:rPr>
        <w:t xml:space="preserve"> са довели до повече изземвания и следователно до повече конфискации.</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Често трафикантите </w:t>
      </w:r>
      <w:r>
        <w:rPr>
          <w:rFonts w:ascii="Times New Roman" w:hAnsi="Times New Roman"/>
          <w:b/>
          <w:noProof/>
          <w:sz w:val="24"/>
        </w:rPr>
        <w:t>злоупотребяват със</w:t>
      </w:r>
      <w:r>
        <w:rPr>
          <w:rFonts w:ascii="Times New Roman" w:hAnsi="Times New Roman"/>
          <w:noProof/>
          <w:sz w:val="24"/>
        </w:rPr>
        <w:t xml:space="preserve"> </w:t>
      </w:r>
      <w:r>
        <w:rPr>
          <w:rFonts w:ascii="Times New Roman" w:hAnsi="Times New Roman"/>
          <w:b/>
          <w:noProof/>
          <w:sz w:val="24"/>
        </w:rPr>
        <w:t xml:space="preserve">законни стопански структури за </w:t>
      </w:r>
      <w:r>
        <w:rPr>
          <w:rFonts w:ascii="Times New Roman" w:hAnsi="Times New Roman"/>
          <w:b/>
          <w:noProof/>
          <w:sz w:val="24"/>
        </w:rPr>
        <w:t>прикриване на незаконните си дейности</w:t>
      </w:r>
      <w:r>
        <w:rPr>
          <w:rFonts w:ascii="Times New Roman" w:hAnsi="Times New Roman"/>
          <w:noProof/>
          <w:sz w:val="24"/>
        </w:rPr>
        <w:t>. Директивата за борба с трафика на хора предвижда правни задължения на стопанските субекти, а именно че юридическите лица могат да бъдат подведени под отговорност за престъпления, свързани с трафика на хора, както и да</w:t>
      </w:r>
      <w:r>
        <w:rPr>
          <w:rFonts w:ascii="Times New Roman" w:hAnsi="Times New Roman"/>
          <w:noProof/>
          <w:sz w:val="24"/>
        </w:rPr>
        <w:t xml:space="preserve"> бъдат подложени на санкции (член 5). Въпреки че тяхната стопанска дейност може както да спомага за трафика на хора, така и да допринася за неговото премахване, повечето дружества не са наясно с тези взаимодействия и </w:t>
      </w:r>
      <w:r>
        <w:rPr>
          <w:rFonts w:ascii="Times New Roman" w:hAnsi="Times New Roman"/>
          <w:b/>
          <w:noProof/>
          <w:sz w:val="24"/>
        </w:rPr>
        <w:t>само няколко държави членки са преследв</w:t>
      </w:r>
      <w:r>
        <w:rPr>
          <w:rFonts w:ascii="Times New Roman" w:hAnsi="Times New Roman"/>
          <w:b/>
          <w:noProof/>
          <w:sz w:val="24"/>
        </w:rPr>
        <w:t>али юридически лица съгласно изискването в член 5</w:t>
      </w:r>
      <w:r>
        <w:rPr>
          <w:rFonts w:ascii="Times New Roman" w:hAnsi="Times New Roman"/>
          <w:noProof/>
          <w:sz w:val="24"/>
        </w:rPr>
        <w:t>.</w:t>
      </w:r>
    </w:p>
    <w:p w:rsidR="00B80DCD" w:rsidRDefault="005A5274">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eastAsia="Times New Roman" w:hAnsi="Times New Roman" w:cs="Times New Roman"/>
          <w:noProof/>
          <w:sz w:val="24"/>
          <w:szCs w:val="24"/>
        </w:rPr>
      </w:pPr>
      <w:r>
        <w:rPr>
          <w:rFonts w:ascii="Times New Roman" w:hAnsi="Times New Roman"/>
          <w:noProof/>
          <w:sz w:val="24"/>
          <w:bdr w:val="none" w:sz="0" w:space="0" w:color="auto"/>
        </w:rPr>
        <w:t xml:space="preserve">Информацията, събрана от Комисията, ясно показва, че е важно за държавите членки да активизират усилията за </w:t>
      </w:r>
      <w:r>
        <w:rPr>
          <w:rFonts w:ascii="Times New Roman" w:hAnsi="Times New Roman"/>
          <w:b/>
          <w:noProof/>
          <w:sz w:val="24"/>
          <w:bdr w:val="none" w:sz="0" w:space="0" w:color="auto"/>
        </w:rPr>
        <w:t>увеличаване на броя на разследванията и на наказателните преследвания</w:t>
      </w:r>
      <w:r>
        <w:rPr>
          <w:rFonts w:ascii="Times New Roman" w:hAnsi="Times New Roman"/>
          <w:noProof/>
          <w:sz w:val="24"/>
          <w:bdr w:val="none" w:sz="0" w:space="0" w:color="auto"/>
        </w:rPr>
        <w:t>, както и да се</w:t>
      </w:r>
      <w:r>
        <w:rPr>
          <w:rFonts w:ascii="Times New Roman" w:hAnsi="Times New Roman"/>
          <w:b/>
          <w:noProof/>
          <w:sz w:val="24"/>
          <w:bdr w:val="none" w:sz="0" w:space="0" w:color="auto"/>
        </w:rPr>
        <w:t xml:space="preserve"> намали тежес</w:t>
      </w:r>
      <w:r>
        <w:rPr>
          <w:rFonts w:ascii="Times New Roman" w:hAnsi="Times New Roman"/>
          <w:b/>
          <w:noProof/>
          <w:sz w:val="24"/>
          <w:bdr w:val="none" w:sz="0" w:space="0" w:color="auto"/>
        </w:rPr>
        <w:t>тта върху жертвите и техните свидетелски показания в хода на процедури с цел събиране на доказателства</w:t>
      </w:r>
      <w:r>
        <w:rPr>
          <w:rFonts w:ascii="Times New Roman" w:hAnsi="Times New Roman"/>
          <w:noProof/>
          <w:sz w:val="24"/>
          <w:bdr w:val="none" w:sz="0" w:space="0" w:color="auto"/>
        </w:rPr>
        <w:t>. Това може да бъде постигнато чрез</w:t>
      </w:r>
      <w:r>
        <w:rPr>
          <w:rFonts w:ascii="Times New Roman" w:hAnsi="Times New Roman"/>
          <w:b/>
          <w:noProof/>
          <w:sz w:val="24"/>
          <w:bdr w:val="none" w:sz="0" w:space="0" w:color="auto"/>
        </w:rPr>
        <w:t xml:space="preserve"> периодични, специално разработени обучения за следователите, прокурорите и съдиите и чрез систематично използване на финансовите разследвания</w:t>
      </w:r>
      <w:r>
        <w:rPr>
          <w:rFonts w:ascii="Times New Roman" w:hAnsi="Times New Roman"/>
          <w:noProof/>
          <w:sz w:val="24"/>
          <w:bdr w:val="none" w:sz="0" w:space="0" w:color="auto"/>
        </w:rPr>
        <w:t xml:space="preserve"> (съгласно препоръките на специалната група за финансови действия (FATF), както и чрез други ефективни способи за </w:t>
      </w:r>
      <w:r>
        <w:rPr>
          <w:rFonts w:ascii="Times New Roman" w:hAnsi="Times New Roman"/>
          <w:noProof/>
          <w:sz w:val="24"/>
          <w:bdr w:val="none" w:sz="0" w:space="0" w:color="auto"/>
        </w:rPr>
        <w:t xml:space="preserve">разследване на базата на разузнавателни данни — биха могли да предоставят различни доказателства, които да бъдат използвани в допълнение към свидетелските показания на жертвите. Държавите членки следва също така да предвидят достатъчно финансови и човешки </w:t>
      </w:r>
      <w:r>
        <w:rPr>
          <w:rFonts w:ascii="Times New Roman" w:hAnsi="Times New Roman"/>
          <w:noProof/>
          <w:sz w:val="24"/>
          <w:bdr w:val="none" w:sz="0" w:space="0" w:color="auto"/>
        </w:rPr>
        <w:t xml:space="preserve">ресурси за ефикасна борба с тази форма на престъпност. </w:t>
      </w:r>
    </w:p>
    <w:p w:rsidR="00B80DCD" w:rsidRDefault="005A5274">
      <w:pPr>
        <w:pStyle w:val="Heading2"/>
        <w:numPr>
          <w:ilvl w:val="1"/>
          <w:numId w:val="5"/>
        </w:numPr>
        <w:spacing w:after="240"/>
        <w:rPr>
          <w:rFonts w:ascii="Times New Roman" w:eastAsia="Times New Roman" w:hAnsi="Times New Roman" w:cs="Times New Roman"/>
          <w:noProof/>
          <w:color w:val="000000"/>
          <w:u w:val="single" w:color="000000"/>
        </w:rPr>
      </w:pPr>
      <w:r>
        <w:rPr>
          <w:rFonts w:ascii="Times New Roman" w:hAnsi="Times New Roman"/>
          <w:noProof/>
          <w:color w:val="000000"/>
          <w:u w:val="single" w:color="000000"/>
        </w:rPr>
        <w:t>Идентифициране, защита и оказване на помощ</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Законодателството и политиката на ЕС за борба с трафика се основават на подход, насочен към жертвите. Това предполага създаването на подходящи механизми за </w:t>
      </w:r>
      <w:r>
        <w:rPr>
          <w:rFonts w:ascii="Times New Roman" w:hAnsi="Times New Roman"/>
          <w:noProof/>
          <w:sz w:val="24"/>
        </w:rPr>
        <w:t>ранното идентифициране на жертвите и предоставянето на помощ и подкрепа в сътрудничество със съответните организации за предоставяне на помощ.</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Предоставянето на безусловен достъп до помощ, подкрепа и защита на жертвите</w:t>
      </w:r>
      <w:r>
        <w:rPr>
          <w:rFonts w:ascii="Times New Roman" w:hAnsi="Times New Roman" w:cs="Times New Roman"/>
          <w:noProof/>
          <w:sz w:val="24"/>
          <w:szCs w:val="24"/>
        </w:rPr>
        <w:t xml:space="preserve"> продължава да бъде предизвикателство </w:t>
      </w:r>
      <w:r>
        <w:rPr>
          <w:rFonts w:ascii="Times New Roman" w:hAnsi="Times New Roman" w:cs="Times New Roman"/>
          <w:noProof/>
          <w:sz w:val="24"/>
          <w:szCs w:val="24"/>
        </w:rPr>
        <w:t xml:space="preserve">за повечето държави членки. Трафикът на хора продължава да е „невидимо престъпление“, тъй като </w:t>
      </w:r>
      <w:r>
        <w:rPr>
          <w:rFonts w:ascii="Times New Roman" w:hAnsi="Times New Roman" w:cs="Times New Roman"/>
          <w:b/>
          <w:noProof/>
          <w:sz w:val="24"/>
          <w:szCs w:val="24"/>
        </w:rPr>
        <w:t>броят на идентифицираните жертви продължава да е нисък</w:t>
      </w:r>
      <w:r>
        <w:rPr>
          <w:rFonts w:ascii="Times New Roman" w:hAnsi="Times New Roman" w:cs="Times New Roman"/>
          <w:noProof/>
          <w:sz w:val="24"/>
          <w:szCs w:val="24"/>
        </w:rPr>
        <w:t xml:space="preserve">. В действителност </w:t>
      </w:r>
      <w:r>
        <w:rPr>
          <w:rFonts w:ascii="Times New Roman" w:hAnsi="Times New Roman" w:cs="Times New Roman"/>
          <w:b/>
          <w:noProof/>
          <w:sz w:val="24"/>
          <w:szCs w:val="24"/>
        </w:rPr>
        <w:t>много от жертвите на трафик не са идентифицирани, поради което не могат да упражняват пр</w:t>
      </w:r>
      <w:r>
        <w:rPr>
          <w:rFonts w:ascii="Times New Roman" w:hAnsi="Times New Roman" w:cs="Times New Roman"/>
          <w:b/>
          <w:noProof/>
          <w:sz w:val="24"/>
          <w:szCs w:val="24"/>
        </w:rPr>
        <w:t>авата си.</w:t>
      </w:r>
      <w:r>
        <w:rPr>
          <w:rFonts w:ascii="Times New Roman" w:hAnsi="Times New Roman" w:cs="Times New Roman"/>
          <w:noProof/>
          <w:sz w:val="24"/>
          <w:szCs w:val="24"/>
        </w:rPr>
        <w:t xml:space="preserve"> Бяха изразени опасения във връзка с </w:t>
      </w:r>
      <w:r>
        <w:rPr>
          <w:rFonts w:ascii="Times New Roman" w:hAnsi="Times New Roman" w:cs="Times New Roman"/>
          <w:b/>
          <w:noProof/>
          <w:sz w:val="24"/>
          <w:szCs w:val="24"/>
        </w:rPr>
        <w:t>отношението към жертвите по време на наказателни производства</w:t>
      </w:r>
      <w:r>
        <w:rPr>
          <w:rFonts w:ascii="Times New Roman" w:hAnsi="Times New Roman" w:cs="Times New Roman"/>
          <w:noProof/>
          <w:sz w:val="24"/>
          <w:szCs w:val="24"/>
        </w:rPr>
        <w:t>, когато те могат да бъдат обект на сплашване и на вторична виктимизация.</w:t>
      </w:r>
    </w:p>
    <w:p w:rsidR="00B80DCD" w:rsidRDefault="005A5274">
      <w:pPr>
        <w:pStyle w:val="Body"/>
        <w:jc w:val="both"/>
        <w:rPr>
          <w:rFonts w:ascii="Times New Roman" w:hAnsi="Times New Roman" w:cs="Times New Roman"/>
          <w:noProof/>
          <w:sz w:val="24"/>
          <w:szCs w:val="24"/>
        </w:rPr>
      </w:pPr>
      <w:r>
        <w:rPr>
          <w:rFonts w:ascii="Times New Roman" w:hAnsi="Times New Roman" w:cs="Times New Roman"/>
          <w:b/>
          <w:noProof/>
          <w:sz w:val="24"/>
          <w:szCs w:val="24"/>
        </w:rPr>
        <w:t>Помощта и подкрепата в зависимост от пола и възрастта все още са неподходящ</w:t>
      </w:r>
      <w:r>
        <w:rPr>
          <w:rFonts w:ascii="Times New Roman" w:hAnsi="Times New Roman" w:cs="Times New Roman"/>
          <w:b/>
          <w:noProof/>
          <w:sz w:val="24"/>
          <w:szCs w:val="24"/>
        </w:rPr>
        <w:t>и</w:t>
      </w:r>
      <w:r>
        <w:rPr>
          <w:rFonts w:ascii="Times New Roman" w:hAnsi="Times New Roman" w:cs="Times New Roman"/>
          <w:noProof/>
          <w:sz w:val="24"/>
          <w:szCs w:val="24"/>
        </w:rPr>
        <w:t xml:space="preserve"> и няма достатъчно услуги за мъжете — жертви на трафик. Убежищата и местата за настаняване невинаги са подготвени да отговорят на нуждите на жертвите и много деца и възрастни изчезват от местата, които не осигуряват необходимите грижи.</w:t>
      </w:r>
    </w:p>
    <w:p w:rsidR="00B80DCD" w:rsidRDefault="005A5274">
      <w:pPr>
        <w:pStyle w:val="Body"/>
        <w:jc w:val="both"/>
        <w:rPr>
          <w:rFonts w:ascii="Times New Roman" w:hAnsi="Times New Roman" w:cs="Times New Roman"/>
          <w:noProof/>
          <w:sz w:val="24"/>
          <w:szCs w:val="24"/>
        </w:rPr>
      </w:pPr>
      <w:r>
        <w:rPr>
          <w:rFonts w:ascii="Times New Roman" w:hAnsi="Times New Roman"/>
          <w:noProof/>
          <w:sz w:val="24"/>
        </w:rPr>
        <w:t xml:space="preserve">Макар че държавите </w:t>
      </w:r>
      <w:r>
        <w:rPr>
          <w:rFonts w:ascii="Times New Roman" w:hAnsi="Times New Roman"/>
          <w:noProof/>
          <w:sz w:val="24"/>
        </w:rPr>
        <w:t>членки докладват за мерки, специално насочени към децата, процентът на случаите, при които са използвани механизми за насочване при децата, продължава да е нисък и процедурите за намиране на трайни решения са неподходящи. Все още съществуват проблеми с опр</w:t>
      </w:r>
      <w:r>
        <w:rPr>
          <w:rFonts w:ascii="Times New Roman" w:hAnsi="Times New Roman"/>
          <w:noProof/>
          <w:sz w:val="24"/>
        </w:rPr>
        <w:t>еделянето на настойници на децата — жертви, и различните практики в целия ЕС внасят допълнителна сложност, особено при трансгранични случаи.</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С предвидената в Стратегията на ЕС и потвърдена в заключенията на Съвета</w:t>
      </w:r>
      <w:r>
        <w:rPr>
          <w:rStyle w:val="FootnoteReference"/>
          <w:rFonts w:ascii="Times New Roman" w:hAnsi="Times New Roman"/>
          <w:noProof/>
          <w:sz w:val="24"/>
        </w:rPr>
        <w:footnoteReference w:id="39"/>
      </w:r>
      <w:r>
        <w:rPr>
          <w:rFonts w:ascii="Times New Roman" w:hAnsi="Times New Roman"/>
          <w:noProof/>
          <w:sz w:val="24"/>
        </w:rPr>
        <w:t xml:space="preserve"> специална мярка държавите членки се прика</w:t>
      </w:r>
      <w:r>
        <w:rPr>
          <w:rFonts w:ascii="Times New Roman" w:hAnsi="Times New Roman"/>
          <w:noProof/>
          <w:sz w:val="24"/>
        </w:rPr>
        <w:t xml:space="preserve">нват да разработят или актуализират </w:t>
      </w:r>
      <w:r>
        <w:rPr>
          <w:rFonts w:ascii="Times New Roman" w:hAnsi="Times New Roman"/>
          <w:b/>
          <w:noProof/>
          <w:sz w:val="24"/>
        </w:rPr>
        <w:t>националните механизми за насочване с цел координиране на участниците в определянето, оказването на помощ, защитата и реинтеграцията</w:t>
      </w:r>
      <w:r>
        <w:rPr>
          <w:rFonts w:ascii="Times New Roman" w:hAnsi="Times New Roman"/>
          <w:noProof/>
          <w:sz w:val="24"/>
        </w:rPr>
        <w:t xml:space="preserve">. Според информацията, с която разполага Комисията, </w:t>
      </w:r>
      <w:r>
        <w:rPr>
          <w:rFonts w:ascii="Times New Roman" w:hAnsi="Times New Roman"/>
          <w:b/>
          <w:noProof/>
          <w:sz w:val="24"/>
        </w:rPr>
        <w:t>повече от половината държави членки</w:t>
      </w:r>
      <w:r>
        <w:rPr>
          <w:rStyle w:val="FootnoteReference"/>
          <w:rFonts w:ascii="Times New Roman" w:hAnsi="Times New Roman"/>
          <w:noProof/>
          <w:sz w:val="24"/>
        </w:rPr>
        <w:footnoteReference w:id="40"/>
      </w:r>
      <w:r>
        <w:rPr>
          <w:rFonts w:ascii="Times New Roman" w:hAnsi="Times New Roman"/>
          <w:b/>
          <w:noProof/>
          <w:sz w:val="24"/>
        </w:rPr>
        <w:t xml:space="preserve"> официално са създали своите национални механизми за насочване</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Макар че в Стратегията на ЕС се призовава за подход, основан на една интегрирана система за закрила на детето, </w:t>
      </w:r>
      <w:r>
        <w:rPr>
          <w:rFonts w:ascii="Times New Roman" w:hAnsi="Times New Roman"/>
          <w:b/>
          <w:noProof/>
          <w:sz w:val="24"/>
        </w:rPr>
        <w:t xml:space="preserve">участието на службите за закрила на децата в механизмите за насочване продължава </w:t>
      </w:r>
      <w:r>
        <w:rPr>
          <w:rFonts w:ascii="Times New Roman" w:hAnsi="Times New Roman"/>
          <w:b/>
          <w:noProof/>
          <w:sz w:val="24"/>
        </w:rPr>
        <w:t>да е ограничено</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Държавите членки докладват, че след въвеждането на механизмите предоставянето на услуги на жертвите е нараснало по отношение на качеството. Въпреки това измерването на общото им въздействие продължава да е трудно.</w:t>
      </w:r>
    </w:p>
    <w:p w:rsidR="00B80DCD" w:rsidRDefault="005A5274">
      <w:pPr>
        <w:pStyle w:val="Body"/>
        <w:jc w:val="both"/>
        <w:rPr>
          <w:rFonts w:ascii="Times New Roman" w:hAnsi="Times New Roman" w:cs="Times New Roman"/>
          <w:noProof/>
          <w:sz w:val="24"/>
          <w:szCs w:val="24"/>
        </w:rPr>
      </w:pPr>
      <w:r>
        <w:rPr>
          <w:rFonts w:ascii="Times New Roman" w:hAnsi="Times New Roman" w:cs="Times New Roman"/>
          <w:b/>
          <w:noProof/>
          <w:sz w:val="24"/>
          <w:szCs w:val="24"/>
        </w:rPr>
        <w:t xml:space="preserve">Транснационалното </w:t>
      </w:r>
      <w:r>
        <w:rPr>
          <w:rFonts w:ascii="Times New Roman" w:hAnsi="Times New Roman" w:cs="Times New Roman"/>
          <w:b/>
          <w:noProof/>
          <w:sz w:val="24"/>
          <w:szCs w:val="24"/>
        </w:rPr>
        <w:t>сътрудничество</w:t>
      </w:r>
      <w:r>
        <w:rPr>
          <w:rFonts w:ascii="Times New Roman" w:hAnsi="Times New Roman" w:cs="Times New Roman"/>
          <w:noProof/>
          <w:sz w:val="24"/>
          <w:szCs w:val="24"/>
        </w:rPr>
        <w:t xml:space="preserve">, включително </w:t>
      </w:r>
      <w:r>
        <w:rPr>
          <w:rFonts w:ascii="Times New Roman" w:hAnsi="Times New Roman" w:cs="Times New Roman"/>
          <w:b/>
          <w:noProof/>
          <w:sz w:val="24"/>
          <w:szCs w:val="24"/>
        </w:rPr>
        <w:t>транснационалните механизми за насочване</w:t>
      </w:r>
      <w:r>
        <w:rPr>
          <w:rFonts w:ascii="Times New Roman" w:hAnsi="Times New Roman" w:cs="Times New Roman"/>
          <w:noProof/>
          <w:sz w:val="24"/>
          <w:szCs w:val="24"/>
        </w:rPr>
        <w:t xml:space="preserve">, е също така от съществено значение за жертвите, които са обект на трафик извън тяхната държава на произход. В това отношение </w:t>
      </w:r>
      <w:r>
        <w:rPr>
          <w:rFonts w:ascii="Times New Roman" w:hAnsi="Times New Roman" w:cs="Times New Roman"/>
          <w:b/>
          <w:noProof/>
          <w:sz w:val="24"/>
          <w:szCs w:val="24"/>
        </w:rPr>
        <w:t>Шенгенската информационна система</w:t>
      </w:r>
      <w:r>
        <w:rPr>
          <w:rFonts w:ascii="Times New Roman" w:hAnsi="Times New Roman" w:cs="Times New Roman"/>
          <w:noProof/>
          <w:sz w:val="24"/>
          <w:szCs w:val="24"/>
        </w:rPr>
        <w:t xml:space="preserve"> играе важна роля в трансгра</w:t>
      </w:r>
      <w:r>
        <w:rPr>
          <w:rFonts w:ascii="Times New Roman" w:hAnsi="Times New Roman" w:cs="Times New Roman"/>
          <w:noProof/>
          <w:sz w:val="24"/>
          <w:szCs w:val="24"/>
        </w:rPr>
        <w:t xml:space="preserve">ничния обмен на информация относно жертвите на трафика на хора и на техните експлоататори, тъй като това е основната база данни за регистриране на данни за изчезнали лица в цяла Европа. </w:t>
      </w:r>
      <w:r>
        <w:rPr>
          <w:rFonts w:ascii="Times New Roman" w:hAnsi="Times New Roman" w:cs="Times New Roman"/>
          <w:b/>
          <w:noProof/>
          <w:sz w:val="24"/>
          <w:szCs w:val="24"/>
        </w:rPr>
        <w:t>Бъдещата система за влизане/излизане</w:t>
      </w:r>
      <w:r>
        <w:rPr>
          <w:rFonts w:ascii="Times New Roman" w:hAnsi="Times New Roman" w:cs="Times New Roman"/>
          <w:noProof/>
          <w:sz w:val="24"/>
          <w:szCs w:val="24"/>
        </w:rPr>
        <w:t xml:space="preserve"> ще способства за откриването и ид</w:t>
      </w:r>
      <w:r>
        <w:rPr>
          <w:rFonts w:ascii="Times New Roman" w:hAnsi="Times New Roman" w:cs="Times New Roman"/>
          <w:noProof/>
          <w:sz w:val="24"/>
          <w:szCs w:val="24"/>
        </w:rPr>
        <w:t xml:space="preserve">ентифицирането на граждани на трети държави, които са жертви на трафик, чрез съхраняване на данни за влизането и излизането на лица, освободени от изискването за виза, както и на лица, притежатели на виза. </w:t>
      </w:r>
    </w:p>
    <w:p w:rsidR="00B80DCD" w:rsidRDefault="005A5274">
      <w:pPr>
        <w:pStyle w:val="Body"/>
        <w:jc w:val="both"/>
        <w:rPr>
          <w:rFonts w:ascii="Times New Roman" w:hAnsi="Times New Roman" w:cs="Times New Roman"/>
          <w:noProof/>
          <w:sz w:val="24"/>
          <w:szCs w:val="24"/>
        </w:rPr>
      </w:pPr>
      <w:r>
        <w:rPr>
          <w:rFonts w:ascii="Times New Roman" w:hAnsi="Times New Roman" w:cs="Times New Roman"/>
          <w:b/>
          <w:noProof/>
          <w:sz w:val="24"/>
          <w:szCs w:val="24"/>
        </w:rPr>
        <w:t>Всички жертви трябва да бъдат третирани еднакво и</w:t>
      </w:r>
      <w:r>
        <w:rPr>
          <w:rFonts w:ascii="Times New Roman" w:hAnsi="Times New Roman" w:cs="Times New Roman"/>
          <w:b/>
          <w:noProof/>
          <w:sz w:val="24"/>
          <w:szCs w:val="24"/>
        </w:rPr>
        <w:t xml:space="preserve"> държавите членки следва да положат едни и същи усилия за идентифициране, защита и оказване на помощ на жертвите на всички форми на експлоатация.</w:t>
      </w:r>
      <w:r>
        <w:rPr>
          <w:rFonts w:ascii="Times New Roman" w:hAnsi="Times New Roman" w:cs="Times New Roman"/>
          <w:noProof/>
          <w:sz w:val="24"/>
          <w:szCs w:val="24"/>
        </w:rPr>
        <w:t xml:space="preserve"> Несъмнено жертвите трябва да бъдат в основата на политиката за борба с трафика на хора. Никоя форма на експлоа</w:t>
      </w:r>
      <w:r>
        <w:rPr>
          <w:rFonts w:ascii="Times New Roman" w:hAnsi="Times New Roman" w:cs="Times New Roman"/>
          <w:noProof/>
          <w:sz w:val="24"/>
          <w:szCs w:val="24"/>
        </w:rPr>
        <w:t>тация не следва да бъде пренебрегвана и на нуждите на жертвите следва да се отговори след извършване на индивидуална оценка.</w:t>
      </w:r>
    </w:p>
    <w:p w:rsidR="00B80DCD" w:rsidRDefault="005A5274">
      <w:pPr>
        <w:pStyle w:val="Body"/>
        <w:pBdr>
          <w:top w:val="single" w:sz="4" w:space="1" w:color="auto"/>
          <w:left w:val="single" w:sz="4" w:space="1" w:color="auto"/>
          <w:bottom w:val="single" w:sz="4" w:space="1" w:color="auto"/>
          <w:right w:val="single" w:sz="4" w:space="1" w:color="auto"/>
        </w:pBdr>
        <w:jc w:val="both"/>
        <w:rPr>
          <w:rFonts w:eastAsia="Times New Roman"/>
          <w:noProof/>
          <w:sz w:val="24"/>
          <w:szCs w:val="24"/>
        </w:rPr>
      </w:pPr>
      <w:r>
        <w:rPr>
          <w:rFonts w:ascii="Times New Roman" w:hAnsi="Times New Roman"/>
          <w:noProof/>
          <w:sz w:val="24"/>
          <w:szCs w:val="24"/>
        </w:rPr>
        <w:t xml:space="preserve">Жертвите трябва да се разглеждат преди всичко като </w:t>
      </w:r>
      <w:r>
        <w:rPr>
          <w:rFonts w:ascii="Times New Roman" w:hAnsi="Times New Roman"/>
          <w:b/>
          <w:noProof/>
          <w:sz w:val="24"/>
          <w:szCs w:val="24"/>
        </w:rPr>
        <w:t>носители на права</w:t>
      </w:r>
      <w:r>
        <w:rPr>
          <w:rFonts w:ascii="Times New Roman" w:hAnsi="Times New Roman"/>
          <w:noProof/>
          <w:sz w:val="24"/>
          <w:szCs w:val="24"/>
        </w:rPr>
        <w:t xml:space="preserve"> и те трябва да имат възможност да разберат и упражняват прават</w:t>
      </w:r>
      <w:r>
        <w:rPr>
          <w:rFonts w:ascii="Times New Roman" w:hAnsi="Times New Roman"/>
          <w:noProof/>
          <w:sz w:val="24"/>
          <w:szCs w:val="24"/>
        </w:rPr>
        <w:t>а си.</w:t>
      </w:r>
      <w:r>
        <w:rPr>
          <w:noProof/>
          <w:sz w:val="24"/>
          <w:szCs w:val="24"/>
        </w:rPr>
        <w:t xml:space="preserve"> </w:t>
      </w:r>
      <w:r>
        <w:rPr>
          <w:rFonts w:ascii="Times New Roman" w:hAnsi="Times New Roman"/>
          <w:noProof/>
          <w:sz w:val="24"/>
          <w:szCs w:val="24"/>
        </w:rPr>
        <w:t xml:space="preserve">В тази връзка Комисията препоръчва на национално равнище да бъдат предприети всички подходящи мерки, за да се гарантира </w:t>
      </w:r>
      <w:r>
        <w:rPr>
          <w:rFonts w:ascii="Times New Roman" w:hAnsi="Times New Roman"/>
          <w:b/>
          <w:noProof/>
          <w:sz w:val="24"/>
          <w:szCs w:val="24"/>
        </w:rPr>
        <w:t>ранното идентифициране на жертвите на трафик</w:t>
      </w:r>
      <w:r>
        <w:rPr>
          <w:rFonts w:ascii="Times New Roman" w:hAnsi="Times New Roman"/>
          <w:noProof/>
          <w:sz w:val="24"/>
          <w:szCs w:val="24"/>
        </w:rPr>
        <w:t>, в съответствие със задължението за предоставяне на помощ и подкрепа, веднага след ка</w:t>
      </w:r>
      <w:r>
        <w:rPr>
          <w:rFonts w:ascii="Times New Roman" w:hAnsi="Times New Roman"/>
          <w:noProof/>
          <w:sz w:val="24"/>
          <w:szCs w:val="24"/>
        </w:rPr>
        <w:t xml:space="preserve">то са налице разумни основания да се счита, че те са жертви. </w:t>
      </w:r>
      <w:r>
        <w:rPr>
          <w:rFonts w:ascii="Times New Roman" w:hAnsi="Times New Roman"/>
          <w:b/>
          <w:noProof/>
          <w:sz w:val="24"/>
          <w:szCs w:val="24"/>
        </w:rPr>
        <w:t>Формализирането или създаването на</w:t>
      </w:r>
      <w:r>
        <w:rPr>
          <w:rFonts w:ascii="Times New Roman" w:hAnsi="Times New Roman"/>
          <w:noProof/>
          <w:sz w:val="24"/>
          <w:szCs w:val="24"/>
        </w:rPr>
        <w:t xml:space="preserve"> </w:t>
      </w:r>
      <w:r>
        <w:rPr>
          <w:rFonts w:ascii="Times New Roman" w:hAnsi="Times New Roman"/>
          <w:b/>
          <w:noProof/>
          <w:sz w:val="24"/>
          <w:szCs w:val="24"/>
        </w:rPr>
        <w:t>национален механизъм за насочване</w:t>
      </w:r>
      <w:r>
        <w:rPr>
          <w:rFonts w:ascii="Times New Roman" w:hAnsi="Times New Roman"/>
          <w:noProof/>
          <w:sz w:val="24"/>
          <w:szCs w:val="24"/>
        </w:rPr>
        <w:t xml:space="preserve"> е ключова стъпка в това отношение. Тези механизми следва да се </w:t>
      </w:r>
      <w:r>
        <w:rPr>
          <w:rFonts w:ascii="Times New Roman" w:hAnsi="Times New Roman"/>
          <w:b/>
          <w:noProof/>
          <w:sz w:val="24"/>
          <w:szCs w:val="24"/>
        </w:rPr>
        <w:t>наблюдават и оценяват</w:t>
      </w:r>
      <w:r>
        <w:rPr>
          <w:rFonts w:ascii="Times New Roman" w:hAnsi="Times New Roman"/>
          <w:noProof/>
          <w:sz w:val="24"/>
          <w:szCs w:val="24"/>
        </w:rPr>
        <w:t xml:space="preserve"> редовно и по същество, </w:t>
      </w:r>
      <w:r>
        <w:rPr>
          <w:rFonts w:ascii="Times New Roman" w:hAnsi="Times New Roman"/>
          <w:b/>
          <w:noProof/>
          <w:sz w:val="24"/>
          <w:szCs w:val="24"/>
        </w:rPr>
        <w:t>в сътрудничество с</w:t>
      </w:r>
      <w:r>
        <w:rPr>
          <w:rFonts w:ascii="Times New Roman" w:hAnsi="Times New Roman"/>
          <w:b/>
          <w:noProof/>
          <w:sz w:val="24"/>
          <w:szCs w:val="24"/>
        </w:rPr>
        <w:t xml:space="preserve"> гражданското общество и академичните среди</w:t>
      </w:r>
      <w:r>
        <w:rPr>
          <w:rFonts w:ascii="Times New Roman" w:hAnsi="Times New Roman"/>
          <w:noProof/>
          <w:sz w:val="24"/>
          <w:szCs w:val="24"/>
        </w:rPr>
        <w:t>.</w:t>
      </w:r>
    </w:p>
    <w:p w:rsidR="00B80DCD" w:rsidRDefault="005A5274">
      <w:pPr>
        <w:pStyle w:val="Body"/>
        <w:pBdr>
          <w:top w:val="single" w:sz="4" w:space="1" w:color="auto"/>
          <w:left w:val="single" w:sz="4" w:space="1" w:color="auto"/>
          <w:bottom w:val="single" w:sz="4" w:space="1" w:color="auto"/>
          <w:right w:val="single" w:sz="4" w:space="1" w:color="auto"/>
        </w:pBdr>
        <w:jc w:val="both"/>
        <w:rPr>
          <w:rFonts w:eastAsia="Times New Roman"/>
          <w:noProof/>
          <w:sz w:val="24"/>
          <w:szCs w:val="24"/>
        </w:rPr>
      </w:pPr>
      <w:r>
        <w:rPr>
          <w:rFonts w:ascii="Times New Roman" w:hAnsi="Times New Roman"/>
          <w:noProof/>
          <w:sz w:val="24"/>
          <w:szCs w:val="24"/>
        </w:rPr>
        <w:t xml:space="preserve">За децата — жертви на трафик, следва да има </w:t>
      </w:r>
      <w:r>
        <w:rPr>
          <w:rFonts w:ascii="Times New Roman" w:hAnsi="Times New Roman"/>
          <w:b/>
          <w:noProof/>
          <w:sz w:val="24"/>
          <w:szCs w:val="24"/>
        </w:rPr>
        <w:t>интегриран подход към закрилата на детето</w:t>
      </w:r>
      <w:r>
        <w:rPr>
          <w:rFonts w:ascii="Times New Roman" w:hAnsi="Times New Roman"/>
          <w:noProof/>
          <w:sz w:val="24"/>
          <w:szCs w:val="24"/>
        </w:rPr>
        <w:t xml:space="preserve">. Той трябва да се основава на стандартите на Конвенцията на ООН за правата на детето, включително висшият интерес на детето, </w:t>
      </w:r>
      <w:r>
        <w:rPr>
          <w:rFonts w:ascii="Times New Roman" w:hAnsi="Times New Roman"/>
          <w:noProof/>
          <w:sz w:val="24"/>
          <w:szCs w:val="24"/>
        </w:rPr>
        <w:t xml:space="preserve">както и укрепването на системите за настойничество. На последно място, </w:t>
      </w:r>
      <w:r>
        <w:rPr>
          <w:rFonts w:ascii="Times New Roman" w:hAnsi="Times New Roman"/>
          <w:b/>
          <w:noProof/>
          <w:sz w:val="24"/>
          <w:szCs w:val="24"/>
        </w:rPr>
        <w:t>създаването на предупреждение за изчезнали деца в Шенгенската информационна система</w:t>
      </w:r>
      <w:r>
        <w:rPr>
          <w:rFonts w:ascii="Times New Roman" w:hAnsi="Times New Roman"/>
          <w:noProof/>
          <w:sz w:val="24"/>
          <w:szCs w:val="24"/>
        </w:rPr>
        <w:t xml:space="preserve"> е от решаващо значение с цел да се гарантира ранното идентифициране на децата — жертви.</w:t>
      </w:r>
    </w:p>
    <w:p w:rsidR="00B80DCD" w:rsidRDefault="005A5274">
      <w:pPr>
        <w:pStyle w:val="Heading2"/>
        <w:numPr>
          <w:ilvl w:val="1"/>
          <w:numId w:val="13"/>
        </w:numPr>
        <w:spacing w:after="240"/>
        <w:rPr>
          <w:rFonts w:ascii="Times New Roman" w:eastAsia="Times New Roman" w:hAnsi="Times New Roman" w:cs="Times New Roman"/>
          <w:noProof/>
          <w:color w:val="000000"/>
          <w:u w:val="single" w:color="000000"/>
        </w:rPr>
      </w:pPr>
      <w:r>
        <w:rPr>
          <w:rFonts w:ascii="Times New Roman" w:hAnsi="Times New Roman"/>
          <w:noProof/>
          <w:color w:val="000000"/>
          <w:u w:val="single" w:color="000000"/>
        </w:rPr>
        <w:t>Предотвратява</w:t>
      </w:r>
      <w:r>
        <w:rPr>
          <w:rFonts w:ascii="Times New Roman" w:hAnsi="Times New Roman"/>
          <w:noProof/>
          <w:color w:val="000000"/>
          <w:u w:val="single" w:color="000000"/>
        </w:rPr>
        <w:t>не</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Разследванията, наказателните преследвания и присъдите са основните инструменти за борба с трафика на хора. Тези инструменти обаче се прилагат, след като престъплението е вече извършено и жертвите са претърпели тежко нарушение на техните основни права. Пре</w:t>
      </w:r>
      <w:r>
        <w:rPr>
          <w:rFonts w:ascii="Times New Roman" w:hAnsi="Times New Roman"/>
          <w:noProof/>
          <w:sz w:val="24"/>
        </w:rPr>
        <w:t xml:space="preserve">махването на трафика на хора може да бъде постигнато само </w:t>
      </w:r>
      <w:r>
        <w:rPr>
          <w:rFonts w:ascii="Times New Roman" w:hAnsi="Times New Roman"/>
          <w:b/>
          <w:noProof/>
          <w:sz w:val="24"/>
        </w:rPr>
        <w:t>ако най-вече престъплението бъде възпрепятствано да се случи в бъдеще</w:t>
      </w:r>
      <w:r>
        <w:rPr>
          <w:rFonts w:ascii="Times New Roman" w:hAnsi="Times New Roman"/>
          <w:noProof/>
          <w:sz w:val="24"/>
        </w:rPr>
        <w:t xml:space="preserve">, като се използват всички налични инструменти на равнището на ЕС и на национално равнище. </w:t>
      </w:r>
    </w:p>
    <w:p w:rsidR="00B80DCD" w:rsidRDefault="005A5274">
      <w:pPr>
        <w:pStyle w:val="Body"/>
        <w:jc w:val="both"/>
        <w:rPr>
          <w:rFonts w:ascii="Times New Roman" w:eastAsia="Times New Roman" w:hAnsi="Times New Roman" w:cs="Times New Roman"/>
          <w:b/>
          <w:bCs/>
          <w:noProof/>
          <w:sz w:val="24"/>
          <w:szCs w:val="24"/>
        </w:rPr>
      </w:pPr>
      <w:r>
        <w:rPr>
          <w:rFonts w:ascii="Times New Roman" w:hAnsi="Times New Roman"/>
          <w:noProof/>
          <w:sz w:val="24"/>
        </w:rPr>
        <w:t>Предотвратяването следва да се постав</w:t>
      </w:r>
      <w:r>
        <w:rPr>
          <w:rFonts w:ascii="Times New Roman" w:hAnsi="Times New Roman"/>
          <w:noProof/>
          <w:sz w:val="24"/>
        </w:rPr>
        <w:t xml:space="preserve">и в по-широкия контекст на престъплението, което е мотивирано от печалбата и от търсенето. </w:t>
      </w:r>
      <w:r>
        <w:rPr>
          <w:rFonts w:ascii="Times New Roman" w:hAnsi="Times New Roman"/>
          <w:b/>
          <w:noProof/>
          <w:sz w:val="24"/>
        </w:rPr>
        <w:t>Основан на правата на човека подход следва да гарантира, че лицата, които извличат полза от тези престъпления и експлоатират жертвите, са изправени пред съда.</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Държав</w:t>
      </w:r>
      <w:r>
        <w:rPr>
          <w:rFonts w:ascii="Times New Roman" w:hAnsi="Times New Roman"/>
          <w:noProof/>
          <w:sz w:val="24"/>
        </w:rPr>
        <w:t xml:space="preserve">ите членки докладваха за </w:t>
      </w:r>
      <w:r>
        <w:rPr>
          <w:rFonts w:ascii="Times New Roman" w:hAnsi="Times New Roman"/>
          <w:b/>
          <w:noProof/>
          <w:sz w:val="24"/>
        </w:rPr>
        <w:t>широкомащабни мерки за предотвратяване</w:t>
      </w:r>
      <w:r>
        <w:rPr>
          <w:rFonts w:ascii="Times New Roman" w:hAnsi="Times New Roman"/>
          <w:noProof/>
          <w:sz w:val="24"/>
        </w:rPr>
        <w:t xml:space="preserve"> в съответствие с член 18 от Директивата за борба с трафика на хора, като например обучения и повишаване на осведомеността. Докладвано беше, че </w:t>
      </w:r>
      <w:r>
        <w:rPr>
          <w:rFonts w:ascii="Times New Roman" w:hAnsi="Times New Roman"/>
          <w:b/>
          <w:noProof/>
          <w:sz w:val="24"/>
        </w:rPr>
        <w:t>след обучение за служители от първа линия броят н</w:t>
      </w:r>
      <w:r>
        <w:rPr>
          <w:rFonts w:ascii="Times New Roman" w:hAnsi="Times New Roman"/>
          <w:b/>
          <w:noProof/>
          <w:sz w:val="24"/>
        </w:rPr>
        <w:t>а откритите случаи на трафик на хора е нараснал</w:t>
      </w:r>
      <w:r>
        <w:rPr>
          <w:rFonts w:ascii="Times New Roman" w:hAnsi="Times New Roman"/>
          <w:noProof/>
          <w:sz w:val="24"/>
        </w:rPr>
        <w:t xml:space="preserve">. Налице е обаче </w:t>
      </w:r>
      <w:r>
        <w:rPr>
          <w:rFonts w:ascii="Times New Roman" w:hAnsi="Times New Roman"/>
          <w:b/>
          <w:noProof/>
          <w:sz w:val="24"/>
        </w:rPr>
        <w:t>малко информация</w:t>
      </w:r>
      <w:r>
        <w:rPr>
          <w:rFonts w:ascii="Times New Roman" w:hAnsi="Times New Roman"/>
          <w:noProof/>
          <w:sz w:val="24"/>
        </w:rPr>
        <w:t xml:space="preserve"> </w:t>
      </w:r>
      <w:r>
        <w:rPr>
          <w:rFonts w:ascii="Times New Roman" w:hAnsi="Times New Roman"/>
          <w:b/>
          <w:noProof/>
          <w:sz w:val="24"/>
        </w:rPr>
        <w:t>за действителното въздействие на тези мерки</w:t>
      </w:r>
      <w:r>
        <w:rPr>
          <w:rFonts w:ascii="Times New Roman" w:hAnsi="Times New Roman"/>
          <w:noProof/>
          <w:sz w:val="24"/>
        </w:rPr>
        <w:t xml:space="preserve"> върху търсенето и предотвратяването. </w:t>
      </w:r>
    </w:p>
    <w:p w:rsidR="00B80DCD" w:rsidRDefault="005A5274">
      <w:pPr>
        <w:pStyle w:val="Body"/>
        <w:jc w:val="both"/>
        <w:rPr>
          <w:rFonts w:ascii="Times New Roman" w:eastAsia="Times New Roman" w:hAnsi="Times New Roman" w:cs="Times New Roman"/>
          <w:b/>
          <w:bCs/>
          <w:noProof/>
          <w:sz w:val="24"/>
          <w:szCs w:val="24"/>
        </w:rPr>
      </w:pPr>
      <w:r>
        <w:rPr>
          <w:rFonts w:ascii="Times New Roman" w:hAnsi="Times New Roman"/>
          <w:noProof/>
          <w:sz w:val="24"/>
        </w:rPr>
        <w:t xml:space="preserve">Получената информация засяга също така </w:t>
      </w:r>
      <w:r>
        <w:rPr>
          <w:rFonts w:ascii="Times New Roman" w:hAnsi="Times New Roman"/>
          <w:b/>
          <w:i/>
          <w:noProof/>
          <w:sz w:val="24"/>
        </w:rPr>
        <w:t>ad-hoc</w:t>
      </w:r>
      <w:r>
        <w:rPr>
          <w:rFonts w:ascii="Times New Roman" w:hAnsi="Times New Roman"/>
          <w:b/>
          <w:noProof/>
          <w:sz w:val="24"/>
        </w:rPr>
        <w:t xml:space="preserve"> естеството на дейностите по обучение, липсата н</w:t>
      </w:r>
      <w:r>
        <w:rPr>
          <w:rFonts w:ascii="Times New Roman" w:hAnsi="Times New Roman"/>
          <w:b/>
          <w:noProof/>
          <w:sz w:val="24"/>
        </w:rPr>
        <w:t xml:space="preserve">а специализирано обучение, както и подходът, ориентиран към децата и към равенството между половете. </w:t>
      </w:r>
      <w:r>
        <w:rPr>
          <w:rFonts w:ascii="Times New Roman" w:hAnsi="Times New Roman"/>
          <w:noProof/>
          <w:sz w:val="24"/>
        </w:rPr>
        <w:t xml:space="preserve">Важно е също така да се подчертае нуждата от специално обучение, </w:t>
      </w:r>
      <w:r>
        <w:rPr>
          <w:rFonts w:ascii="Times New Roman" w:hAnsi="Times New Roman"/>
          <w:b/>
          <w:noProof/>
          <w:sz w:val="24"/>
        </w:rPr>
        <w:t>най-вече с цел да се вземат предвид особеностите на различните форми на трафик на хора</w:t>
      </w:r>
      <w:r>
        <w:rPr>
          <w:rFonts w:ascii="Times New Roman" w:hAnsi="Times New Roman"/>
          <w:noProof/>
          <w:sz w:val="24"/>
        </w:rPr>
        <w:t>.</w:t>
      </w:r>
    </w:p>
    <w:p w:rsidR="00B80DCD" w:rsidRDefault="005A5274">
      <w:pPr>
        <w:pStyle w:val="Body"/>
        <w:jc w:val="both"/>
        <w:rPr>
          <w:rFonts w:ascii="Times New Roman" w:eastAsia="Times New Roman" w:hAnsi="Times New Roman" w:cs="Times New Roman"/>
          <w:b/>
          <w:bCs/>
          <w:i/>
          <w:iCs/>
          <w:noProof/>
          <w:sz w:val="24"/>
          <w:szCs w:val="24"/>
          <w:u w:val="single"/>
        </w:rPr>
      </w:pPr>
      <w:r>
        <w:rPr>
          <w:rFonts w:ascii="Times New Roman" w:hAnsi="Times New Roman"/>
          <w:noProof/>
          <w:sz w:val="24"/>
        </w:rPr>
        <w:t>Ос</w:t>
      </w:r>
      <w:r>
        <w:rPr>
          <w:rFonts w:ascii="Times New Roman" w:hAnsi="Times New Roman"/>
          <w:noProof/>
          <w:sz w:val="24"/>
        </w:rPr>
        <w:t xml:space="preserve">вен това държавите членки подчертават </w:t>
      </w:r>
      <w:r>
        <w:rPr>
          <w:rFonts w:ascii="Times New Roman" w:hAnsi="Times New Roman"/>
          <w:b/>
          <w:noProof/>
          <w:sz w:val="24"/>
        </w:rPr>
        <w:t>ролята на частния сектор в предотвратяването на трафика на хора</w:t>
      </w:r>
      <w:r>
        <w:rPr>
          <w:rFonts w:ascii="Times New Roman" w:hAnsi="Times New Roman"/>
          <w:noProof/>
          <w:sz w:val="24"/>
        </w:rPr>
        <w:t>.</w:t>
      </w:r>
    </w:p>
    <w:p w:rsidR="00B80DCD" w:rsidRDefault="005A5274">
      <w:pPr>
        <w:pStyle w:val="Body"/>
        <w:jc w:val="both"/>
        <w:rPr>
          <w:rFonts w:ascii="Times New Roman" w:eastAsia="Times New Roman" w:hAnsi="Times New Roman" w:cs="Times New Roman"/>
          <w:b/>
          <w:bCs/>
          <w:i/>
          <w:iCs/>
          <w:noProof/>
          <w:sz w:val="24"/>
          <w:szCs w:val="24"/>
          <w:u w:val="single"/>
        </w:rPr>
      </w:pPr>
      <w:r>
        <w:rPr>
          <w:rFonts w:ascii="Times New Roman" w:hAnsi="Times New Roman"/>
          <w:b/>
          <w:i/>
          <w:noProof/>
          <w:sz w:val="24"/>
          <w:u w:val="single"/>
        </w:rPr>
        <w:t>Криминализация на ползването на услуги, предоставяни от жертвите</w:t>
      </w:r>
    </w:p>
    <w:p w:rsidR="00B80DCD" w:rsidRDefault="005A5274">
      <w:pPr>
        <w:pStyle w:val="Body"/>
        <w:jc w:val="both"/>
        <w:rPr>
          <w:rFonts w:ascii="Times New Roman" w:hAnsi="Times New Roman" w:cs="Times New Roman"/>
          <w:b/>
          <w:bCs/>
          <w:noProof/>
          <w:sz w:val="24"/>
          <w:szCs w:val="24"/>
        </w:rPr>
      </w:pPr>
      <w:r>
        <w:rPr>
          <w:rFonts w:ascii="Times New Roman" w:hAnsi="Times New Roman" w:cs="Times New Roman"/>
          <w:noProof/>
          <w:sz w:val="24"/>
          <w:szCs w:val="24"/>
        </w:rPr>
        <w:t>Измерението, което в по-малка степен е привлякло вниманието на държавите членки, се отна</w:t>
      </w:r>
      <w:r>
        <w:rPr>
          <w:rFonts w:ascii="Times New Roman" w:hAnsi="Times New Roman" w:cs="Times New Roman"/>
          <w:noProof/>
          <w:sz w:val="24"/>
          <w:szCs w:val="24"/>
        </w:rPr>
        <w:t xml:space="preserve">ся до законодателни промени, насочени към лицата, които ползват услуги, предоставяни от жертвите на трафик, както се препоръчва в </w:t>
      </w:r>
      <w:r>
        <w:rPr>
          <w:rFonts w:ascii="Times New Roman" w:hAnsi="Times New Roman" w:cs="Times New Roman"/>
          <w:b/>
          <w:noProof/>
          <w:sz w:val="24"/>
          <w:szCs w:val="24"/>
        </w:rPr>
        <w:t>член 18, параграф 4 от Директивата за борба с трафика на хора</w:t>
      </w:r>
      <w:r>
        <w:rPr>
          <w:rFonts w:ascii="Times New Roman" w:hAnsi="Times New Roman" w:cs="Times New Roman"/>
          <w:noProof/>
          <w:sz w:val="24"/>
          <w:szCs w:val="24"/>
        </w:rPr>
        <w:t xml:space="preserve">. Към момента около </w:t>
      </w:r>
      <w:r>
        <w:rPr>
          <w:rFonts w:ascii="Times New Roman" w:hAnsi="Times New Roman" w:cs="Times New Roman"/>
          <w:b/>
          <w:noProof/>
          <w:sz w:val="24"/>
          <w:szCs w:val="24"/>
        </w:rPr>
        <w:t>половината от държавите членки считат като пр</w:t>
      </w:r>
      <w:r>
        <w:rPr>
          <w:rFonts w:ascii="Times New Roman" w:hAnsi="Times New Roman" w:cs="Times New Roman"/>
          <w:b/>
          <w:noProof/>
          <w:sz w:val="24"/>
          <w:szCs w:val="24"/>
        </w:rPr>
        <w:t>естъпление ползването на услуги, предоставяни от жертви на трафик, със знанието, че става въпрос за жертви на трафик</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 xml:space="preserve">В </w:t>
      </w:r>
      <w:r>
        <w:rPr>
          <w:rFonts w:ascii="Times New Roman" w:hAnsi="Times New Roman"/>
          <w:b/>
          <w:noProof/>
          <w:sz w:val="24"/>
        </w:rPr>
        <w:t>Директивата относно санкциите срещу работодателите</w:t>
      </w:r>
      <w:r>
        <w:rPr>
          <w:rStyle w:val="FootnoteReference"/>
          <w:rFonts w:ascii="Times New Roman" w:hAnsi="Times New Roman"/>
          <w:noProof/>
          <w:sz w:val="24"/>
        </w:rPr>
        <w:footnoteReference w:id="42"/>
      </w:r>
      <w:r>
        <w:rPr>
          <w:rFonts w:ascii="Times New Roman" w:hAnsi="Times New Roman"/>
          <w:noProof/>
          <w:sz w:val="24"/>
        </w:rPr>
        <w:t>, която е с подобен, макар и по-тесен обхват, вече е установено, че държавите членки трябва да налагат наказателноправни санкции за работодателите, които използват труда или услугите на незаконно пребиваващи граждани на трети държави, знаейки, че са жертви</w:t>
      </w:r>
      <w:r>
        <w:rPr>
          <w:rFonts w:ascii="Times New Roman" w:hAnsi="Times New Roman"/>
          <w:noProof/>
          <w:sz w:val="24"/>
        </w:rPr>
        <w:t xml:space="preserve"> на трафик. Поради това е налице очевидна необходимост да се осигури съгласуваност и да се премахнат евентуално съществуващите правни пропуски, които могат да водят до безнаказаност.  </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noProof/>
          <w:sz w:val="24"/>
        </w:rPr>
        <w:t>Често криминализацията на потребителите на услуги от страна на жертви н</w:t>
      </w:r>
      <w:r>
        <w:rPr>
          <w:rFonts w:ascii="Times New Roman" w:hAnsi="Times New Roman"/>
          <w:noProof/>
          <w:sz w:val="24"/>
        </w:rPr>
        <w:t xml:space="preserve">а трафик е свързана с проституцията. Що се отнася до детската проституция, </w:t>
      </w:r>
      <w:r>
        <w:rPr>
          <w:rFonts w:ascii="Times New Roman" w:hAnsi="Times New Roman"/>
          <w:b/>
          <w:noProof/>
          <w:sz w:val="24"/>
        </w:rPr>
        <w:t>Директивата относно борбата със сексуалното насилие срещу деца</w:t>
      </w:r>
      <w:r>
        <w:rPr>
          <w:rStyle w:val="FootnoteReference"/>
          <w:rFonts w:ascii="Times New Roman" w:hAnsi="Times New Roman"/>
          <w:noProof/>
          <w:sz w:val="24"/>
        </w:rPr>
        <w:footnoteReference w:id="43"/>
      </w:r>
      <w:r>
        <w:rPr>
          <w:rFonts w:ascii="Times New Roman" w:hAnsi="Times New Roman"/>
          <w:noProof/>
          <w:sz w:val="24"/>
        </w:rPr>
        <w:t xml:space="preserve"> също косвено допринася за борбата срещу трафика на деца, като задължава държавите членки да гарантират, че участието </w:t>
      </w:r>
      <w:r>
        <w:rPr>
          <w:rFonts w:ascii="Times New Roman" w:hAnsi="Times New Roman"/>
          <w:noProof/>
          <w:sz w:val="24"/>
        </w:rPr>
        <w:t>в сексуални действия с дете, при което се прибягва до проституция, е обявено за престъпление и подлежи на минимално наказание лишаване от свобода.</w:t>
      </w:r>
    </w:p>
    <w:p w:rsidR="00B80DCD" w:rsidRDefault="005A5274">
      <w:pPr>
        <w:pStyle w:val="Body"/>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Times New Roman" w:hAnsi="Times New Roman"/>
          <w:noProof/>
          <w:sz w:val="24"/>
          <w:szCs w:val="24"/>
        </w:rPr>
      </w:pPr>
      <w:r>
        <w:rPr>
          <w:rFonts w:ascii="Times New Roman" w:hAnsi="Times New Roman"/>
          <w:noProof/>
          <w:sz w:val="24"/>
        </w:rPr>
        <w:t xml:space="preserve">Информацията, получена от Комисията, показва ясно </w:t>
      </w:r>
      <w:r>
        <w:rPr>
          <w:rFonts w:ascii="Times New Roman" w:hAnsi="Times New Roman"/>
          <w:b/>
          <w:noProof/>
          <w:sz w:val="24"/>
        </w:rPr>
        <w:t xml:space="preserve">необходимостта от строги предпазни мерки с цел да се </w:t>
      </w:r>
      <w:r>
        <w:rPr>
          <w:rFonts w:ascii="Times New Roman" w:hAnsi="Times New Roman"/>
          <w:b/>
          <w:noProof/>
          <w:sz w:val="24"/>
        </w:rPr>
        <w:t>гарантира, че не жертвите биват санкционирани, а лицата, които ги експлоатират и използват</w:t>
      </w:r>
      <w:r>
        <w:rPr>
          <w:rFonts w:ascii="Times New Roman" w:hAnsi="Times New Roman"/>
          <w:noProof/>
          <w:sz w:val="24"/>
        </w:rPr>
        <w:t>. Ако този проблем не бъде решен, жертвите ще бъдат третирани като престъпници и ще бъдат наказвани, а извършителите и потребителите ще се възползват от това бездейст</w:t>
      </w:r>
      <w:r>
        <w:rPr>
          <w:rFonts w:ascii="Times New Roman" w:hAnsi="Times New Roman"/>
          <w:noProof/>
          <w:sz w:val="24"/>
        </w:rPr>
        <w:t xml:space="preserve">вие. </w:t>
      </w:r>
      <w:r>
        <w:rPr>
          <w:rFonts w:ascii="Times New Roman" w:hAnsi="Times New Roman"/>
          <w:b/>
          <w:noProof/>
          <w:sz w:val="24"/>
        </w:rPr>
        <w:t>За тази цел от основно значение е да се предприемат мерки, включително правни мерки, за да се намали търсенето, което стимулира трафика на хора във всичките форми на експлоатация.</w:t>
      </w:r>
    </w:p>
    <w:p w:rsidR="00B80DCD" w:rsidRDefault="005A5274">
      <w:pPr>
        <w:pStyle w:val="Heading2"/>
        <w:numPr>
          <w:ilvl w:val="1"/>
          <w:numId w:val="5"/>
        </w:numPr>
        <w:spacing w:after="240"/>
        <w:rPr>
          <w:rFonts w:ascii="Times New Roman" w:eastAsia="Times New Roman" w:hAnsi="Times New Roman" w:cs="Times New Roman"/>
          <w:noProof/>
          <w:color w:val="000000"/>
          <w:u w:val="single" w:color="000000"/>
        </w:rPr>
      </w:pPr>
      <w:r>
        <w:rPr>
          <w:rFonts w:ascii="Times New Roman" w:hAnsi="Times New Roman"/>
          <w:noProof/>
          <w:color w:val="000000"/>
          <w:u w:val="single" w:color="000000"/>
        </w:rPr>
        <w:t>Финансова подкрепа за справяне с трафика на хора и за изпълнение на пра</w:t>
      </w:r>
      <w:r>
        <w:rPr>
          <w:rFonts w:ascii="Times New Roman" w:hAnsi="Times New Roman"/>
          <w:noProof/>
          <w:color w:val="000000"/>
          <w:u w:val="single" w:color="000000"/>
        </w:rPr>
        <w:t>вни задължения</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Едно от най-важните предизвикателства в областта на борбата с трафика на хора, констатирано както от държавите членки, така и от неправителствени организации, са </w:t>
      </w:r>
      <w:r>
        <w:rPr>
          <w:rFonts w:ascii="Times New Roman" w:hAnsi="Times New Roman" w:cs="Times New Roman"/>
          <w:b/>
          <w:noProof/>
          <w:sz w:val="24"/>
          <w:szCs w:val="24"/>
        </w:rPr>
        <w:t>ограничените налични ресурси за предприемане на мерки за борба с трафика на хор</w:t>
      </w:r>
      <w:r>
        <w:rPr>
          <w:rFonts w:ascii="Times New Roman" w:hAnsi="Times New Roman" w:cs="Times New Roman"/>
          <w:b/>
          <w:noProof/>
          <w:sz w:val="24"/>
          <w:szCs w:val="24"/>
        </w:rPr>
        <w:t>а, за оказване на помощ на жертвите и за превантивни мерки на национално равнище</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Световната икономическа криза също оказа отрицателно въздействие върху заделянето на такива средства.</w:t>
      </w:r>
    </w:p>
    <w:p w:rsidR="00B80DCD" w:rsidRDefault="005A5274">
      <w:pPr>
        <w:pStyle w:val="Body"/>
        <w:jc w:val="both"/>
        <w:rPr>
          <w:rFonts w:ascii="Times New Roman" w:eastAsia="Times New Roman" w:hAnsi="Times New Roman" w:cs="Times New Roman"/>
          <w:noProof/>
          <w:sz w:val="24"/>
          <w:szCs w:val="24"/>
        </w:rPr>
      </w:pPr>
      <w:r>
        <w:rPr>
          <w:rFonts w:ascii="Times New Roman" w:hAnsi="Times New Roman" w:cs="Times New Roman"/>
          <w:noProof/>
          <w:sz w:val="24"/>
          <w:szCs w:val="24"/>
        </w:rPr>
        <w:t>В повечето държави членки практическата помощ не се предоставя от държав</w:t>
      </w:r>
      <w:r>
        <w:rPr>
          <w:rFonts w:ascii="Times New Roman" w:hAnsi="Times New Roman" w:cs="Times New Roman"/>
          <w:noProof/>
          <w:sz w:val="24"/>
          <w:szCs w:val="24"/>
        </w:rPr>
        <w:t>ата или от местните органи, а от неправителствени организации. Поради това е важно да се осигурява финансиране за тези организации, за да може те да предоставят ефикасна и устойчива краткосрочна и дългосрочна помощ на жертвите на трафик.</w:t>
      </w:r>
    </w:p>
    <w:p w:rsidR="00B80DCD" w:rsidRDefault="005A527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noProof/>
          <w:sz w:val="24"/>
          <w:szCs w:val="24"/>
        </w:rPr>
      </w:pPr>
      <w:r>
        <w:rPr>
          <w:rFonts w:ascii="Times New Roman" w:hAnsi="Times New Roman" w:cs="Times New Roman"/>
          <w:b/>
          <w:noProof/>
          <w:sz w:val="24"/>
          <w:szCs w:val="24"/>
        </w:rPr>
        <w:t>Необходими са дост</w:t>
      </w:r>
      <w:r>
        <w:rPr>
          <w:rFonts w:ascii="Times New Roman" w:hAnsi="Times New Roman" w:cs="Times New Roman"/>
          <w:b/>
          <w:noProof/>
          <w:sz w:val="24"/>
          <w:szCs w:val="24"/>
        </w:rPr>
        <w:t>атъчно бюджетни средства с цел ефективното разрешаване на проблема с трафика на хора, като това трябва да се направи в сътрудничество с гражданското общество.</w:t>
      </w:r>
      <w:r>
        <w:rPr>
          <w:rFonts w:ascii="Times New Roman" w:hAnsi="Times New Roman" w:cs="Times New Roman"/>
          <w:noProof/>
          <w:sz w:val="24"/>
          <w:szCs w:val="24"/>
        </w:rPr>
        <w:t xml:space="preserve"> </w:t>
      </w:r>
      <w:r>
        <w:rPr>
          <w:rFonts w:ascii="Times New Roman" w:hAnsi="Times New Roman" w:cs="Times New Roman"/>
          <w:b/>
          <w:noProof/>
          <w:sz w:val="24"/>
          <w:szCs w:val="24"/>
        </w:rPr>
        <w:t>Ефективното използване</w:t>
      </w:r>
      <w:r>
        <w:rPr>
          <w:rFonts w:ascii="Times New Roman" w:hAnsi="Times New Roman" w:cs="Times New Roman"/>
          <w:noProof/>
          <w:sz w:val="24"/>
          <w:szCs w:val="24"/>
        </w:rPr>
        <w:t xml:space="preserve"> на средствата по линия </w:t>
      </w:r>
      <w:r>
        <w:rPr>
          <w:rFonts w:ascii="Times New Roman" w:hAnsi="Times New Roman" w:cs="Times New Roman"/>
          <w:b/>
          <w:noProof/>
          <w:sz w:val="24"/>
          <w:szCs w:val="24"/>
        </w:rPr>
        <w:t>на всички фондове на ЕС</w:t>
      </w:r>
      <w:r>
        <w:rPr>
          <w:rFonts w:ascii="Times New Roman" w:hAnsi="Times New Roman" w:cs="Times New Roman"/>
          <w:noProof/>
          <w:sz w:val="24"/>
          <w:szCs w:val="24"/>
        </w:rPr>
        <w:t xml:space="preserve">, свързани с борбата с трафика на хора, от страна на държавите членки, както и </w:t>
      </w:r>
      <w:r>
        <w:rPr>
          <w:rFonts w:ascii="Times New Roman" w:hAnsi="Times New Roman" w:cs="Times New Roman"/>
          <w:b/>
          <w:noProof/>
          <w:sz w:val="24"/>
          <w:szCs w:val="24"/>
        </w:rPr>
        <w:t>прилагането на икономически ефективни национални мерки</w:t>
      </w:r>
      <w:r>
        <w:rPr>
          <w:rFonts w:ascii="Times New Roman" w:hAnsi="Times New Roman" w:cs="Times New Roman"/>
          <w:noProof/>
          <w:sz w:val="24"/>
          <w:szCs w:val="24"/>
        </w:rPr>
        <w:t xml:space="preserve"> могат да доведат до осезаеми резултати и дългосрочно въздействие.</w:t>
      </w:r>
    </w:p>
    <w:p w:rsidR="00B80DCD" w:rsidRDefault="005A5274">
      <w:pPr>
        <w:pStyle w:val="Heading"/>
        <w:spacing w:before="0"/>
        <w:rPr>
          <w:rFonts w:ascii="Times New Roman" w:hAnsi="Times New Roman" w:cs="Times New Roman"/>
          <w:caps/>
          <w:noProof/>
          <w:color w:val="000000"/>
          <w:u w:color="000000"/>
        </w:rPr>
      </w:pPr>
      <w:r>
        <w:rPr>
          <w:rFonts w:ascii="Times New Roman" w:hAnsi="Times New Roman"/>
          <w:caps/>
          <w:noProof/>
          <w:color w:val="000000"/>
          <w:u w:color="000000"/>
        </w:rPr>
        <w:t>ЗАКЛЮЧЕНИЯ</w:t>
      </w:r>
    </w:p>
    <w:p w:rsidR="00B80DCD" w:rsidRDefault="005A5274">
      <w:pPr>
        <w:pStyle w:val="Body"/>
        <w:spacing w:before="240"/>
        <w:jc w:val="both"/>
        <w:rPr>
          <w:rFonts w:ascii="Times New Roman" w:eastAsia="Times New Roman" w:hAnsi="Times New Roman" w:cs="Times New Roman"/>
          <w:noProof/>
          <w:sz w:val="24"/>
          <w:szCs w:val="24"/>
        </w:rPr>
      </w:pPr>
      <w:r>
        <w:rPr>
          <w:rFonts w:ascii="Times New Roman" w:hAnsi="Times New Roman"/>
          <w:noProof/>
          <w:sz w:val="24"/>
        </w:rPr>
        <w:t>Приносът за настоящия доклад на държавите чле</w:t>
      </w:r>
      <w:r>
        <w:rPr>
          <w:rFonts w:ascii="Times New Roman" w:hAnsi="Times New Roman"/>
          <w:noProof/>
          <w:sz w:val="24"/>
        </w:rPr>
        <w:t xml:space="preserve">нки и на другите заинтересовани страни дава възможност да се откроят редица </w:t>
      </w:r>
      <w:r>
        <w:rPr>
          <w:rFonts w:ascii="Times New Roman" w:hAnsi="Times New Roman"/>
          <w:b/>
          <w:noProof/>
          <w:sz w:val="24"/>
        </w:rPr>
        <w:t>ключови предизвикателства</w:t>
      </w:r>
      <w:r>
        <w:rPr>
          <w:rFonts w:ascii="Times New Roman" w:hAnsi="Times New Roman"/>
          <w:noProof/>
          <w:sz w:val="24"/>
        </w:rPr>
        <w:t>, които ЕС и държавите — членки на ЕС, трябва да разгледат като приоритет чрез използване на подходящи усилия и ресурси.</w:t>
      </w:r>
    </w:p>
    <w:p w:rsidR="00B80DCD" w:rsidRDefault="005A5274">
      <w:pPr>
        <w:pStyle w:val="Body"/>
        <w:spacing w:before="240"/>
        <w:jc w:val="both"/>
        <w:rPr>
          <w:rFonts w:ascii="Times New Roman" w:hAnsi="Times New Roman"/>
          <w:noProof/>
          <w:sz w:val="24"/>
          <w:szCs w:val="24"/>
        </w:rPr>
      </w:pPr>
      <w:r>
        <w:rPr>
          <w:rFonts w:ascii="Times New Roman" w:hAnsi="Times New Roman"/>
          <w:noProof/>
          <w:sz w:val="24"/>
        </w:rPr>
        <w:t xml:space="preserve">В това отношение държавите членки </w:t>
      </w:r>
      <w:r>
        <w:rPr>
          <w:rFonts w:ascii="Times New Roman" w:hAnsi="Times New Roman"/>
          <w:noProof/>
          <w:sz w:val="24"/>
        </w:rPr>
        <w:t xml:space="preserve">следва </w:t>
      </w:r>
      <w:r>
        <w:rPr>
          <w:rFonts w:ascii="Times New Roman" w:hAnsi="Times New Roman"/>
          <w:b/>
          <w:noProof/>
          <w:sz w:val="24"/>
        </w:rPr>
        <w:t>да се заемат и приоритетно да се справят с всички форми на експлоатация</w:t>
      </w:r>
      <w:r>
        <w:rPr>
          <w:rFonts w:ascii="Times New Roman" w:hAnsi="Times New Roman"/>
          <w:noProof/>
          <w:sz w:val="24"/>
        </w:rPr>
        <w:t xml:space="preserve">, да увеличат </w:t>
      </w:r>
      <w:r>
        <w:rPr>
          <w:rFonts w:ascii="Times New Roman" w:hAnsi="Times New Roman"/>
          <w:b/>
          <w:noProof/>
          <w:sz w:val="24"/>
        </w:rPr>
        <w:t>броя и ефективността на разследванията и на наказателните преследвания</w:t>
      </w:r>
      <w:r>
        <w:rPr>
          <w:rFonts w:ascii="Times New Roman" w:hAnsi="Times New Roman"/>
          <w:noProof/>
          <w:sz w:val="24"/>
        </w:rPr>
        <w:t xml:space="preserve">, да работят за </w:t>
      </w:r>
      <w:r>
        <w:rPr>
          <w:rFonts w:ascii="Times New Roman" w:hAnsi="Times New Roman"/>
          <w:b/>
          <w:noProof/>
          <w:sz w:val="24"/>
        </w:rPr>
        <w:t>подобряването на събирането на данни</w:t>
      </w:r>
      <w:r>
        <w:rPr>
          <w:rFonts w:ascii="Times New Roman" w:hAnsi="Times New Roman"/>
          <w:noProof/>
          <w:sz w:val="24"/>
        </w:rPr>
        <w:t xml:space="preserve"> в областта на трафика на хора, да се съср</w:t>
      </w:r>
      <w:r>
        <w:rPr>
          <w:rFonts w:ascii="Times New Roman" w:hAnsi="Times New Roman"/>
          <w:noProof/>
          <w:sz w:val="24"/>
        </w:rPr>
        <w:t xml:space="preserve">едоточат върху </w:t>
      </w:r>
      <w:r>
        <w:rPr>
          <w:rFonts w:ascii="Times New Roman" w:hAnsi="Times New Roman"/>
          <w:b/>
          <w:noProof/>
          <w:sz w:val="24"/>
        </w:rPr>
        <w:t>ранното идентифициране на всички жертви</w:t>
      </w:r>
      <w:r>
        <w:rPr>
          <w:rFonts w:ascii="Times New Roman" w:hAnsi="Times New Roman"/>
          <w:noProof/>
          <w:sz w:val="24"/>
        </w:rPr>
        <w:t xml:space="preserve">, включително посредством създаването на подходящите механизми за тази цел, да гарантират, че всички жертви получават </w:t>
      </w:r>
      <w:r>
        <w:rPr>
          <w:rFonts w:ascii="Times New Roman" w:hAnsi="Times New Roman"/>
          <w:b/>
          <w:noProof/>
          <w:sz w:val="24"/>
        </w:rPr>
        <w:t>закрила и помощ</w:t>
      </w:r>
      <w:r>
        <w:rPr>
          <w:rFonts w:ascii="Times New Roman" w:hAnsi="Times New Roman"/>
          <w:noProof/>
          <w:sz w:val="24"/>
        </w:rPr>
        <w:t>, в рамките на всички действия да предприемат специфични мерки в обла</w:t>
      </w:r>
      <w:r>
        <w:rPr>
          <w:rFonts w:ascii="Times New Roman" w:hAnsi="Times New Roman"/>
          <w:noProof/>
          <w:sz w:val="24"/>
        </w:rPr>
        <w:t xml:space="preserve">стта на </w:t>
      </w:r>
      <w:r>
        <w:rPr>
          <w:rFonts w:ascii="Times New Roman" w:hAnsi="Times New Roman"/>
          <w:b/>
          <w:noProof/>
          <w:sz w:val="24"/>
        </w:rPr>
        <w:t xml:space="preserve">равенството между половете </w:t>
      </w:r>
      <w:r>
        <w:rPr>
          <w:rFonts w:ascii="Times New Roman" w:hAnsi="Times New Roman"/>
          <w:noProof/>
          <w:sz w:val="24"/>
        </w:rPr>
        <w:t>и да следват</w:t>
      </w:r>
      <w:r>
        <w:rPr>
          <w:rFonts w:ascii="Times New Roman" w:hAnsi="Times New Roman"/>
          <w:b/>
          <w:noProof/>
          <w:sz w:val="24"/>
        </w:rPr>
        <w:t xml:space="preserve"> ориентиран към децата</w:t>
      </w:r>
      <w:r>
        <w:rPr>
          <w:rFonts w:ascii="Times New Roman" w:hAnsi="Times New Roman"/>
          <w:noProof/>
          <w:sz w:val="24"/>
        </w:rPr>
        <w:t xml:space="preserve"> подход, да се съсредоточат върху </w:t>
      </w:r>
      <w:r>
        <w:rPr>
          <w:rFonts w:ascii="Times New Roman" w:hAnsi="Times New Roman"/>
          <w:b/>
          <w:noProof/>
          <w:sz w:val="24"/>
        </w:rPr>
        <w:t>най-уязвимите жертви</w:t>
      </w:r>
      <w:r>
        <w:rPr>
          <w:rFonts w:ascii="Times New Roman" w:hAnsi="Times New Roman"/>
          <w:noProof/>
          <w:sz w:val="24"/>
        </w:rPr>
        <w:t xml:space="preserve">, включително децата в риск, да предоставят </w:t>
      </w:r>
      <w:r>
        <w:rPr>
          <w:rFonts w:ascii="Times New Roman" w:hAnsi="Times New Roman"/>
          <w:b/>
          <w:noProof/>
          <w:sz w:val="24"/>
        </w:rPr>
        <w:t>подходяща подкрепа на децата — жертви</w:t>
      </w:r>
      <w:r>
        <w:rPr>
          <w:rFonts w:ascii="Times New Roman" w:hAnsi="Times New Roman"/>
          <w:noProof/>
          <w:sz w:val="24"/>
        </w:rPr>
        <w:t xml:space="preserve">, да </w:t>
      </w:r>
      <w:r>
        <w:rPr>
          <w:rFonts w:ascii="Times New Roman" w:hAnsi="Times New Roman"/>
          <w:b/>
          <w:noProof/>
          <w:sz w:val="24"/>
        </w:rPr>
        <w:t>предотвратят</w:t>
      </w:r>
      <w:r>
        <w:rPr>
          <w:rFonts w:ascii="Times New Roman" w:hAnsi="Times New Roman"/>
          <w:noProof/>
          <w:sz w:val="24"/>
        </w:rPr>
        <w:t xml:space="preserve"> трафика на хора, като решат пробле</w:t>
      </w:r>
      <w:r>
        <w:rPr>
          <w:rFonts w:ascii="Times New Roman" w:hAnsi="Times New Roman"/>
          <w:noProof/>
          <w:sz w:val="24"/>
        </w:rPr>
        <w:t xml:space="preserve">ма с </w:t>
      </w:r>
      <w:r>
        <w:rPr>
          <w:rFonts w:ascii="Times New Roman" w:hAnsi="Times New Roman"/>
          <w:b/>
          <w:noProof/>
          <w:sz w:val="24"/>
        </w:rPr>
        <w:t>търсенето</w:t>
      </w:r>
      <w:r>
        <w:rPr>
          <w:rFonts w:ascii="Times New Roman" w:hAnsi="Times New Roman"/>
          <w:noProof/>
          <w:sz w:val="24"/>
        </w:rPr>
        <w:t xml:space="preserve">, което обуславя всички форми на експлоатация, систематично </w:t>
      </w:r>
      <w:r>
        <w:rPr>
          <w:rFonts w:ascii="Times New Roman" w:hAnsi="Times New Roman"/>
          <w:b/>
          <w:noProof/>
          <w:sz w:val="24"/>
        </w:rPr>
        <w:t>да правят оценка на националните стратегии и планове за действие</w:t>
      </w:r>
      <w:r>
        <w:rPr>
          <w:rFonts w:ascii="Times New Roman" w:hAnsi="Times New Roman"/>
          <w:noProof/>
          <w:sz w:val="24"/>
        </w:rPr>
        <w:t xml:space="preserve">, да заделят </w:t>
      </w:r>
      <w:r>
        <w:rPr>
          <w:rFonts w:ascii="Times New Roman" w:hAnsi="Times New Roman"/>
          <w:b/>
          <w:noProof/>
          <w:sz w:val="24"/>
        </w:rPr>
        <w:t>достатъчно средства</w:t>
      </w:r>
      <w:r>
        <w:rPr>
          <w:rFonts w:ascii="Times New Roman" w:hAnsi="Times New Roman"/>
          <w:noProof/>
          <w:sz w:val="24"/>
        </w:rPr>
        <w:t xml:space="preserve"> за справяне с трафика на хора, както и да си </w:t>
      </w:r>
      <w:r>
        <w:rPr>
          <w:rFonts w:ascii="Times New Roman" w:hAnsi="Times New Roman"/>
          <w:b/>
          <w:noProof/>
          <w:sz w:val="24"/>
        </w:rPr>
        <w:t>сътрудничат пълноценно с гражданското об</w:t>
      </w:r>
      <w:r>
        <w:rPr>
          <w:rFonts w:ascii="Times New Roman" w:hAnsi="Times New Roman"/>
          <w:b/>
          <w:noProof/>
          <w:sz w:val="24"/>
        </w:rPr>
        <w:t>щество</w:t>
      </w:r>
      <w:r>
        <w:rPr>
          <w:rFonts w:ascii="Times New Roman" w:hAnsi="Times New Roman"/>
          <w:noProof/>
          <w:sz w:val="24"/>
        </w:rPr>
        <w:t>.</w:t>
      </w:r>
    </w:p>
    <w:p w:rsidR="00B80DCD" w:rsidRDefault="005A527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Times New Roman" w:hAnsi="Times New Roman"/>
          <w:noProof/>
          <w:sz w:val="24"/>
          <w:szCs w:val="24"/>
        </w:rPr>
      </w:pPr>
      <w:r>
        <w:rPr>
          <w:rFonts w:ascii="Times New Roman" w:hAnsi="Times New Roman"/>
          <w:noProof/>
          <w:sz w:val="24"/>
        </w:rPr>
        <w:t xml:space="preserve">Важно е държавите членки да насърчават </w:t>
      </w:r>
      <w:r>
        <w:rPr>
          <w:rFonts w:ascii="Times New Roman" w:hAnsi="Times New Roman"/>
          <w:b/>
          <w:noProof/>
          <w:sz w:val="24"/>
        </w:rPr>
        <w:t xml:space="preserve">правителствата и независимите органи да участват редовно в мрежата от </w:t>
      </w:r>
      <w:r>
        <w:rPr>
          <w:rFonts w:ascii="Times New Roman" w:hAnsi="Times New Roman" w:cs="Times New Roman"/>
          <w:b/>
          <w:noProof/>
          <w:sz w:val="24"/>
          <w:szCs w:val="24"/>
        </w:rPr>
        <w:t>национални органи за докладване или равностойни механизми</w:t>
      </w:r>
      <w:r>
        <w:rPr>
          <w:rFonts w:ascii="Times New Roman" w:hAnsi="Times New Roman" w:cs="Times New Roman"/>
          <w:noProof/>
          <w:sz w:val="24"/>
          <w:szCs w:val="24"/>
        </w:rPr>
        <w:t xml:space="preserve"> (</w:t>
      </w:r>
      <w:r>
        <w:rPr>
          <w:rFonts w:ascii="Times New Roman" w:hAnsi="Times New Roman" w:cs="Times New Roman"/>
          <w:b/>
          <w:noProof/>
          <w:sz w:val="24"/>
          <w:szCs w:val="24"/>
        </w:rPr>
        <w:t>„НОДРМ“</w:t>
      </w:r>
      <w:r>
        <w:rPr>
          <w:rFonts w:ascii="Times New Roman" w:hAnsi="Times New Roman" w:cs="Times New Roman"/>
          <w:noProof/>
          <w:sz w:val="24"/>
          <w:szCs w:val="24"/>
        </w:rPr>
        <w:t xml:space="preserve">) </w:t>
      </w:r>
      <w:r>
        <w:rPr>
          <w:rFonts w:ascii="Times New Roman" w:hAnsi="Times New Roman"/>
          <w:b/>
          <w:noProof/>
          <w:sz w:val="24"/>
        </w:rPr>
        <w:t>на ЕС</w:t>
      </w:r>
      <w:r>
        <w:rPr>
          <w:rFonts w:ascii="Times New Roman" w:hAnsi="Times New Roman"/>
          <w:noProof/>
          <w:sz w:val="24"/>
        </w:rPr>
        <w:t xml:space="preserve">, така че те да могат да работят по информиран и координиран начин на </w:t>
      </w:r>
      <w:r>
        <w:rPr>
          <w:rFonts w:ascii="Times New Roman" w:hAnsi="Times New Roman"/>
          <w:b/>
          <w:noProof/>
          <w:sz w:val="24"/>
        </w:rPr>
        <w:t xml:space="preserve">оперативно, стратегическо </w:t>
      </w:r>
      <w:r>
        <w:rPr>
          <w:rFonts w:ascii="Times New Roman" w:hAnsi="Times New Roman"/>
          <w:noProof/>
          <w:sz w:val="24"/>
        </w:rPr>
        <w:t xml:space="preserve">равнище и на равнище </w:t>
      </w:r>
      <w:r>
        <w:rPr>
          <w:rFonts w:ascii="Times New Roman" w:hAnsi="Times New Roman"/>
          <w:b/>
          <w:noProof/>
          <w:sz w:val="24"/>
        </w:rPr>
        <w:t>мониторинг</w:t>
      </w:r>
      <w:r>
        <w:rPr>
          <w:rFonts w:ascii="Times New Roman" w:hAnsi="Times New Roman"/>
          <w:noProof/>
          <w:sz w:val="24"/>
        </w:rPr>
        <w:t xml:space="preserve">. </w:t>
      </w:r>
    </w:p>
    <w:p w:rsidR="00B80DCD" w:rsidRDefault="005A5274">
      <w:pPr>
        <w:pStyle w:val="Body"/>
        <w:spacing w:before="240"/>
        <w:jc w:val="both"/>
        <w:rPr>
          <w:rFonts w:ascii="Times New Roman" w:hAnsi="Times New Roman" w:cs="Times New Roman"/>
          <w:noProof/>
          <w:sz w:val="24"/>
          <w:szCs w:val="24"/>
        </w:rPr>
      </w:pPr>
      <w:r>
        <w:rPr>
          <w:rFonts w:ascii="Times New Roman" w:hAnsi="Times New Roman" w:cs="Times New Roman"/>
          <w:b/>
          <w:noProof/>
          <w:sz w:val="24"/>
          <w:szCs w:val="24"/>
        </w:rPr>
        <w:t>Ратифицирането на всички съответни международни и регионални инструменти</w:t>
      </w:r>
      <w:r>
        <w:rPr>
          <w:rFonts w:ascii="Times New Roman" w:hAnsi="Times New Roman" w:cs="Times New Roman"/>
          <w:noProof/>
          <w:sz w:val="24"/>
          <w:szCs w:val="24"/>
        </w:rPr>
        <w:t xml:space="preserve"> от страна на държавите членки може да допринесе за ефективността и последователността на съвместните усилия. В това отношение е необходимо да се насърчава </w:t>
      </w:r>
      <w:r>
        <w:rPr>
          <w:rFonts w:ascii="Times New Roman" w:hAnsi="Times New Roman" w:cs="Times New Roman"/>
          <w:b/>
          <w:noProof/>
          <w:sz w:val="24"/>
          <w:szCs w:val="24"/>
        </w:rPr>
        <w:t>укрепването на международното сътрудничество</w:t>
      </w:r>
      <w:r>
        <w:rPr>
          <w:rFonts w:ascii="Times New Roman" w:hAnsi="Times New Roman" w:cs="Times New Roman"/>
          <w:noProof/>
          <w:sz w:val="24"/>
          <w:szCs w:val="24"/>
        </w:rPr>
        <w:t xml:space="preserve"> във връзка с обмена на информация, събирането на данни,</w:t>
      </w:r>
      <w:r>
        <w:rPr>
          <w:rFonts w:ascii="Times New Roman" w:hAnsi="Times New Roman" w:cs="Times New Roman"/>
          <w:noProof/>
          <w:sz w:val="24"/>
          <w:szCs w:val="24"/>
        </w:rPr>
        <w:t xml:space="preserve"> проучванията, нуждата от мониторинг и оценка, за да се постигне максимален ефект от действията и да се избегне дублиране на усилията, както и с цел облекчаване на административната тежест за държавите членки.</w:t>
      </w:r>
    </w:p>
    <w:p w:rsidR="00B80DCD" w:rsidRDefault="005A5274">
      <w:pPr>
        <w:pStyle w:val="Body"/>
        <w:pBdr>
          <w:top w:val="single" w:sz="4" w:space="1" w:color="auto"/>
          <w:left w:val="single" w:sz="4" w:space="1" w:color="auto"/>
          <w:bottom w:val="single" w:sz="4" w:space="1" w:color="auto"/>
          <w:right w:val="single" w:sz="4" w:space="1" w:color="auto"/>
        </w:pBdr>
        <w:spacing w:before="240"/>
        <w:jc w:val="both"/>
        <w:rPr>
          <w:rFonts w:ascii="Times New Roman" w:eastAsia="Times New Roman" w:hAnsi="Times New Roman" w:cs="Times New Roman"/>
          <w:noProof/>
          <w:sz w:val="24"/>
          <w:szCs w:val="24"/>
        </w:rPr>
      </w:pPr>
      <w:r>
        <w:rPr>
          <w:rFonts w:ascii="Times New Roman" w:hAnsi="Times New Roman"/>
          <w:noProof/>
          <w:sz w:val="24"/>
        </w:rPr>
        <w:t>Приемането на Директивата за борба с трафика н</w:t>
      </w:r>
      <w:r>
        <w:rPr>
          <w:rFonts w:ascii="Times New Roman" w:hAnsi="Times New Roman"/>
          <w:noProof/>
          <w:sz w:val="24"/>
        </w:rPr>
        <w:t>а хора и процесът по транспонирането на национално равнище</w:t>
      </w:r>
      <w:r>
        <w:rPr>
          <w:rStyle w:val="FootnoteReference"/>
          <w:rFonts w:ascii="Times New Roman" w:hAnsi="Times New Roman"/>
          <w:noProof/>
          <w:sz w:val="24"/>
        </w:rPr>
        <w:footnoteReference w:id="44"/>
      </w:r>
      <w:r>
        <w:rPr>
          <w:rFonts w:ascii="Times New Roman" w:hAnsi="Times New Roman"/>
          <w:noProof/>
          <w:sz w:val="24"/>
        </w:rPr>
        <w:t xml:space="preserve"> дадоха важен тласък за повишаването на осведомеността относно мащаба на това явление в ЕС, и за нуждата от справяне с него посредством широка гама от инструменти, свързани с предотвратяването, защ</w:t>
      </w:r>
      <w:r>
        <w:rPr>
          <w:rFonts w:ascii="Times New Roman" w:hAnsi="Times New Roman"/>
          <w:noProof/>
          <w:sz w:val="24"/>
        </w:rPr>
        <w:t xml:space="preserve">итата и наказателното преследване. В крайна сметка, с </w:t>
      </w:r>
      <w:r>
        <w:rPr>
          <w:rFonts w:ascii="Times New Roman" w:hAnsi="Times New Roman"/>
          <w:b/>
          <w:noProof/>
          <w:sz w:val="24"/>
        </w:rPr>
        <w:t>прилагането на директивата на ЕС — точно и в пълна степен — държавите членки ще гарантират предотвратяването на този вид престъпност, преследването на извършителите и най-важното — защитата на жертвите.</w:t>
      </w:r>
    </w:p>
    <w:p w:rsidR="00B80DCD" w:rsidRDefault="005A5274">
      <w:pPr>
        <w:pStyle w:val="Body"/>
        <w:spacing w:before="240"/>
        <w:jc w:val="both"/>
        <w:rPr>
          <w:rFonts w:ascii="Times New Roman" w:eastAsia="Times New Roman" w:hAnsi="Times New Roman" w:cs="Times New Roman"/>
          <w:noProof/>
          <w:sz w:val="24"/>
          <w:szCs w:val="24"/>
        </w:rPr>
      </w:pPr>
      <w:r>
        <w:rPr>
          <w:rFonts w:ascii="Times New Roman" w:hAnsi="Times New Roman"/>
          <w:noProof/>
          <w:sz w:val="24"/>
        </w:rPr>
        <w:t>Комисията ще продължи работата по координиран и последователен отговор за справяне с трафика на хора. До края на 2016 г. Комисията ще публикува два допълнителни доклада, в съответствие с изискването по член 23 от Директивата за борба с трафика на хора, въ</w:t>
      </w:r>
      <w:r>
        <w:rPr>
          <w:rFonts w:ascii="Times New Roman" w:hAnsi="Times New Roman"/>
          <w:noProof/>
          <w:sz w:val="24"/>
        </w:rPr>
        <w:t>в връзка със съблюдаването и криминализирането, както и стратегия относно трафика на хора за периода след 2016 г.</w:t>
      </w:r>
    </w:p>
    <w:sectPr w:rsidR="00B80DCD">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CD" w:rsidRDefault="005A5274">
      <w:r>
        <w:separator/>
      </w:r>
    </w:p>
  </w:endnote>
  <w:endnote w:type="continuationSeparator" w:id="0">
    <w:p w:rsidR="00B80DCD" w:rsidRDefault="005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74" w:rsidRDefault="005A5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CD" w:rsidRDefault="005A5274">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74" w:rsidRDefault="005A52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CD" w:rsidRDefault="00B80D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CD" w:rsidRDefault="005A5274">
    <w:pPr>
      <w:pStyle w:val="Footer"/>
      <w:tabs>
        <w:tab w:val="clear" w:pos="9072"/>
        <w:tab w:val="right" w:pos="9046"/>
      </w:tabs>
      <w:jc w:val="center"/>
    </w:pPr>
    <w:r>
      <w:fldChar w:fldCharType="begin"/>
    </w:r>
    <w:r>
      <w:instrText xml:space="preserve"> PAGE </w:instrText>
    </w:r>
    <w:r>
      <w:fldChar w:fldCharType="separate"/>
    </w:r>
    <w:r>
      <w:rPr>
        <w:noProof/>
      </w:rPr>
      <w:t>18</w:t>
    </w:r>
    <w:r>
      <w:fldChar w:fldCharType="end"/>
    </w:r>
  </w:p>
  <w:p w:rsidR="00B80DCD" w:rsidRDefault="00B80DCD">
    <w:pPr>
      <w:pStyle w:val="Footer"/>
      <w:tabs>
        <w:tab w:val="clear" w:pos="9072"/>
        <w:tab w:val="right" w:pos="904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CD" w:rsidRDefault="00B80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CD" w:rsidRDefault="005A5274">
      <w:r>
        <w:separator/>
      </w:r>
    </w:p>
  </w:footnote>
  <w:footnote w:type="continuationSeparator" w:id="0">
    <w:p w:rsidR="00B80DCD" w:rsidRDefault="005A5274">
      <w:r>
        <w:continuationSeparator/>
      </w:r>
    </w:p>
  </w:footnote>
  <w:footnote w:type="continuationNotice" w:id="1">
    <w:p w:rsidR="00B80DCD" w:rsidRDefault="00B80DCD"/>
  </w:footnote>
  <w:footnote w:id="2">
    <w:p w:rsidR="00B80DCD" w:rsidRDefault="005A5274">
      <w:pPr>
        <w:pStyle w:val="FootnoteText"/>
        <w:rPr>
          <w:lang w:val="en-GB"/>
        </w:rPr>
      </w:pPr>
      <w:r>
        <w:rPr>
          <w:vertAlign w:val="superscript"/>
        </w:rPr>
        <w:footnoteRef/>
      </w:r>
      <w:r>
        <w:rPr>
          <w:vertAlign w:val="superscript"/>
        </w:rPr>
        <w:t xml:space="preserve"> </w:t>
      </w:r>
      <w:r>
        <w:tab/>
      </w:r>
      <w:hyperlink r:id="rId1">
        <w:r>
          <w:rPr>
            <w:rStyle w:val="Hyperlink0"/>
            <w:rFonts w:eastAsia="Calibri"/>
          </w:rPr>
          <w:t>http://eur-lex.europa.eu/legal-content/BG/ALL/?uri=CELEX%3A32011L0036</w:t>
        </w:r>
      </w:hyperlink>
    </w:p>
  </w:footnote>
  <w:footnote w:id="3">
    <w:p w:rsidR="00B80DCD" w:rsidRDefault="005A5274">
      <w:pPr>
        <w:pStyle w:val="FootnoteText"/>
        <w:rPr>
          <w:lang w:val="en-GB"/>
        </w:rPr>
      </w:pPr>
      <w:r>
        <w:rPr>
          <w:vertAlign w:val="superscript"/>
        </w:rPr>
        <w:footnoteRef/>
      </w:r>
      <w:r>
        <w:t xml:space="preserve"> </w:t>
      </w:r>
      <w:r>
        <w:tab/>
      </w:r>
      <w:hyperlink r:id="rId2">
        <w:r>
          <w:rPr>
            <w:rStyle w:val="Hyperlink0"/>
            <w:rFonts w:eastAsia="Calibri"/>
          </w:rPr>
          <w:t>https://ec.europa.eu/anti-trafficking/eu-anti-trafficking-coordinator_en</w:t>
        </w:r>
      </w:hyperlink>
      <w:r>
        <w:t xml:space="preserve"> </w:t>
      </w:r>
    </w:p>
  </w:footnote>
  <w:footnote w:id="4">
    <w:p w:rsidR="00B80DCD" w:rsidRDefault="005A5274">
      <w:pPr>
        <w:pStyle w:val="FootnoteText"/>
        <w:rPr>
          <w:lang w:val="en-GB"/>
        </w:rPr>
      </w:pPr>
      <w:r>
        <w:rPr>
          <w:vertAlign w:val="superscript"/>
        </w:rPr>
        <w:footnoteRef/>
      </w:r>
      <w:r>
        <w:t xml:space="preserve"> </w:t>
      </w:r>
      <w:r>
        <w:tab/>
      </w:r>
      <w:r>
        <w:rPr>
          <w:rFonts w:cs="Times New Roman"/>
          <w:lang w:val="en-GB"/>
        </w:rPr>
        <w:t>SWD(2016) 159</w:t>
      </w:r>
      <w:r>
        <w:rPr>
          <w:i/>
        </w:rPr>
        <w:t>.</w:t>
      </w:r>
    </w:p>
  </w:footnote>
  <w:footnote w:id="5">
    <w:p w:rsidR="00B80DCD" w:rsidRDefault="005A5274">
      <w:pPr>
        <w:pStyle w:val="FootnoteText"/>
        <w:rPr>
          <w:lang w:val="en-GB"/>
        </w:rPr>
      </w:pPr>
      <w:r>
        <w:rPr>
          <w:vertAlign w:val="superscript"/>
        </w:rPr>
        <w:footnoteRef/>
      </w:r>
      <w:r>
        <w:rPr>
          <w:vertAlign w:val="superscript"/>
        </w:rPr>
        <w:t xml:space="preserve"> </w:t>
      </w:r>
      <w:r>
        <w:tab/>
      </w:r>
      <w:hyperlink r:id="rId3">
        <w:r>
          <w:rPr>
            <w:rStyle w:val="Hyperlink0"/>
            <w:rFonts w:eastAsia="Calibri"/>
          </w:rPr>
          <w:t>http://eur-lex.europa.eu/legal-content/BG/ALL/?uri=CELEX%3A52012DC0286</w:t>
        </w:r>
      </w:hyperlink>
    </w:p>
  </w:footnote>
  <w:footnote w:id="6">
    <w:p w:rsidR="00B80DCD" w:rsidRDefault="005A5274">
      <w:pPr>
        <w:pStyle w:val="FootnoteText"/>
        <w:rPr>
          <w:rFonts w:cs="Times New Roman"/>
          <w:u w:val="single"/>
          <w:lang w:val="en-GB"/>
        </w:rPr>
      </w:pPr>
      <w:r>
        <w:rPr>
          <w:rStyle w:val="FootnoteReference"/>
        </w:rPr>
        <w:footnoteRef/>
      </w:r>
      <w:r>
        <w:tab/>
      </w:r>
      <w:hyperlink r:id="rId4">
        <w:r>
          <w:rPr>
            <w:rStyle w:val="Hyperlink0"/>
            <w:rFonts w:eastAsia="Calibri"/>
          </w:rPr>
          <w:t>http://ec.europa.eu/dgs/home-affairs/what-we-do/policies/european-agend</w:t>
        </w:r>
        <w:r>
          <w:rPr>
            <w:rStyle w:val="Hyperlink0"/>
            <w:rFonts w:eastAsia="Calibri"/>
          </w:rPr>
          <w:t>a-migration/background-information/docs/communication_on_the_european_agenda_on_migration_bg.pdf</w:t>
        </w:r>
      </w:hyperlink>
    </w:p>
  </w:footnote>
  <w:footnote w:id="7">
    <w:p w:rsidR="00B80DCD" w:rsidRDefault="005A5274">
      <w:pPr>
        <w:pStyle w:val="FootnoteText"/>
        <w:rPr>
          <w:rFonts w:cs="Times New Roman"/>
          <w:lang w:val="en-GB"/>
        </w:rPr>
      </w:pPr>
      <w:r>
        <w:rPr>
          <w:rStyle w:val="FootnoteReference"/>
        </w:rPr>
        <w:footnoteRef/>
      </w:r>
      <w:r>
        <w:rPr>
          <w:rStyle w:val="Hyperlink0"/>
          <w:rFonts w:eastAsia="Calibri"/>
          <w:u w:val="none"/>
        </w:rPr>
        <w:t xml:space="preserve"> </w:t>
      </w:r>
      <w:r>
        <w:tab/>
      </w:r>
      <w:hyperlink r:id="rId5">
        <w:r>
          <w:rPr>
            <w:rStyle w:val="Hyperlink0"/>
            <w:rFonts w:eastAsia="Calibri"/>
          </w:rPr>
          <w:t>http://eur-lex.europa.eu/legal-content</w:t>
        </w:r>
        <w:r>
          <w:rPr>
            <w:rStyle w:val="Hyperlink0"/>
            <w:rFonts w:eastAsia="Calibri"/>
          </w:rPr>
          <w:t>/BG/TXT/PDF/?uri=CELEX:52015DC0185&amp;qid=1453036176480&amp;from=BG</w:t>
        </w:r>
      </w:hyperlink>
      <w:r>
        <w:t xml:space="preserve"> </w:t>
      </w:r>
    </w:p>
  </w:footnote>
  <w:footnote w:id="8">
    <w:p w:rsidR="00B80DCD" w:rsidRDefault="005A5274">
      <w:pPr>
        <w:pStyle w:val="FootnoteText"/>
        <w:rPr>
          <w:rFonts w:cs="Times New Roman"/>
          <w:lang w:val="en-GB"/>
        </w:rPr>
      </w:pPr>
      <w:r>
        <w:rPr>
          <w:rStyle w:val="FootnoteReference"/>
        </w:rPr>
        <w:footnoteRef/>
      </w:r>
      <w:r>
        <w:t xml:space="preserve"> </w:t>
      </w:r>
      <w:r>
        <w:tab/>
      </w:r>
      <w:hyperlink r:id="rId6">
        <w:r>
          <w:rPr>
            <w:rStyle w:val="Hyperlink0"/>
            <w:rFonts w:eastAsia="Calibri"/>
          </w:rPr>
          <w:t>http://ec.europa.eu/dgs/home-affairs/e</w:t>
        </w:r>
        <w:r>
          <w:rPr>
            <w:rStyle w:val="Hyperlink0"/>
            <w:rFonts w:eastAsia="Calibri"/>
          </w:rPr>
          <w:t>-library/documents/policies/asylum/general/docs/eu_action_plan_against_migrant_smuggling_bg.pdf</w:t>
        </w:r>
      </w:hyperlink>
    </w:p>
  </w:footnote>
  <w:footnote w:id="9">
    <w:p w:rsidR="00B80DCD" w:rsidRDefault="005A5274">
      <w:pPr>
        <w:pStyle w:val="FootnoteText"/>
        <w:rPr>
          <w:rFonts w:cs="Times New Roman"/>
        </w:rPr>
      </w:pPr>
      <w:r>
        <w:rPr>
          <w:rStyle w:val="FootnoteReference"/>
        </w:rPr>
        <w:footnoteRef/>
      </w:r>
      <w:r>
        <w:t xml:space="preserve"> </w:t>
      </w:r>
      <w:r>
        <w:tab/>
      </w:r>
      <w:hyperlink r:id="rId7">
        <w:r>
          <w:rPr>
            <w:rStyle w:val="Hyperlink0"/>
            <w:rFonts w:eastAsia="Calibri"/>
          </w:rPr>
          <w:t>https://ec.euro</w:t>
        </w:r>
        <w:r>
          <w:rPr>
            <w:rStyle w:val="Hyperlink0"/>
            <w:rFonts w:eastAsia="Calibri"/>
          </w:rPr>
          <w:t>pa.eu/anti-trafficking/sites/antitrafficking/files/joint_communication_on_human_rights_and_democracy_en.pdf</w:t>
        </w:r>
      </w:hyperlink>
      <w:r>
        <w:t xml:space="preserve"> </w:t>
      </w:r>
    </w:p>
  </w:footnote>
  <w:footnote w:id="10">
    <w:p w:rsidR="00B80DCD" w:rsidRDefault="005A5274">
      <w:pPr>
        <w:pStyle w:val="FootnoteText"/>
        <w:rPr>
          <w:rFonts w:cs="Times New Roman"/>
        </w:rPr>
      </w:pPr>
      <w:r>
        <w:rPr>
          <w:rStyle w:val="FootnoteReference"/>
        </w:rPr>
        <w:footnoteRef/>
      </w:r>
      <w:r>
        <w:t xml:space="preserve"> </w:t>
      </w:r>
      <w:r>
        <w:tab/>
      </w:r>
      <w:hyperlink r:id="rId8">
        <w:r>
          <w:rPr>
            <w:rStyle w:val="Hyperlink0"/>
            <w:rFonts w:eastAsia="Calibri"/>
          </w:rPr>
          <w:t>http://ec.europa.eu/e</w:t>
        </w:r>
        <w:r>
          <w:rPr>
            <w:rStyle w:val="Hyperlink0"/>
            <w:rFonts w:eastAsia="Calibri"/>
          </w:rPr>
          <w:t>uropeaid/sites/devco/files/staff-working-document-gender-2016-2020-20150922_en.pdf</w:t>
        </w:r>
      </w:hyperlink>
      <w:r>
        <w:t xml:space="preserve"> </w:t>
      </w:r>
    </w:p>
  </w:footnote>
  <w:footnote w:id="11">
    <w:p w:rsidR="00B80DCD" w:rsidRDefault="005A5274">
      <w:pPr>
        <w:pStyle w:val="FootnoteText"/>
        <w:rPr>
          <w:rFonts w:cs="Times New Roman"/>
        </w:rPr>
      </w:pPr>
      <w:r>
        <w:rPr>
          <w:rStyle w:val="FootnoteReference"/>
        </w:rPr>
        <w:footnoteRef/>
      </w:r>
      <w:r>
        <w:t xml:space="preserve"> </w:t>
      </w:r>
      <w:r>
        <w:tab/>
      </w:r>
      <w:hyperlink r:id="rId9">
        <w:r>
          <w:rPr>
            <w:rStyle w:val="Hyperlink0"/>
            <w:rFonts w:eastAsia="Calibri"/>
          </w:rPr>
          <w:t>http://ec.europa.eu/europeaid/sites/devco/file</w:t>
        </w:r>
        <w:r>
          <w:rPr>
            <w:rStyle w:val="Hyperlink0"/>
            <w:rFonts w:eastAsia="Calibri"/>
          </w:rPr>
          <w:t>s/staff-working-document-gender-2016-2020-20150922_en.pdf</w:t>
        </w:r>
      </w:hyperlink>
      <w:r>
        <w:t xml:space="preserve"> </w:t>
      </w:r>
    </w:p>
  </w:footnote>
  <w:footnote w:id="12">
    <w:p w:rsidR="00B80DCD" w:rsidRDefault="005A5274">
      <w:pPr>
        <w:pStyle w:val="FootnoteText"/>
        <w:rPr>
          <w:rFonts w:cs="Times New Roman"/>
        </w:rPr>
      </w:pPr>
      <w:r>
        <w:rPr>
          <w:vertAlign w:val="superscript"/>
        </w:rPr>
        <w:footnoteRef/>
      </w:r>
      <w:r>
        <w:t xml:space="preserve"> </w:t>
      </w:r>
      <w:r>
        <w:tab/>
        <w:t xml:space="preserve">Цялата информация за платформата на гражданското общество в ЕС е на разположение на посветения на темата уебсайт на Комисията: </w:t>
      </w:r>
      <w:hyperlink r:id="rId10">
        <w:r>
          <w:rPr>
            <w:rStyle w:val="Hyperlink0"/>
            <w:rFonts w:eastAsia="Calibri"/>
          </w:rPr>
          <w:t>http://ec.</w:t>
        </w:r>
        <w:r>
          <w:rPr>
            <w:rStyle w:val="Hyperlink0"/>
            <w:rFonts w:eastAsia="Calibri"/>
          </w:rPr>
          <w:t>europa.eu/anti-trafficking/</w:t>
        </w:r>
      </w:hyperlink>
    </w:p>
  </w:footnote>
  <w:footnote w:id="13">
    <w:p w:rsidR="00B80DCD" w:rsidRDefault="005A5274">
      <w:pPr>
        <w:pStyle w:val="FootnoteText"/>
      </w:pPr>
      <w:r>
        <w:rPr>
          <w:vertAlign w:val="superscript"/>
        </w:rPr>
        <w:footnoteRef/>
      </w:r>
      <w:r>
        <w:t xml:space="preserve"> </w:t>
      </w:r>
      <w:r>
        <w:tab/>
        <w:t>През декември 2015 г. до държавите членки беше изпратено конкретно искане за предоставяне на статистически данни за 2013 г. и 2014 г.</w:t>
      </w:r>
    </w:p>
  </w:footnote>
  <w:footnote w:id="14">
    <w:p w:rsidR="00B80DCD" w:rsidRDefault="005A5274">
      <w:pPr>
        <w:pStyle w:val="FootnoteText"/>
      </w:pPr>
      <w:r>
        <w:rPr>
          <w:vertAlign w:val="superscript"/>
        </w:rPr>
        <w:footnoteRef/>
      </w:r>
      <w:r>
        <w:t xml:space="preserve"> </w:t>
      </w:r>
      <w:r>
        <w:tab/>
      </w:r>
      <w:hyperlink r:id="rId11">
        <w:r>
          <w:rPr>
            <w:rStyle w:val="Hyperlink0"/>
            <w:rFonts w:eastAsia="Calibri"/>
          </w:rPr>
          <w:t>https://ec.europa.eu/anti-trafficking/sites/antitrafficking/files/eurostat_report_on_trafficking_in_human_beings_-_2015_edition.pdf</w:t>
        </w:r>
      </w:hyperlink>
      <w:r>
        <w:t xml:space="preserve"> </w:t>
      </w:r>
    </w:p>
  </w:footnote>
  <w:footnote w:id="15">
    <w:p w:rsidR="00B80DCD" w:rsidRDefault="005A5274">
      <w:pPr>
        <w:pStyle w:val="FootnoteText"/>
      </w:pPr>
      <w:r>
        <w:rPr>
          <w:vertAlign w:val="superscript"/>
        </w:rPr>
        <w:footnoteRef/>
      </w:r>
      <w:r>
        <w:t xml:space="preserve"> </w:t>
      </w:r>
      <w:r>
        <w:tab/>
        <w:t>Данните, събрани за доклада, са част от междинно и опрост</w:t>
      </w:r>
      <w:r>
        <w:t>ено проучване, проведено след публикуването на двата работни документа на Евростат относно трафика на хора и преди събирането на всякакви други бъдещи официални данни. За повече информация относно начина, по който Комисията събира данни за трафика на хора,</w:t>
      </w:r>
      <w:r>
        <w:t xml:space="preserve"> моля, вж. статистическия работен документ на Евростат, „Трафикът на хора“, издание от 2015 г.</w:t>
      </w:r>
    </w:p>
  </w:footnote>
  <w:footnote w:id="16">
    <w:p w:rsidR="00B80DCD" w:rsidRDefault="005A5274">
      <w:pPr>
        <w:pStyle w:val="FootnoteText"/>
      </w:pPr>
      <w:r>
        <w:rPr>
          <w:rStyle w:val="FootnoteReference"/>
        </w:rPr>
        <w:footnoteRef/>
      </w:r>
      <w:r>
        <w:t xml:space="preserve"> </w:t>
      </w:r>
      <w:r>
        <w:tab/>
        <w:t>В съответствие с определението в Директивата за борба с трафика на хора, терминът „идентифицирана жертва“ се отнася до лице, което е било официално идентифици</w:t>
      </w:r>
      <w:r>
        <w:t xml:space="preserve">рано от съответните органи като жертва на трафик. Терминът „предполагаема жертва“ се използва за жертва на трафик, която отговаря на критериите на директивата на ЕС, но не е идентифицирана официално от съответните официални органи като жертва, или която е </w:t>
      </w:r>
      <w:r>
        <w:t>отказала да бъде официално и правно идентифицирана като жертва на трафик. Някои държави членки са включили и двете категории в събирането на данни, докато други са включили само една от двете категории.</w:t>
      </w:r>
    </w:p>
  </w:footnote>
  <w:footnote w:id="17">
    <w:p w:rsidR="00B80DCD" w:rsidRDefault="005A5274">
      <w:pPr>
        <w:pStyle w:val="FootnoteText"/>
      </w:pPr>
      <w:r>
        <w:rPr>
          <w:rStyle w:val="FootnoteReference"/>
        </w:rPr>
        <w:footnoteRef/>
      </w:r>
      <w:r>
        <w:t xml:space="preserve"> </w:t>
      </w:r>
      <w:r>
        <w:tab/>
        <w:t>Въз основа на данните, частично разбити по възраст</w:t>
      </w:r>
      <w:r>
        <w:t>, предоставени от държавите членки.</w:t>
      </w:r>
    </w:p>
  </w:footnote>
  <w:footnote w:id="18">
    <w:p w:rsidR="00B80DCD" w:rsidRDefault="005A5274">
      <w:pPr>
        <w:pStyle w:val="FootnoteText"/>
      </w:pPr>
      <w:r>
        <w:rPr>
          <w:rStyle w:val="FootnoteReference"/>
        </w:rPr>
        <w:footnoteRef/>
      </w:r>
      <w:r>
        <w:t xml:space="preserve"> </w:t>
      </w:r>
      <w:r>
        <w:tab/>
      </w:r>
      <w:r>
        <w:t xml:space="preserve">Това число може да включва заподозрени, арестувани лица или лица, на които са повдигнати обвинения за престъпление на национално равнище. За определението вж. метаданните на Евростат за престъпността и наказателното правосъдие в структурата на метаданните </w:t>
      </w:r>
      <w:r>
        <w:t xml:space="preserve">Euro SDMX (ESMS) </w:t>
      </w:r>
      <w:hyperlink r:id="rId12">
        <w:r>
          <w:rPr>
            <w:rStyle w:val="Hyperlink"/>
          </w:rPr>
          <w:t>http://ec.europa.eu/eurostat/cache/metadata/en/crim_esms.htm</w:t>
        </w:r>
      </w:hyperlink>
    </w:p>
  </w:footnote>
  <w:footnote w:id="19">
    <w:p w:rsidR="00B80DCD" w:rsidRDefault="005A5274">
      <w:pPr>
        <w:pStyle w:val="FootnoteText"/>
      </w:pPr>
      <w:r>
        <w:rPr>
          <w:vertAlign w:val="superscript"/>
        </w:rPr>
        <w:footnoteRef/>
      </w:r>
      <w:r>
        <w:t xml:space="preserve"> </w:t>
      </w:r>
      <w:r>
        <w:tab/>
        <w:t>Не всички държави членки са предоставили данни във връзка с наказателния процес. Освен това, въ</w:t>
      </w:r>
      <w:r>
        <w:t xml:space="preserve">преки че повечето държави членки се позовават на отделни лица, някои държави членки се позовават на случаи или престъпления, а не на отделни лица.  </w:t>
      </w:r>
    </w:p>
  </w:footnote>
  <w:footnote w:id="20">
    <w:p w:rsidR="00B80DCD" w:rsidRDefault="005A5274">
      <w:pPr>
        <w:pStyle w:val="FootnoteText"/>
      </w:pPr>
      <w:r>
        <w:rPr>
          <w:vertAlign w:val="superscript"/>
        </w:rPr>
        <w:footnoteRef/>
      </w:r>
      <w:r>
        <w:t xml:space="preserve"> </w:t>
      </w:r>
      <w:r>
        <w:tab/>
        <w:t>Тези констатации са отразени и в „</w:t>
      </w:r>
      <w:hyperlink r:id="rId13">
        <w:r>
          <w:rPr>
            <w:rStyle w:val="Hyperlink0"/>
            <w:rFonts w:eastAsia="Calibri"/>
          </w:rPr>
          <w:t xml:space="preserve">Доклад на Европол за състоянието </w:t>
        </w:r>
      </w:hyperlink>
      <w:r>
        <w:t>:</w:t>
      </w:r>
      <w:hyperlink r:id="rId14">
        <w:r>
          <w:rPr>
            <w:rStyle w:val="Hyperlink0"/>
            <w:rFonts w:eastAsia="Calibri"/>
          </w:rPr>
          <w:t xml:space="preserve"> Трафик на хора в ЕС</w:t>
        </w:r>
      </w:hyperlink>
      <w:r>
        <w:rPr>
          <w:rStyle w:val="Hyperlink0"/>
          <w:rFonts w:eastAsia="Calibri"/>
        </w:rPr>
        <w:t>“</w:t>
      </w:r>
      <w:r>
        <w:t>, февруари 2016 г.</w:t>
      </w:r>
    </w:p>
  </w:footnote>
  <w:footnote w:id="21">
    <w:p w:rsidR="00B80DCD" w:rsidRDefault="005A5274">
      <w:pPr>
        <w:pStyle w:val="FootnoteText"/>
      </w:pPr>
      <w:r>
        <w:rPr>
          <w:vertAlign w:val="superscript"/>
        </w:rPr>
        <w:footnoteRef/>
      </w:r>
      <w:r>
        <w:t xml:space="preserve"> </w:t>
      </w:r>
      <w:r>
        <w:tab/>
        <w:t>Пак там.</w:t>
      </w:r>
    </w:p>
  </w:footnote>
  <w:footnote w:id="22">
    <w:p w:rsidR="00B80DCD" w:rsidRDefault="005A5274">
      <w:pPr>
        <w:pStyle w:val="FootnoteText"/>
      </w:pPr>
      <w:r>
        <w:rPr>
          <w:vertAlign w:val="superscript"/>
        </w:rPr>
        <w:footnoteRef/>
      </w:r>
      <w:r>
        <w:t xml:space="preserve"> </w:t>
      </w:r>
      <w:r>
        <w:tab/>
        <w:t xml:space="preserve">Според държавите членки основните сектори, в които се експлоатират </w:t>
      </w:r>
      <w:r>
        <w:t>жертвите от мъжки пол, са селското стопанство, строителството, хотелиерството и ресторантьорството, производството, както и домакинската работа. Жертвите от женски пол са експлоатирани предимно в сферата на домакинската работа.</w:t>
      </w:r>
    </w:p>
  </w:footnote>
  <w:footnote w:id="23">
    <w:p w:rsidR="00B80DCD" w:rsidRDefault="005A5274">
      <w:pPr>
        <w:pStyle w:val="FootnoteText"/>
        <w:rPr>
          <w:rFonts w:cs="Times New Roman"/>
        </w:rPr>
      </w:pPr>
      <w:r>
        <w:rPr>
          <w:rStyle w:val="FootnoteReference"/>
        </w:rPr>
        <w:footnoteRef/>
      </w:r>
      <w:r>
        <w:t xml:space="preserve"> </w:t>
      </w:r>
      <w:r>
        <w:tab/>
        <w:t>Според доклада на Европол</w:t>
      </w:r>
      <w:r>
        <w:t>: „Доклад за състоянието — трафикът на хора в ЕС“, февруари 2016 г.</w:t>
      </w:r>
    </w:p>
  </w:footnote>
  <w:footnote w:id="24">
    <w:p w:rsidR="00B80DCD" w:rsidRDefault="005A5274">
      <w:pPr>
        <w:pStyle w:val="FootnoteText"/>
      </w:pPr>
      <w:r>
        <w:rPr>
          <w:rStyle w:val="FootnoteReference"/>
        </w:rPr>
        <w:footnoteRef/>
      </w:r>
      <w:r>
        <w:t xml:space="preserve"> </w:t>
      </w:r>
      <w:r>
        <w:tab/>
        <w:t xml:space="preserve">Моля, имайте предвид, че държавите членки използват терминологията по различен начин, но често тя се отнася до сходни явления, особено по отношение на фиктивните бракове и на браковете </w:t>
      </w:r>
      <w:r>
        <w:t>по сметка. За определенията, използвани съгласно правото на ЕС относно свободното движение на гражданите на ЕС, моля, направете справка в Наръчника за предприемане на действия при предполагаеми фиктивни бракове между граждани на ЕС и граждани на трети държ</w:t>
      </w:r>
      <w:r>
        <w:t xml:space="preserve">ави в контекста на правото на ЕС в областта на свободното движение на гражданите на ЕС, SWD(2014) 284, http://ec.europa.eu/justice/citizen/files/swd_2014_284_bg.pdf </w:t>
      </w:r>
    </w:p>
  </w:footnote>
  <w:footnote w:id="25">
    <w:p w:rsidR="00B80DCD" w:rsidRDefault="005A5274">
      <w:pPr>
        <w:pStyle w:val="FootnoteText"/>
      </w:pPr>
      <w:r>
        <w:rPr>
          <w:vertAlign w:val="superscript"/>
        </w:rPr>
        <w:footnoteRef/>
      </w:r>
      <w:r>
        <w:t xml:space="preserve"> </w:t>
      </w:r>
      <w:r>
        <w:tab/>
        <w:t>Доклад на Европол за състоянието: „Трафик на хора в ЕС“, февруари 2016 г.</w:t>
      </w:r>
    </w:p>
  </w:footnote>
  <w:footnote w:id="26">
    <w:p w:rsidR="00B80DCD" w:rsidRDefault="005A5274">
      <w:pPr>
        <w:pStyle w:val="FootnoteText"/>
        <w:rPr>
          <w:rFonts w:cs="Times New Roman"/>
        </w:rPr>
      </w:pPr>
      <w:r>
        <w:rPr>
          <w:vertAlign w:val="superscript"/>
        </w:rPr>
        <w:footnoteRef/>
      </w:r>
      <w:r>
        <w:t xml:space="preserve"> </w:t>
      </w:r>
      <w:r>
        <w:tab/>
        <w:t>Информация</w:t>
      </w:r>
      <w:r>
        <w:t xml:space="preserve"> за възрастта е била налична само за 13 841 от 15 846 регистрирани жертви. Поради това действителната цифра може да е по-висока.</w:t>
      </w:r>
    </w:p>
  </w:footnote>
  <w:footnote w:id="27">
    <w:p w:rsidR="00B80DCD" w:rsidRDefault="005A5274">
      <w:pPr>
        <w:pStyle w:val="FootnoteText"/>
        <w:rPr>
          <w:rFonts w:cs="Times New Roman"/>
        </w:rPr>
      </w:pPr>
      <w:r>
        <w:rPr>
          <w:vertAlign w:val="superscript"/>
        </w:rPr>
        <w:footnoteRef/>
      </w:r>
      <w:r>
        <w:t xml:space="preserve"> </w:t>
      </w:r>
      <w:r>
        <w:tab/>
      </w:r>
      <w:hyperlink r:id="rId15">
        <w:r>
          <w:rPr>
            <w:rStyle w:val="Hyperlink0"/>
            <w:rFonts w:eastAsia="Calibri"/>
          </w:rPr>
          <w:t>Europol</w:t>
        </w:r>
        <w:r>
          <w:rPr>
            <w:rStyle w:val="Hyperlink0"/>
            <w:rFonts w:eastAsia="Calibri"/>
          </w:rPr>
          <w:t>, Intelligence Notification, Child trafficking for exploitation in forced criminal activities, 2014 („Европол, Уведомление за данни, Трафик на деца с цел експлоатация в принудителни престъпни дейности“, 2014 г.</w:t>
        </w:r>
      </w:hyperlink>
    </w:p>
  </w:footnote>
  <w:footnote w:id="28">
    <w:p w:rsidR="00B80DCD" w:rsidRDefault="005A5274">
      <w:pPr>
        <w:pStyle w:val="FootnoteText"/>
        <w:rPr>
          <w:rFonts w:cs="Times New Roman"/>
        </w:rPr>
      </w:pPr>
      <w:r>
        <w:rPr>
          <w:rStyle w:val="FootnoteReference"/>
        </w:rPr>
        <w:footnoteRef/>
      </w:r>
      <w:r>
        <w:t xml:space="preserve"> </w:t>
      </w:r>
      <w:r>
        <w:tab/>
        <w:t xml:space="preserve">Агенция на ООН за бежанците, </w:t>
      </w:r>
      <w:hyperlink r:id="rId16" w:history="1">
        <w:r>
          <w:rPr>
            <w:rStyle w:val="Hyperlink1"/>
            <w:rFonts w:eastAsia="Calibri"/>
            <w:lang w:val="pt-PT"/>
          </w:rPr>
          <w:t>http</w:t>
        </w:r>
        <w:r>
          <w:rPr>
            <w:rStyle w:val="Hyperlink1"/>
            <w:rFonts w:eastAsia="Calibri"/>
          </w:rPr>
          <w:t>://</w:t>
        </w:r>
        <w:r>
          <w:rPr>
            <w:rStyle w:val="Hyperlink1"/>
            <w:rFonts w:eastAsia="Calibri"/>
            <w:lang w:val="pt-PT"/>
          </w:rPr>
          <w:t>data</w:t>
        </w:r>
        <w:r>
          <w:rPr>
            <w:rStyle w:val="Hyperlink1"/>
            <w:rFonts w:eastAsia="Calibri"/>
          </w:rPr>
          <w:t>.</w:t>
        </w:r>
        <w:r>
          <w:rPr>
            <w:rStyle w:val="Hyperlink1"/>
            <w:rFonts w:eastAsia="Calibri"/>
            <w:lang w:val="pt-PT"/>
          </w:rPr>
          <w:t>unhcr</w:t>
        </w:r>
        <w:r>
          <w:rPr>
            <w:rStyle w:val="Hyperlink1"/>
            <w:rFonts w:eastAsia="Calibri"/>
          </w:rPr>
          <w:t>.</w:t>
        </w:r>
        <w:r>
          <w:rPr>
            <w:rStyle w:val="Hyperlink1"/>
            <w:rFonts w:eastAsia="Calibri"/>
            <w:lang w:val="pt-PT"/>
          </w:rPr>
          <w:t>org</w:t>
        </w:r>
        <w:r>
          <w:rPr>
            <w:rStyle w:val="Hyperlink1"/>
            <w:rFonts w:eastAsia="Calibri"/>
          </w:rPr>
          <w:t>/</w:t>
        </w:r>
        <w:r>
          <w:rPr>
            <w:rStyle w:val="Hyperlink1"/>
            <w:rFonts w:eastAsia="Calibri"/>
            <w:lang w:val="pt-PT"/>
          </w:rPr>
          <w:t>mediterranean</w:t>
        </w:r>
        <w:r>
          <w:rPr>
            <w:rStyle w:val="Hyperlink1"/>
            <w:rFonts w:eastAsia="Calibri"/>
          </w:rPr>
          <w:t>/</w:t>
        </w:r>
        <w:r>
          <w:rPr>
            <w:rStyle w:val="Hyperlink1"/>
            <w:rFonts w:eastAsia="Calibri"/>
            <w:lang w:val="pt-PT"/>
          </w:rPr>
          <w:t>regional</w:t>
        </w:r>
        <w:r>
          <w:rPr>
            <w:rStyle w:val="Hyperlink1"/>
            <w:rFonts w:eastAsia="Calibri"/>
          </w:rPr>
          <w:t>.</w:t>
        </w:r>
        <w:r>
          <w:rPr>
            <w:rStyle w:val="Hyperlink1"/>
            <w:rFonts w:eastAsia="Calibri"/>
            <w:lang w:val="pt-PT"/>
          </w:rPr>
          <w:t>php</w:t>
        </w:r>
      </w:hyperlink>
      <w:r>
        <w:t>, 22.12.2015 г.</w:t>
      </w:r>
    </w:p>
  </w:footnote>
  <w:footnote w:id="29">
    <w:p w:rsidR="00B80DCD" w:rsidRDefault="005A5274">
      <w:pPr>
        <w:pStyle w:val="FootnoteText"/>
        <w:rPr>
          <w:rFonts w:cs="Times New Roman"/>
        </w:rPr>
      </w:pPr>
      <w:r>
        <w:rPr>
          <w:vertAlign w:val="superscript"/>
        </w:rPr>
        <w:footnoteRef/>
      </w:r>
      <w:r>
        <w:t xml:space="preserve"> </w:t>
      </w:r>
      <w:r>
        <w:tab/>
        <w:t xml:space="preserve">Пак там. </w:t>
      </w:r>
    </w:p>
  </w:footnote>
  <w:footnote w:id="30">
    <w:p w:rsidR="00B80DCD" w:rsidRDefault="005A5274">
      <w:pPr>
        <w:pStyle w:val="FootnoteText"/>
        <w:rPr>
          <w:rFonts w:cs="Times New Roman"/>
        </w:rPr>
      </w:pPr>
      <w:r>
        <w:rPr>
          <w:rStyle w:val="FootnoteReference"/>
        </w:rPr>
        <w:footnoteRef/>
      </w:r>
      <w:r>
        <w:t xml:space="preserve"> </w:t>
      </w:r>
      <w:r>
        <w:tab/>
        <w:t xml:space="preserve">За повече информация, моля, вж. проучването на Комисията относно високорисковите групи </w:t>
      </w:r>
      <w:hyperlink r:id="rId17">
        <w:r>
          <w:rPr>
            <w:rStyle w:val="Hyperlink1"/>
            <w:rFonts w:eastAsia="Calibri"/>
          </w:rPr>
          <w:t>http://ec.europa.eu/anti-trafficking/sites/antitrafficking/files/study_on_children_as_high_risk_gro</w:t>
        </w:r>
        <w:r>
          <w:rPr>
            <w:rStyle w:val="Hyperlink1"/>
            <w:rFonts w:eastAsia="Calibri"/>
          </w:rPr>
          <w:t>ups_of_trafficking_in_human_beings_0.pdf</w:t>
        </w:r>
      </w:hyperlink>
    </w:p>
  </w:footnote>
  <w:footnote w:id="31">
    <w:p w:rsidR="00B80DCD" w:rsidRDefault="005A5274">
      <w:pPr>
        <w:pStyle w:val="FootnoteText"/>
        <w:rPr>
          <w:rFonts w:cs="Times New Roman"/>
        </w:rPr>
      </w:pPr>
      <w:r>
        <w:rPr>
          <w:rStyle w:val="FootnoteReference"/>
        </w:rPr>
        <w:footnoteRef/>
      </w:r>
      <w:r>
        <w:t xml:space="preserve"> </w:t>
      </w:r>
      <w:r>
        <w:tab/>
        <w:t>Доклад на Европол за състоянието: Трафик на хора в ЕС, февруари 2016 г.</w:t>
      </w:r>
    </w:p>
  </w:footnote>
  <w:footnote w:id="32">
    <w:p w:rsidR="00B80DCD" w:rsidRDefault="005A5274">
      <w:pPr>
        <w:pStyle w:val="FootnoteText"/>
      </w:pPr>
      <w:r>
        <w:rPr>
          <w:vertAlign w:val="superscript"/>
        </w:rPr>
        <w:footnoteRef/>
      </w:r>
      <w:r>
        <w:t xml:space="preserve"> </w:t>
      </w:r>
      <w:r>
        <w:tab/>
        <w:t xml:space="preserve">Пак там. </w:t>
      </w:r>
    </w:p>
  </w:footnote>
  <w:footnote w:id="33">
    <w:p w:rsidR="00B80DCD" w:rsidRDefault="005A5274">
      <w:pPr>
        <w:pStyle w:val="FootnoteText"/>
      </w:pPr>
      <w:r>
        <w:rPr>
          <w:vertAlign w:val="superscript"/>
        </w:rPr>
        <w:footnoteRef/>
      </w:r>
      <w:r>
        <w:t xml:space="preserve"> </w:t>
      </w:r>
      <w:r>
        <w:tab/>
      </w:r>
      <w:r>
        <w:rPr>
          <w:rStyle w:val="Hyperlink0"/>
          <w:rFonts w:eastAsia="Calibri"/>
        </w:rPr>
        <w:t>http://ec.europa.eu/dgs/home-affairs/what-we-do/policies/european-agenda-migration/proposal-implementation-package/docs/managing_the_refugee_crisis_state_of_play_20160210_bg.pdf</w:t>
      </w:r>
    </w:p>
  </w:footnote>
  <w:footnote w:id="34">
    <w:p w:rsidR="00B80DCD" w:rsidRDefault="005A5274">
      <w:pPr>
        <w:pStyle w:val="FootnoteText"/>
        <w:rPr>
          <w:rFonts w:cs="Times New Roman"/>
        </w:rPr>
      </w:pPr>
      <w:r>
        <w:rPr>
          <w:rStyle w:val="FootnoteReference"/>
        </w:rPr>
        <w:footnoteRef/>
      </w:r>
      <w:r>
        <w:t xml:space="preserve"> </w:t>
      </w:r>
      <w:r>
        <w:tab/>
        <w:t xml:space="preserve">Международна организация по миграция (IOM), Италия </w:t>
      </w:r>
      <w:hyperlink r:id="rId18">
        <w:r>
          <w:rPr>
            <w:rStyle w:val="Hyperlink0"/>
            <w:rFonts w:eastAsia="Calibri"/>
          </w:rPr>
          <w:t>http://www.italy.iom.int/index.php?option=com_content&amp;task=view&amp;id=341&amp;Itemid=46</w:t>
        </w:r>
      </w:hyperlink>
    </w:p>
  </w:footnote>
  <w:footnote w:id="35">
    <w:p w:rsidR="00B80DCD" w:rsidRDefault="005A5274">
      <w:pPr>
        <w:pStyle w:val="Body"/>
        <w:spacing w:after="0"/>
        <w:ind w:left="284" w:hanging="284"/>
        <w:jc w:val="both"/>
        <w:rPr>
          <w:rFonts w:ascii="Times New Roman" w:hAnsi="Times New Roman" w:cs="Times New Roman"/>
          <w:sz w:val="20"/>
          <w:szCs w:val="20"/>
        </w:rPr>
      </w:pPr>
      <w:r>
        <w:rPr>
          <w:rFonts w:ascii="Times New Roman" w:hAnsi="Times New Roman"/>
          <w:sz w:val="20"/>
          <w:vertAlign w:val="superscript"/>
        </w:rPr>
        <w:footnoteRef/>
      </w:r>
      <w:r>
        <w:rPr>
          <w:rFonts w:ascii="Times New Roman" w:hAnsi="Times New Roman"/>
          <w:sz w:val="20"/>
        </w:rPr>
        <w:t xml:space="preserve"> </w:t>
      </w:r>
      <w:r>
        <w:tab/>
      </w:r>
      <w:r>
        <w:rPr>
          <w:rFonts w:ascii="Times New Roman" w:hAnsi="Times New Roman"/>
          <w:sz w:val="20"/>
        </w:rPr>
        <w:t xml:space="preserve">Вж. </w:t>
      </w:r>
      <w:hyperlink r:id="rId19">
        <w:r>
          <w:rPr>
            <w:rStyle w:val="Hyperlink2"/>
            <w:rFonts w:eastAsia="Calibri"/>
          </w:rPr>
          <w:t>Насоки за идентифициране на жертвите на трафик на хора, особено за консулските служби и граничната охрана, Европейска комисия</w:t>
        </w:r>
      </w:hyperlink>
      <w:r>
        <w:rPr>
          <w:rFonts w:ascii="Times New Roman" w:hAnsi="Times New Roman"/>
          <w:sz w:val="20"/>
        </w:rPr>
        <w:t>, Европейска Комисия, 2013 г.</w:t>
      </w:r>
    </w:p>
  </w:footnote>
  <w:footnote w:id="36">
    <w:p w:rsidR="00B80DCD" w:rsidRDefault="005A5274">
      <w:pPr>
        <w:pStyle w:val="FootnoteText"/>
        <w:rPr>
          <w:rFonts w:cs="Times New Roman"/>
        </w:rPr>
      </w:pPr>
      <w:r>
        <w:rPr>
          <w:rStyle w:val="FootnoteReference"/>
        </w:rPr>
        <w:footnoteRef/>
      </w:r>
      <w:r>
        <w:t xml:space="preserve"> </w:t>
      </w:r>
      <w:r>
        <w:tab/>
        <w:t>Този въпрос е разработен в придружаващия работен документ на служб</w:t>
      </w:r>
      <w:r>
        <w:t>ите на Комисията.</w:t>
      </w:r>
    </w:p>
  </w:footnote>
  <w:footnote w:id="37">
    <w:p w:rsidR="00B80DCD" w:rsidRDefault="005A5274">
      <w:pPr>
        <w:pStyle w:val="Body"/>
        <w:spacing w:after="0" w:line="240" w:lineRule="auto"/>
        <w:ind w:left="284" w:hanging="284"/>
        <w:jc w:val="both"/>
        <w:rPr>
          <w:rFonts w:ascii="Times New Roman" w:hAnsi="Times New Roman" w:cs="Times New Roman"/>
          <w:sz w:val="20"/>
          <w:szCs w:val="20"/>
        </w:rPr>
      </w:pPr>
      <w:r>
        <w:rPr>
          <w:rFonts w:ascii="Times New Roman" w:hAnsi="Times New Roman"/>
          <w:sz w:val="20"/>
          <w:vertAlign w:val="superscript"/>
        </w:rPr>
        <w:footnoteRef/>
      </w:r>
      <w:r>
        <w:rPr>
          <w:rFonts w:ascii="Times New Roman" w:hAnsi="Times New Roman"/>
          <w:sz w:val="20"/>
        </w:rPr>
        <w:t xml:space="preserve"> </w:t>
      </w:r>
      <w:r>
        <w:tab/>
      </w:r>
      <w:r>
        <w:rPr>
          <w:rFonts w:ascii="Times New Roman" w:hAnsi="Times New Roman"/>
          <w:sz w:val="20"/>
        </w:rPr>
        <w:t xml:space="preserve">Специалната група за финансови действия (FATF) е междуправителствен орган, създаден през 1989 г. от министрите на членуващите юрисдикции. </w:t>
      </w:r>
    </w:p>
  </w:footnote>
  <w:footnote w:id="38">
    <w:p w:rsidR="00B80DCD" w:rsidRDefault="005A5274">
      <w:pPr>
        <w:pStyle w:val="FootnoteText"/>
      </w:pPr>
      <w:r>
        <w:rPr>
          <w:vertAlign w:val="superscript"/>
        </w:rPr>
        <w:footnoteRef/>
      </w:r>
      <w:r>
        <w:t xml:space="preserve"> </w:t>
      </w:r>
      <w:r>
        <w:tab/>
        <w:t>В периода между 2008 г. и 2011 г. всички държави — членки на ЕС, бяха подложени на оценка във</w:t>
      </w:r>
      <w:r>
        <w:t xml:space="preserve"> връзка с финансовите престъпления и финансовите разследвания, в рамките на 5-я кръг от взаимни оценки на Съвета.</w:t>
      </w:r>
    </w:p>
  </w:footnote>
  <w:footnote w:id="39">
    <w:p w:rsidR="00B80DCD" w:rsidRDefault="005A5274">
      <w:pPr>
        <w:pStyle w:val="Body"/>
        <w:spacing w:after="0" w:line="240" w:lineRule="auto"/>
        <w:ind w:left="284" w:hanging="284"/>
        <w:jc w:val="both"/>
        <w:rPr>
          <w:rFonts w:ascii="Times New Roman" w:hAnsi="Times New Roman" w:cs="Times New Roman"/>
          <w:sz w:val="20"/>
          <w:szCs w:val="20"/>
        </w:rPr>
      </w:pPr>
      <w:r>
        <w:rPr>
          <w:rFonts w:ascii="Times New Roman" w:hAnsi="Times New Roman"/>
          <w:sz w:val="20"/>
          <w:vertAlign w:val="superscript"/>
        </w:rPr>
        <w:footnoteRef/>
      </w:r>
      <w:r>
        <w:rPr>
          <w:rFonts w:ascii="Times New Roman" w:hAnsi="Times New Roman"/>
          <w:sz w:val="20"/>
        </w:rPr>
        <w:t xml:space="preserve"> </w:t>
      </w:r>
      <w:r>
        <w:tab/>
      </w:r>
      <w:r>
        <w:rPr>
          <w:rFonts w:ascii="Times New Roman" w:hAnsi="Times New Roman" w:cs="Times New Roman"/>
          <w:sz w:val="20"/>
          <w:szCs w:val="20"/>
        </w:rPr>
        <w:t>В своите заключения Съветът на Европейския съюз приветства Стратегията на ЕС и призова държавите членки „да разработят функционални национа</w:t>
      </w:r>
      <w:r>
        <w:rPr>
          <w:rFonts w:ascii="Times New Roman" w:hAnsi="Times New Roman" w:cs="Times New Roman"/>
          <w:sz w:val="20"/>
          <w:szCs w:val="20"/>
        </w:rPr>
        <w:t>лни механизми за насочване или да актуализират вече съществуващите механизми, съгласно договореното в рамките на цикъла на политиката на ЕС, в които се описват процедурите за по-успешно идентифициране, насочване, защита и помощ на жертвите и се включват вс</w:t>
      </w:r>
      <w:r>
        <w:rPr>
          <w:rFonts w:ascii="Times New Roman" w:hAnsi="Times New Roman" w:cs="Times New Roman"/>
          <w:sz w:val="20"/>
          <w:szCs w:val="20"/>
        </w:rPr>
        <w:t xml:space="preserve">ички имащи отношение публични органи и гражданското общество“, </w:t>
      </w:r>
      <w:hyperlink r:id="rId20">
        <w:r>
          <w:rPr>
            <w:rStyle w:val="Hyperlink2"/>
            <w:rFonts w:eastAsia="Calibri"/>
          </w:rPr>
          <w:t>http://ec.europa.eu/anti-trafficking/eu-policy/council-conclusions-new-eu-strategy_en</w:t>
        </w:r>
      </w:hyperlink>
    </w:p>
  </w:footnote>
  <w:footnote w:id="40">
    <w:p w:rsidR="00B80DCD" w:rsidRDefault="005A5274">
      <w:pPr>
        <w:pStyle w:val="FootnoteText"/>
      </w:pPr>
      <w:r>
        <w:rPr>
          <w:vertAlign w:val="superscript"/>
        </w:rPr>
        <w:footnoteRef/>
      </w:r>
      <w:r>
        <w:rPr>
          <w:vertAlign w:val="superscript"/>
        </w:rPr>
        <w:t xml:space="preserve"> </w:t>
      </w:r>
      <w:r>
        <w:tab/>
        <w:t>Белгия, България, Хърватия, Кипър, Чешката република, Дания, Гърция, Унгария, Ирландия, Латвия, Малта, Полша, Португалия, Румъния, Словакия, Испания, Обединеното кралство.</w:t>
      </w:r>
    </w:p>
  </w:footnote>
  <w:footnote w:id="41">
    <w:p w:rsidR="00B80DCD" w:rsidRDefault="005A5274">
      <w:pPr>
        <w:pStyle w:val="FootnoteText"/>
        <w:rPr>
          <w:rFonts w:cs="Times New Roman"/>
        </w:rPr>
      </w:pPr>
      <w:r>
        <w:rPr>
          <w:rStyle w:val="FootnoteReference"/>
        </w:rPr>
        <w:footnoteRef/>
      </w:r>
      <w:r>
        <w:t xml:space="preserve"> </w:t>
      </w:r>
      <w:r>
        <w:tab/>
        <w:t>Настоящият доклад няма за цел да провери спазването от страна на държавите членк</w:t>
      </w:r>
      <w:r>
        <w:t xml:space="preserve">и на задълженията им, произтичащи от член 18 от директивата, тъй като това ще бъде извършено в отделен доклад, както се изисква съгласно член 23. Информацията, включена в настоящия доклад, не е изчерпателна и не предопределя по никакъв начин констатациите </w:t>
      </w:r>
      <w:r>
        <w:t>на Европейската комисия.</w:t>
      </w:r>
    </w:p>
  </w:footnote>
  <w:footnote w:id="42">
    <w:p w:rsidR="00B80DCD" w:rsidRDefault="005A5274">
      <w:pPr>
        <w:pStyle w:val="FootnoteText"/>
      </w:pPr>
      <w:r>
        <w:rPr>
          <w:vertAlign w:val="superscript"/>
        </w:rPr>
        <w:footnoteRef/>
      </w:r>
      <w:r>
        <w:t xml:space="preserve"> </w:t>
      </w:r>
      <w:r>
        <w:tab/>
      </w:r>
      <w:hyperlink r:id="rId21">
        <w:r>
          <w:rPr>
            <w:rStyle w:val="Hyperlink0"/>
            <w:rFonts w:eastAsia="Calibri"/>
          </w:rPr>
          <w:t>http://eur-lex.europa.eu/LexUriServ/LexUriServ.do?uri=OJ:L:2009:168:0024:0032:BG:PDF</w:t>
        </w:r>
      </w:hyperlink>
      <w:r>
        <w:t xml:space="preserve"> .</w:t>
      </w:r>
    </w:p>
  </w:footnote>
  <w:footnote w:id="43">
    <w:p w:rsidR="00B80DCD" w:rsidRDefault="005A5274">
      <w:pPr>
        <w:pStyle w:val="FootnoteText"/>
      </w:pPr>
      <w:r>
        <w:rPr>
          <w:vertAlign w:val="superscript"/>
        </w:rPr>
        <w:footnoteRef/>
      </w:r>
      <w:r>
        <w:t xml:space="preserve"> </w:t>
      </w:r>
      <w:r>
        <w:tab/>
      </w:r>
      <w:hyperlink r:id="rId22">
        <w:r>
          <w:rPr>
            <w:rStyle w:val="Hyperlink0"/>
            <w:rFonts w:eastAsia="Calibri"/>
          </w:rPr>
          <w:t>Директива 2011/93/ЕС относно борбата със сексуалното насилие и със сексуалната експлоатация на деца, както и с детската порнография.</w:t>
        </w:r>
      </w:hyperlink>
    </w:p>
  </w:footnote>
  <w:footnote w:id="44">
    <w:p w:rsidR="00B80DCD" w:rsidRDefault="005A5274">
      <w:pPr>
        <w:pStyle w:val="FootnoteText"/>
        <w:rPr>
          <w:rFonts w:cs="Times New Roman"/>
        </w:rPr>
      </w:pPr>
      <w:r>
        <w:rPr>
          <w:rStyle w:val="FootnoteReference"/>
        </w:rPr>
        <w:footnoteRef/>
      </w:r>
      <w:r>
        <w:t xml:space="preserve"> </w:t>
      </w:r>
      <w:r>
        <w:tab/>
        <w:t>Към момента 26 от 27-те държави членки, за които се отнася директ</w:t>
      </w:r>
      <w:r>
        <w:t>ивата, са уведомили Комисията за пълното ѝ транспониране.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74" w:rsidRDefault="005A5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CD" w:rsidRDefault="00B80DCD" w:rsidP="005A5274">
    <w:pPr>
      <w:pStyle w:val="HeaderCoverPage"/>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74" w:rsidRDefault="005A52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CD" w:rsidRDefault="00B80D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CD" w:rsidRDefault="00B80DCD">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CD" w:rsidRDefault="00B80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5C4"/>
    <w:multiLevelType w:val="hybridMultilevel"/>
    <w:tmpl w:val="748A2F9E"/>
    <w:numStyleLink w:val="ImportedStyle4"/>
  </w:abstractNum>
  <w:abstractNum w:abstractNumId="1">
    <w:nsid w:val="130D7F86"/>
    <w:multiLevelType w:val="hybridMultilevel"/>
    <w:tmpl w:val="F4167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7B4571"/>
    <w:multiLevelType w:val="hybridMultilevel"/>
    <w:tmpl w:val="6B540E68"/>
    <w:styleLink w:val="ImportedStyle5"/>
    <w:lvl w:ilvl="0" w:tplc="1B38853C">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F864F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5626A8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1A8EF34">
      <w:start w:val="1"/>
      <w:numFmt w:val="bullet"/>
      <w:lvlText w:val="•"/>
      <w:lvlJc w:val="left"/>
      <w:pPr>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EF028F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78FAF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AF849BC">
      <w:start w:val="1"/>
      <w:numFmt w:val="bullet"/>
      <w:lvlText w:val="•"/>
      <w:lvlJc w:val="left"/>
      <w:pPr>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BFE2FB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FE489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22346969"/>
    <w:multiLevelType w:val="hybridMultilevel"/>
    <w:tmpl w:val="09AC4A5C"/>
    <w:numStyleLink w:val="ImportedStyle3"/>
  </w:abstractNum>
  <w:abstractNum w:abstractNumId="4">
    <w:nsid w:val="24D82CCC"/>
    <w:multiLevelType w:val="hybridMultilevel"/>
    <w:tmpl w:val="02EECC56"/>
    <w:numStyleLink w:val="ImportedStyle2"/>
  </w:abstractNum>
  <w:abstractNum w:abstractNumId="5">
    <w:nsid w:val="2729046D"/>
    <w:multiLevelType w:val="hybridMultilevel"/>
    <w:tmpl w:val="02EECC56"/>
    <w:styleLink w:val="ImportedStyle2"/>
    <w:lvl w:ilvl="0" w:tplc="A4A03A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89E2A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E5E9C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F54FB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568C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E24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BE8A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A8A5F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FCAC6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367D1A00"/>
    <w:multiLevelType w:val="hybridMultilevel"/>
    <w:tmpl w:val="748A2F9E"/>
    <w:styleLink w:val="ImportedStyle4"/>
    <w:lvl w:ilvl="0" w:tplc="41B067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67C9F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C5E6A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B4CA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5B06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468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DEB0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3FEB8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9A8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4FE95218"/>
    <w:multiLevelType w:val="hybridMultilevel"/>
    <w:tmpl w:val="32E00A24"/>
    <w:styleLink w:val="ImportedStyle1"/>
    <w:lvl w:ilvl="0" w:tplc="56BCFC20">
      <w:start w:val="1"/>
      <w:numFmt w:val="upperRoman"/>
      <w:pStyle w:val="HeaderCoverPage"/>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1" w:tplc="DFB4B76A">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tplc="CD7495C4">
      <w:start w:val="1"/>
      <w:numFmt w:val="decimal"/>
      <w:lvlText w:val="%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tplc="1ED08734">
      <w:start w:val="1"/>
      <w:numFmt w:val="lowerLetter"/>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rPr>
    </w:lvl>
    <w:lvl w:ilvl="4" w:tplc="6F441886">
      <w:start w:val="1"/>
      <w:numFmt w:val="decimal"/>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rPr>
    </w:lvl>
    <w:lvl w:ilvl="5" w:tplc="3D0E9B74">
      <w:start w:val="1"/>
      <w:numFmt w:val="lowerLetter"/>
      <w:lvlText w:val="(%6)"/>
      <w:lvlJc w:val="left"/>
      <w:pPr>
        <w:ind w:left="3600" w:hanging="720"/>
      </w:pPr>
      <w:rPr>
        <w:rFonts w:hAnsi="Arial Unicode MS"/>
        <w:b/>
        <w:bCs/>
        <w:caps w:val="0"/>
        <w:smallCaps w:val="0"/>
        <w:strike w:val="0"/>
        <w:dstrike w:val="0"/>
        <w:color w:val="000000"/>
        <w:spacing w:val="0"/>
        <w:w w:val="100"/>
        <w:kern w:val="0"/>
        <w:position w:val="0"/>
        <w:highlight w:val="none"/>
        <w:vertAlign w:val="baseline"/>
      </w:rPr>
    </w:lvl>
    <w:lvl w:ilvl="6" w:tplc="2A045236">
      <w:start w:val="1"/>
      <w:numFmt w:val="lowerRoman"/>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rPr>
    </w:lvl>
    <w:lvl w:ilvl="7" w:tplc="6A4A1F02">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rPr>
    </w:lvl>
    <w:lvl w:ilvl="8" w:tplc="ED92B460">
      <w:start w:val="1"/>
      <w:numFmt w:val="lowerRoman"/>
      <w:lvlText w:val="(%9)"/>
      <w:lvlJc w:val="left"/>
      <w:pPr>
        <w:ind w:left="5760" w:hanging="72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5D751C92"/>
    <w:multiLevelType w:val="multilevel"/>
    <w:tmpl w:val="2C68DEDC"/>
    <w:lvl w:ilvl="0">
      <w:start w:val="1"/>
      <w:numFmt w:val="upperRoman"/>
      <w:lvlText w:val="%1."/>
      <w:lvlJc w:val="left"/>
      <w:pPr>
        <w:ind w:left="0" w:firstLine="0"/>
      </w:pPr>
      <w:rPr>
        <w:sz w:val="28"/>
        <w:szCs w:val="28"/>
      </w:r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65361F5F"/>
    <w:multiLevelType w:val="hybridMultilevel"/>
    <w:tmpl w:val="6B540E68"/>
    <w:numStyleLink w:val="ImportedStyle5"/>
  </w:abstractNum>
  <w:abstractNum w:abstractNumId="10">
    <w:nsid w:val="71BB67CB"/>
    <w:multiLevelType w:val="hybridMultilevel"/>
    <w:tmpl w:val="32E00A24"/>
    <w:numStyleLink w:val="ImportedStyle1"/>
  </w:abstractNum>
  <w:abstractNum w:abstractNumId="11">
    <w:nsid w:val="76E630F7"/>
    <w:multiLevelType w:val="hybridMultilevel"/>
    <w:tmpl w:val="F7C29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6910CF"/>
    <w:multiLevelType w:val="hybridMultilevel"/>
    <w:tmpl w:val="09AC4A5C"/>
    <w:styleLink w:val="ImportedStyle3"/>
    <w:lvl w:ilvl="0" w:tplc="01C2B6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EA26A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B788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03E78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804B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640EA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C065C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86A3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F4D5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10"/>
  </w:num>
  <w:num w:numId="3">
    <w:abstractNumId w:val="5"/>
  </w:num>
  <w:num w:numId="4">
    <w:abstractNumId w:val="4"/>
  </w:num>
  <w:num w:numId="5">
    <w:abstractNumId w:val="10"/>
    <w:lvlOverride w:ilvl="0">
      <w:startOverride w:val="2"/>
      <w:lvl w:ilvl="0" w:tplc="920432C2">
        <w:start w:val="2"/>
        <w:numFmt w:val="upperRoman"/>
        <w:pStyle w:val="HeaderCoverPage"/>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A68F8A">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E463E4">
        <w:start w:val="1"/>
        <w:numFmt w:val="decimal"/>
        <w:lvlText w:val="%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FC0818">
        <w:start w:val="1"/>
        <w:numFmt w:val="lowerLetter"/>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4A6EE6">
        <w:start w:val="1"/>
        <w:numFmt w:val="decimal"/>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96B48C">
        <w:start w:val="1"/>
        <w:numFmt w:val="lowerLetter"/>
        <w:lvlText w:val="(%6)"/>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469330">
        <w:start w:val="1"/>
        <w:numFmt w:val="lowerRoman"/>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E667C8">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9E4EB0">
        <w:start w:val="1"/>
        <w:numFmt w:val="lowerRoman"/>
        <w:lvlText w:val="(%9)"/>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3"/>
    <w:lvlOverride w:ilvl="0">
      <w:lvl w:ilvl="0" w:tplc="B5FAE776">
        <w:start w:val="1"/>
        <w:numFmt w:val="bullet"/>
        <w:lvlText w:val="•"/>
        <w:lvlJc w:val="left"/>
        <w:pPr>
          <w:ind w:left="720" w:hanging="360"/>
        </w:pPr>
        <w:rPr>
          <w:rFonts w:ascii="Times New Roman" w:eastAsia="Symbo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8">
    <w:abstractNumId w:val="6"/>
  </w:num>
  <w:num w:numId="9">
    <w:abstractNumId w:val="0"/>
    <w:lvlOverride w:ilvl="0">
      <w:lvl w:ilvl="0" w:tplc="C8B2DB66">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10">
    <w:abstractNumId w:val="10"/>
    <w:lvlOverride w:ilvl="0">
      <w:startOverride w:val="3"/>
      <w:lvl w:ilvl="0" w:tplc="920432C2">
        <w:start w:val="3"/>
        <w:numFmt w:val="upperRoman"/>
        <w:pStyle w:val="HeaderCoverPage"/>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A68F8A">
        <w:start w:val="1"/>
        <w:numFmt w:val="decimal"/>
        <w:lvlText w:val="%2."/>
        <w:lvlJc w:val="left"/>
        <w:pPr>
          <w:ind w:left="142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E463E4">
        <w:start w:val="1"/>
        <w:numFmt w:val="decimal"/>
        <w:lvlText w:val="%3."/>
        <w:lvlJc w:val="left"/>
        <w:pPr>
          <w:ind w:left="214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FC0818">
        <w:start w:val="1"/>
        <w:numFmt w:val="lowerLetter"/>
        <w:lvlText w:val="%4)"/>
        <w:lvlJc w:val="left"/>
        <w:pPr>
          <w:ind w:left="286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4A6EE6">
        <w:start w:val="1"/>
        <w:numFmt w:val="decimal"/>
        <w:lvlText w:val="(%5)"/>
        <w:lvlJc w:val="left"/>
        <w:pPr>
          <w:ind w:left="358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96B48C">
        <w:start w:val="1"/>
        <w:numFmt w:val="lowerLetter"/>
        <w:lvlText w:val="(%6)"/>
        <w:lvlJc w:val="left"/>
        <w:pPr>
          <w:ind w:left="43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469330">
        <w:start w:val="1"/>
        <w:numFmt w:val="lowerRoman"/>
        <w:lvlText w:val="(%7)"/>
        <w:lvlJc w:val="left"/>
        <w:pPr>
          <w:ind w:left="502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E667C8">
        <w:start w:val="1"/>
        <w:numFmt w:val="lowerLetter"/>
        <w:lvlText w:val="(%8)"/>
        <w:lvlJc w:val="left"/>
        <w:pPr>
          <w:ind w:left="574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9E4EB0">
        <w:start w:val="1"/>
        <w:numFmt w:val="lowerRoman"/>
        <w:lvlText w:val="(%9)"/>
        <w:lvlJc w:val="left"/>
        <w:pPr>
          <w:ind w:left="646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9"/>
  </w:num>
  <w:num w:numId="13">
    <w:abstractNumId w:val="10"/>
    <w:lvlOverride w:ilvl="0">
      <w:startOverride w:val="1"/>
      <w:lvl w:ilvl="0" w:tplc="920432C2">
        <w:start w:val="1"/>
        <w:numFmt w:val="upperRoman"/>
        <w:pStyle w:val="HeaderCoverPage"/>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A0A68F8A">
        <w:start w:val="3"/>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E463E4">
        <w:start w:val="1"/>
        <w:numFmt w:val="decimal"/>
        <w:lvlText w:val="%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FC0818">
        <w:start w:val="1"/>
        <w:numFmt w:val="lowerLetter"/>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4A6EE6">
        <w:start w:val="1"/>
        <w:numFmt w:val="decimal"/>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96B48C">
        <w:start w:val="1"/>
        <w:numFmt w:val="lowerLetter"/>
        <w:lvlText w:val="(%6)"/>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469330">
        <w:start w:val="1"/>
        <w:numFmt w:val="lowerRoman"/>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E667C8">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9E4EB0">
        <w:start w:val="1"/>
        <w:numFmt w:val="lowerRoman"/>
        <w:lvlText w:val="(%9)"/>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8"/>
  </w:num>
  <w:num w:numId="15">
    <w:abstractNumId w:val="3"/>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87209190D87F4C7EBD5CD5FBE814D33E"/>
    <w:docVar w:name="LW_CROSSREFERENCE" w:val="{SWD(2016) 159 final}"/>
    <w:docVar w:name="LW_DocType" w:val="NORMAL"/>
    <w:docVar w:name="LW_EMISSION" w:val="19.5.2016"/>
    <w:docVar w:name="LW_EMISSION_ISODATE" w:val="2016-05-19"/>
    <w:docVar w:name="LW_EMISSION_LOCATION" w:val="BRX"/>
    <w:docVar w:name="LW_EMISSION_PREFIX" w:val="Брюксел, "/>
    <w:docVar w:name="LW_EMISSION_SUFFIX" w:val=" \u1075?."/>
    <w:docVar w:name="LW_ID_DOCTYPE_NONLW" w:val="CP-006"/>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6) 267"/>
    <w:docVar w:name="LW_REF.INTERNE" w:val="&lt;UNUSED&gt;"/>
    <w:docVar w:name="LW_SOUS.TITRE.OBJ" w:val="\u1082?\u1072?\u1082?\u1090?\u1086? \u1089?\u1077? \u1080?\u1079?\u1080?\u1089?\u1082?\u1074?\u1072? \u1086?\u1090? \u1095?\u1083?\u1077?\u1085? 20 \u1086?\u1090? \u1044?\u1080?\u1088?\u1077?\u1082?\u1090?\u1080?\u1074?\u1072? 2011/36/\u1045?\u1057? \u1086?\u1090?\u1085?\u1086?\u1089?\u1085?\u1086? \u1087?\u1088?\u1077?\u1076?\u1086?\u1090?\u1074?\u1088?\u1072?\u1090?\u1103?\u1074?\u1072?\u1085?\u1077?\u1090?\u1086? \u1080? \u1073?\u1086?\u1088?\u1073?\u1072?\u1090?\u1072? \u1089? \u1090?\u1088?\u1072?\u1092?\u1080?\u1082?\u1072? \u1085?\u1072? \u1093?\u1086?\u1088?\u1072? \u1080? \u1079?\u1072?\u1097?\u1080?\u1090?\u1072?\u1090?\u1072? \u1085?\u1072? \u1078?\u1077?\u1088?\u1090?\u1074?\u1080?\u1090?\u1077? \u1086?\u1090? \u1085?\u1077?\u1075?\u1086?_x000b_"/>
    <w:docVar w:name="LW_SOUS.TITRE.OBJ.CP" w:val="\u1082?\u1072?\u1082?\u1090?\u1086? \u1089?\u1077? \u1080?\u1079?\u1080?\u1089?\u1082?\u1074?\u1072? \u1086?\u1090? \u1095?\u1083?\u1077?\u1085? 20 \u1086?\u1090? \u1044?\u1080?\u1088?\u1077?\u1082?\u1090?\u1080?\u1074?\u1072? 2011/36/\u1045?\u1057? \u1086?\u1090?\u1085?\u1086?\u1089?\u1085?\u1086? \u1087?\u1088?\u1077?\u1076?\u1086?\u1090?\u1074?\u1088?\u1072?\u1090?\u1103?\u1074?\u1072?\u1085?\u1077?\u1090?\u1086? \u1080? \u1073?\u1086?\u1088?\u1073?\u1072?\u1090?\u1072? \u1089? \u1090?\u1088?\u1072?\u1092?\u1080?\u1082?\u1072? \u1085?\u1072? \u1093?\u1086?\u1088?\u1072? \u1080? \u1079?\u1072?\u1097?\u1080?\u1090?\u1072?\u1090?\u1072? \u1085?\u1072? \u1078?\u1077?\u1088?\u1090?\u1074?\u1080?\u1090?\u1077? \u1086?\u1090? \u1085?\u1077?\u1075?\u1086?_x000b_"/>
    <w:docVar w:name="LW_SUPERTITRE" w:val="&lt;UNUSED&gt;"/>
    <w:docVar w:name="LW_TITRE.OBJ.CP" w:val="\u1044?\u1086?\u1082?\u1083?\u1072?\u1076? \u1086?\u1090?\u1085?\u1086?\u1089?\u1085?\u1086? \u1085?\u1072?\u1087?\u1088?\u1077?\u1076?\u1098?\u1082?\u1072? \u1074? \u1073?\u1086?\u1088?\u1073?\u1072?\u1090?\u1072? \u1089? \u1090?\u1088?\u1072?\u1092?\u1080?\u1082?\u1072? \u1085?\u1072? \u1093?\u1086?\u1088?\u1072? (2016 \u1075?.),"/>
    <w:docVar w:name="LW_TYPE.DOC.CP" w:val="\u1044?\u1054?\u1050?\u1051?\u1040?\u1044? \u1053?\u1040? \u1050?\u1054?\u1052?\u1048?\u1057?\u1048?\u1071?\u1058?\u1040? \u1044?\u1054? \u1045?\u1042?\u1056?\u1054?\u1055?\u1045?\u1049?\u1057?\u1050?\u1048?\u1071? \u1055?\u1040?\u1056?\u1051?\u1040?\u1052?\u1045?\u1053?\u1058? \u1048? \u1057?\u1066?\u1042?\u1045?\u1058?\u1040?"/>
  </w:docVars>
  <w:rsids>
    <w:rsidRoot w:val="00B80DCD"/>
    <w:rsid w:val="005A5274"/>
    <w:rsid w:val="00B80D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bg-BG" w:eastAsia="bg-BG" w:bidi="bg-BG"/>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Heading2">
    <w:name w:val="heading 2"/>
    <w:next w:val="Body"/>
    <w:uiPriority w:val="9"/>
    <w:qFormat/>
    <w:pPr>
      <w:keepNext/>
      <w:keepLines/>
      <w:spacing w:before="200" w:line="276" w:lineRule="auto"/>
      <w:ind w:firstLine="720"/>
      <w:outlineLvl w:val="1"/>
    </w:pPr>
    <w:rPr>
      <w:rFonts w:ascii="Cambria" w:eastAsia="Cambria" w:hAnsi="Cambria" w:cs="Cambria"/>
      <w:b/>
      <w:bCs/>
      <w:color w:val="4F81BD"/>
      <w:sz w:val="26"/>
      <w:szCs w:val="26"/>
      <w:u w:color="4F81BD"/>
    </w:rPr>
  </w:style>
  <w:style w:type="paragraph" w:styleId="Heading3">
    <w:name w:val="heading 3"/>
    <w:basedOn w:val="Normal"/>
    <w:next w:val="Normal"/>
    <w:link w:val="Heading3Char"/>
    <w:uiPriority w:val="9"/>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440"/>
      <w:outlineLvl w:val="2"/>
    </w:pPr>
    <w:rPr>
      <w:rFonts w:asciiTheme="majorHAnsi" w:eastAsiaTheme="majorEastAsia" w:hAnsiTheme="majorHAnsi" w:cstheme="majorBidi"/>
      <w:b/>
      <w:bCs/>
      <w:color w:val="4F81BD" w:themeColor="accent1"/>
      <w:sz w:val="22"/>
      <w:szCs w:val="22"/>
      <w:bdr w:val="none" w:sz="0" w:space="0" w:color="auto"/>
    </w:rPr>
  </w:style>
  <w:style w:type="paragraph" w:styleId="Heading4">
    <w:name w:val="heading 4"/>
    <w:basedOn w:val="Normal"/>
    <w:next w:val="Normal"/>
    <w:link w:val="Heading4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2160"/>
      <w:outlineLvl w:val="3"/>
    </w:pPr>
    <w:rPr>
      <w:rFonts w:asciiTheme="majorHAnsi" w:eastAsiaTheme="majorEastAsia" w:hAnsiTheme="majorHAnsi" w:cstheme="majorBidi"/>
      <w:b/>
      <w:bCs/>
      <w:i/>
      <w:iCs/>
      <w:color w:val="4F81BD" w:themeColor="accent1"/>
      <w:sz w:val="22"/>
      <w:szCs w:val="22"/>
      <w:bdr w:val="none" w:sz="0" w:space="0" w:color="auto"/>
    </w:rPr>
  </w:style>
  <w:style w:type="paragraph" w:styleId="Heading5">
    <w:name w:val="heading 5"/>
    <w:basedOn w:val="Normal"/>
    <w:next w:val="Normal"/>
    <w:link w:val="Heading5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2880"/>
      <w:outlineLvl w:val="4"/>
    </w:pPr>
    <w:rPr>
      <w:rFonts w:asciiTheme="majorHAnsi" w:eastAsiaTheme="majorEastAsia" w:hAnsiTheme="majorHAnsi" w:cstheme="majorBidi"/>
      <w:color w:val="243F60" w:themeColor="accent1" w:themeShade="7F"/>
      <w:sz w:val="22"/>
      <w:szCs w:val="22"/>
      <w:bdr w:val="none" w:sz="0" w:space="0" w:color="auto"/>
    </w:rPr>
  </w:style>
  <w:style w:type="paragraph" w:styleId="Heading6">
    <w:name w:val="heading 6"/>
    <w:basedOn w:val="Normal"/>
    <w:next w:val="Normal"/>
    <w:link w:val="Heading6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3600"/>
      <w:outlineLvl w:val="5"/>
    </w:pPr>
    <w:rPr>
      <w:rFonts w:asciiTheme="majorHAnsi" w:eastAsiaTheme="majorEastAsia" w:hAnsiTheme="majorHAnsi" w:cstheme="majorBidi"/>
      <w:i/>
      <w:iCs/>
      <w:color w:val="243F60" w:themeColor="accent1" w:themeShade="7F"/>
      <w:sz w:val="22"/>
      <w:szCs w:val="22"/>
      <w:bdr w:val="none" w:sz="0" w:space="0" w:color="auto"/>
    </w:rPr>
  </w:style>
  <w:style w:type="paragraph" w:styleId="Heading7">
    <w:name w:val="heading 7"/>
    <w:basedOn w:val="Normal"/>
    <w:next w:val="Normal"/>
    <w:link w:val="Heading7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4320"/>
      <w:outlineLvl w:val="6"/>
    </w:pPr>
    <w:rPr>
      <w:rFonts w:asciiTheme="majorHAnsi" w:eastAsiaTheme="majorEastAsia" w:hAnsiTheme="majorHAnsi" w:cstheme="majorBidi"/>
      <w:i/>
      <w:iCs/>
      <w:color w:val="404040" w:themeColor="text1" w:themeTint="BF"/>
      <w:sz w:val="22"/>
      <w:szCs w:val="22"/>
      <w:bdr w:val="none" w:sz="0" w:space="0" w:color="auto"/>
    </w:rPr>
  </w:style>
  <w:style w:type="paragraph" w:styleId="Heading8">
    <w:name w:val="heading 8"/>
    <w:basedOn w:val="Normal"/>
    <w:next w:val="Normal"/>
    <w:link w:val="Heading8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5040"/>
      <w:outlineLvl w:val="7"/>
    </w:pPr>
    <w:rPr>
      <w:rFonts w:asciiTheme="majorHAnsi" w:eastAsiaTheme="majorEastAsia" w:hAnsiTheme="majorHAnsi" w:cstheme="majorBidi"/>
      <w:color w:val="404040" w:themeColor="text1" w:themeTint="BF"/>
      <w:sz w:val="20"/>
      <w:szCs w:val="20"/>
      <w:bdr w:val="none" w:sz="0" w:space="0" w:color="auto"/>
    </w:rPr>
  </w:style>
  <w:style w:type="paragraph" w:styleId="Heading9">
    <w:name w:val="heading 9"/>
    <w:basedOn w:val="Normal"/>
    <w:next w:val="Normal"/>
    <w:link w:val="Heading9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5760"/>
      <w:outlineLvl w:val="8"/>
    </w:pPr>
    <w:rPr>
      <w:rFonts w:asciiTheme="majorHAnsi" w:eastAsiaTheme="majorEastAsia" w:hAnsiTheme="majorHAnsi" w:cstheme="majorBidi"/>
      <w:i/>
      <w:iCs/>
      <w:color w:val="404040" w:themeColor="text1" w:themeTint="BF"/>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Body"/>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customStyle="1" w:styleId="Heading">
    <w:name w:val="Heading"/>
    <w:next w:val="Body"/>
    <w:link w:val="HeadingChar"/>
    <w:pPr>
      <w:keepNext/>
      <w:keepLines/>
      <w:spacing w:before="480" w:line="276" w:lineRule="auto"/>
      <w:outlineLvl w:val="0"/>
    </w:pPr>
    <w:rPr>
      <w:rFonts w:ascii="Cambria" w:eastAsia="Cambria" w:hAnsi="Cambria" w:cs="Cambria"/>
      <w:b/>
      <w:bCs/>
      <w:color w:val="365F91"/>
      <w:sz w:val="28"/>
      <w:szCs w:val="28"/>
      <w:u w:color="365F91"/>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uiPriority w:val="99"/>
    <w:pPr>
      <w:ind w:left="284" w:hanging="284"/>
      <w:jc w:val="both"/>
    </w:pPr>
    <w:rPr>
      <w:rFonts w:eastAsia="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FR,ftref"/>
    <w:link w:val="-FNCharCharChar"/>
    <w:uiPriority w:val="99"/>
    <w:qFormat/>
    <w:rPr>
      <w:vertAlign w:val="superscript"/>
    </w:rPr>
  </w:style>
  <w:style w:type="numbering" w:customStyle="1" w:styleId="ImportedStyle4">
    <w:name w:val="Imported Style 4"/>
    <w:pPr>
      <w:numPr>
        <w:numId w:val="8"/>
      </w:numPr>
    </w:pPr>
  </w:style>
  <w:style w:type="character" w:customStyle="1" w:styleId="Hyperlink1">
    <w:name w:val="Hyperlink.1"/>
    <w:basedOn w:val="Link"/>
    <w:rPr>
      <w:rFonts w:ascii="Times New Roman" w:eastAsia="Times New Roman" w:hAnsi="Times New Roman" w:cs="Times New Roman"/>
      <w:color w:val="0000FF"/>
      <w:u w:val="single" w:color="0000FF"/>
      <w:lang w:val="bg-BG"/>
    </w:rPr>
  </w:style>
  <w:style w:type="character" w:customStyle="1" w:styleId="Hyperlink2">
    <w:name w:val="Hyperlink.2"/>
    <w:basedOn w:val="Link"/>
    <w:rPr>
      <w:rFonts w:ascii="Times New Roman" w:eastAsia="Times New Roman" w:hAnsi="Times New Roman" w:cs="Times New Roman"/>
      <w:color w:val="0000FF"/>
      <w:sz w:val="20"/>
      <w:szCs w:val="20"/>
      <w:u w:val="single" w:color="0000FF"/>
    </w:rPr>
  </w:style>
  <w:style w:type="numbering" w:customStyle="1" w:styleId="ImportedStyle5">
    <w:name w:val="Imported Style 5"/>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lang w:val="bg-BG" w:eastAsia="bg-BG"/>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bg-BG" w:eastAsia="bg-BG"/>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lang w:val="bg-BG" w:eastAsia="bg-BG"/>
    </w:rPr>
  </w:style>
  <w:style w:type="character" w:customStyle="1" w:styleId="st1">
    <w:name w:val="st1"/>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one" w:sz="0" w:space="0" w:color="auto"/>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bdr w:val="none" w:sz="0" w:space="0" w:color="auto"/>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bdr w:val="none" w:sz="0" w:space="0" w:color="aut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2"/>
      <w:szCs w:val="22"/>
      <w:bdr w:val="none" w:sz="0" w:space="0" w:color="auto"/>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2"/>
      <w:szCs w:val="22"/>
      <w:bdr w:val="none" w:sz="0" w:space="0" w:color="auto"/>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bdr w:val="none" w:sz="0" w:space="0" w:color="auto"/>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bdr w:val="none" w:sz="0" w:space="0" w:color="auto"/>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bdr w:val="none" w:sz="0" w:space="0" w:color="auto"/>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uiPriority w:val="99"/>
    <w:rPr>
      <w:rFonts w:ascii="Calibri" w:eastAsia="Calibri" w:hAnsi="Calibri" w:cs="Calibri"/>
      <w:color w:val="000000"/>
      <w:u w:color="000000"/>
      <w:lang w:val="bg-BG"/>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FollowedHyperlink1">
    <w:name w:val="FollowedHyperlink1"/>
    <w:basedOn w:val="DefaultParagraphFont"/>
    <w:uiPriority w:val="99"/>
    <w:semiHidden/>
    <w:unhideWhenUsed/>
    <w:rPr>
      <w:color w:val="800080"/>
      <w:u w:val="single"/>
    </w:rPr>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eastAsia="bg-BG"/>
    </w:rPr>
  </w:style>
  <w:style w:type="paragraph" w:customStyle="1" w:styleId="HeaderCoverPage">
    <w:name w:val="Header Cover Page"/>
    <w:basedOn w:val="Normal"/>
    <w:link w:val="HeaderCoverPageChar"/>
    <w:pPr>
      <w:numPr>
        <w:numId w:val="2"/>
      </w:numPr>
      <w:tabs>
        <w:tab w:val="center" w:pos="4535"/>
        <w:tab w:val="right" w:pos="9071"/>
      </w:tabs>
      <w:spacing w:after="120"/>
      <w:ind w:left="0"/>
      <w:jc w:val="both"/>
    </w:pPr>
    <w:rPr>
      <w:rFonts w:eastAsia="Cambria"/>
      <w:color w:val="000000"/>
      <w:u w:color="000000"/>
    </w:rPr>
  </w:style>
  <w:style w:type="character" w:customStyle="1" w:styleId="HeadingChar">
    <w:name w:val="Heading Char"/>
    <w:basedOn w:val="DefaultParagraphFont"/>
    <w:link w:val="Heading"/>
    <w:rPr>
      <w:rFonts w:ascii="Cambria" w:eastAsia="Cambria" w:hAnsi="Cambria" w:cs="Cambria"/>
      <w:b/>
      <w:bCs/>
      <w:color w:val="365F91"/>
      <w:sz w:val="28"/>
      <w:szCs w:val="28"/>
      <w:u w:color="365F91"/>
    </w:rPr>
  </w:style>
  <w:style w:type="character" w:customStyle="1" w:styleId="HeaderCoverPageChar">
    <w:name w:val="Header Cover Page Char"/>
    <w:basedOn w:val="HeadingChar"/>
    <w:link w:val="HeaderCoverPage"/>
    <w:rPr>
      <w:rFonts w:ascii="Cambria" w:eastAsia="Cambria" w:hAnsi="Cambria" w:cs="Cambria"/>
      <w:b w:val="0"/>
      <w:bCs w:val="0"/>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bg-BG"/>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Heading2">
    <w:name w:val="heading 2"/>
    <w:next w:val="Body"/>
    <w:uiPriority w:val="9"/>
    <w:qFormat/>
    <w:pPr>
      <w:keepNext/>
      <w:keepLines/>
      <w:spacing w:before="200" w:line="276" w:lineRule="auto"/>
      <w:ind w:firstLine="720"/>
      <w:outlineLvl w:val="1"/>
    </w:pPr>
    <w:rPr>
      <w:rFonts w:ascii="Cambria" w:eastAsia="Cambria" w:hAnsi="Cambria" w:cs="Cambria"/>
      <w:b/>
      <w:bCs/>
      <w:color w:val="4F81BD"/>
      <w:sz w:val="26"/>
      <w:szCs w:val="26"/>
      <w:u w:color="4F81BD"/>
    </w:rPr>
  </w:style>
  <w:style w:type="paragraph" w:styleId="Heading3">
    <w:name w:val="heading 3"/>
    <w:basedOn w:val="Normal"/>
    <w:next w:val="Normal"/>
    <w:link w:val="Heading3Char"/>
    <w:uiPriority w:val="9"/>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1440"/>
      <w:outlineLvl w:val="2"/>
    </w:pPr>
    <w:rPr>
      <w:rFonts w:asciiTheme="majorHAnsi" w:eastAsiaTheme="majorEastAsia" w:hAnsiTheme="majorHAnsi" w:cstheme="majorBidi"/>
      <w:b/>
      <w:bCs/>
      <w:color w:val="4F81BD" w:themeColor="accent1"/>
      <w:sz w:val="22"/>
      <w:szCs w:val="22"/>
      <w:bdr w:val="none" w:sz="0" w:space="0" w:color="auto"/>
    </w:rPr>
  </w:style>
  <w:style w:type="paragraph" w:styleId="Heading4">
    <w:name w:val="heading 4"/>
    <w:basedOn w:val="Normal"/>
    <w:next w:val="Normal"/>
    <w:link w:val="Heading4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2160"/>
      <w:outlineLvl w:val="3"/>
    </w:pPr>
    <w:rPr>
      <w:rFonts w:asciiTheme="majorHAnsi" w:eastAsiaTheme="majorEastAsia" w:hAnsiTheme="majorHAnsi" w:cstheme="majorBidi"/>
      <w:b/>
      <w:bCs/>
      <w:i/>
      <w:iCs/>
      <w:color w:val="4F81BD" w:themeColor="accent1"/>
      <w:sz w:val="22"/>
      <w:szCs w:val="22"/>
      <w:bdr w:val="none" w:sz="0" w:space="0" w:color="auto"/>
    </w:rPr>
  </w:style>
  <w:style w:type="paragraph" w:styleId="Heading5">
    <w:name w:val="heading 5"/>
    <w:basedOn w:val="Normal"/>
    <w:next w:val="Normal"/>
    <w:link w:val="Heading5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2880"/>
      <w:outlineLvl w:val="4"/>
    </w:pPr>
    <w:rPr>
      <w:rFonts w:asciiTheme="majorHAnsi" w:eastAsiaTheme="majorEastAsia" w:hAnsiTheme="majorHAnsi" w:cstheme="majorBidi"/>
      <w:color w:val="243F60" w:themeColor="accent1" w:themeShade="7F"/>
      <w:sz w:val="22"/>
      <w:szCs w:val="22"/>
      <w:bdr w:val="none" w:sz="0" w:space="0" w:color="auto"/>
    </w:rPr>
  </w:style>
  <w:style w:type="paragraph" w:styleId="Heading6">
    <w:name w:val="heading 6"/>
    <w:basedOn w:val="Normal"/>
    <w:next w:val="Normal"/>
    <w:link w:val="Heading6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3600"/>
      <w:outlineLvl w:val="5"/>
    </w:pPr>
    <w:rPr>
      <w:rFonts w:asciiTheme="majorHAnsi" w:eastAsiaTheme="majorEastAsia" w:hAnsiTheme="majorHAnsi" w:cstheme="majorBidi"/>
      <w:i/>
      <w:iCs/>
      <w:color w:val="243F60" w:themeColor="accent1" w:themeShade="7F"/>
      <w:sz w:val="22"/>
      <w:szCs w:val="22"/>
      <w:bdr w:val="none" w:sz="0" w:space="0" w:color="auto"/>
    </w:rPr>
  </w:style>
  <w:style w:type="paragraph" w:styleId="Heading7">
    <w:name w:val="heading 7"/>
    <w:basedOn w:val="Normal"/>
    <w:next w:val="Normal"/>
    <w:link w:val="Heading7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4320"/>
      <w:outlineLvl w:val="6"/>
    </w:pPr>
    <w:rPr>
      <w:rFonts w:asciiTheme="majorHAnsi" w:eastAsiaTheme="majorEastAsia" w:hAnsiTheme="majorHAnsi" w:cstheme="majorBidi"/>
      <w:i/>
      <w:iCs/>
      <w:color w:val="404040" w:themeColor="text1" w:themeTint="BF"/>
      <w:sz w:val="22"/>
      <w:szCs w:val="22"/>
      <w:bdr w:val="none" w:sz="0" w:space="0" w:color="auto"/>
    </w:rPr>
  </w:style>
  <w:style w:type="paragraph" w:styleId="Heading8">
    <w:name w:val="heading 8"/>
    <w:basedOn w:val="Normal"/>
    <w:next w:val="Normal"/>
    <w:link w:val="Heading8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5040"/>
      <w:outlineLvl w:val="7"/>
    </w:pPr>
    <w:rPr>
      <w:rFonts w:asciiTheme="majorHAnsi" w:eastAsiaTheme="majorEastAsia" w:hAnsiTheme="majorHAnsi" w:cstheme="majorBidi"/>
      <w:color w:val="404040" w:themeColor="text1" w:themeTint="BF"/>
      <w:sz w:val="20"/>
      <w:szCs w:val="20"/>
      <w:bdr w:val="none" w:sz="0" w:space="0" w:color="auto"/>
    </w:rPr>
  </w:style>
  <w:style w:type="paragraph" w:styleId="Heading9">
    <w:name w:val="heading 9"/>
    <w:basedOn w:val="Normal"/>
    <w:next w:val="Normal"/>
    <w:link w:val="Heading9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ind w:left="5760"/>
      <w:outlineLvl w:val="8"/>
    </w:pPr>
    <w:rPr>
      <w:rFonts w:asciiTheme="majorHAnsi" w:eastAsiaTheme="majorEastAsia" w:hAnsiTheme="majorHAnsi" w:cstheme="majorBidi"/>
      <w:i/>
      <w:iCs/>
      <w:color w:val="404040" w:themeColor="text1" w:themeTint="BF"/>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Body"/>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customStyle="1" w:styleId="Heading">
    <w:name w:val="Heading"/>
    <w:next w:val="Body"/>
    <w:link w:val="HeadingChar"/>
    <w:pPr>
      <w:keepNext/>
      <w:keepLines/>
      <w:spacing w:before="480" w:line="276" w:lineRule="auto"/>
      <w:outlineLvl w:val="0"/>
    </w:pPr>
    <w:rPr>
      <w:rFonts w:ascii="Cambria" w:eastAsia="Cambria" w:hAnsi="Cambria" w:cs="Cambria"/>
      <w:b/>
      <w:bCs/>
      <w:color w:val="365F91"/>
      <w:sz w:val="28"/>
      <w:szCs w:val="28"/>
      <w:u w:color="365F91"/>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uiPriority w:val="99"/>
    <w:pPr>
      <w:ind w:left="284" w:hanging="284"/>
      <w:jc w:val="both"/>
    </w:pPr>
    <w:rPr>
      <w:rFonts w:eastAsia="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FR,ftref"/>
    <w:link w:val="-FNCharCharChar"/>
    <w:uiPriority w:val="99"/>
    <w:qFormat/>
    <w:rPr>
      <w:vertAlign w:val="superscript"/>
    </w:rPr>
  </w:style>
  <w:style w:type="numbering" w:customStyle="1" w:styleId="ImportedStyle4">
    <w:name w:val="Imported Style 4"/>
    <w:pPr>
      <w:numPr>
        <w:numId w:val="8"/>
      </w:numPr>
    </w:pPr>
  </w:style>
  <w:style w:type="character" w:customStyle="1" w:styleId="Hyperlink1">
    <w:name w:val="Hyperlink.1"/>
    <w:basedOn w:val="Link"/>
    <w:rPr>
      <w:rFonts w:ascii="Times New Roman" w:eastAsia="Times New Roman" w:hAnsi="Times New Roman" w:cs="Times New Roman"/>
      <w:color w:val="0000FF"/>
      <w:u w:val="single" w:color="0000FF"/>
      <w:lang w:val="bg-BG"/>
    </w:rPr>
  </w:style>
  <w:style w:type="character" w:customStyle="1" w:styleId="Hyperlink2">
    <w:name w:val="Hyperlink.2"/>
    <w:basedOn w:val="Link"/>
    <w:rPr>
      <w:rFonts w:ascii="Times New Roman" w:eastAsia="Times New Roman" w:hAnsi="Times New Roman" w:cs="Times New Roman"/>
      <w:color w:val="0000FF"/>
      <w:sz w:val="20"/>
      <w:szCs w:val="20"/>
      <w:u w:val="single" w:color="0000FF"/>
    </w:rPr>
  </w:style>
  <w:style w:type="numbering" w:customStyle="1" w:styleId="ImportedStyle5">
    <w:name w:val="Imported Style 5"/>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lang w:val="bg-BG" w:eastAsia="bg-BG"/>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bg-BG" w:eastAsia="bg-BG"/>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lang w:val="bg-BG" w:eastAsia="bg-BG"/>
    </w:rPr>
  </w:style>
  <w:style w:type="character" w:customStyle="1" w:styleId="st1">
    <w:name w:val="st1"/>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one" w:sz="0" w:space="0" w:color="auto"/>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bdr w:val="none" w:sz="0" w:space="0" w:color="auto"/>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bdr w:val="none" w:sz="0" w:space="0" w:color="aut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2"/>
      <w:szCs w:val="22"/>
      <w:bdr w:val="none" w:sz="0" w:space="0" w:color="auto"/>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2"/>
      <w:szCs w:val="22"/>
      <w:bdr w:val="none" w:sz="0" w:space="0" w:color="auto"/>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bdr w:val="none" w:sz="0" w:space="0" w:color="auto"/>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bdr w:val="none" w:sz="0" w:space="0" w:color="auto"/>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bdr w:val="none" w:sz="0" w:space="0" w:color="auto"/>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uiPriority w:val="99"/>
    <w:rPr>
      <w:rFonts w:ascii="Calibri" w:eastAsia="Calibri" w:hAnsi="Calibri" w:cs="Calibri"/>
      <w:color w:val="000000"/>
      <w:u w:color="000000"/>
      <w:lang w:val="bg-BG"/>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FollowedHyperlink1">
    <w:name w:val="FollowedHyperlink1"/>
    <w:basedOn w:val="DefaultParagraphFont"/>
    <w:uiPriority w:val="99"/>
    <w:semiHidden/>
    <w:unhideWhenUsed/>
    <w:rPr>
      <w:color w:val="800080"/>
      <w:u w:val="single"/>
    </w:rPr>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Marker">
    <w:name w:val="Marker"/>
    <w:basedOn w:val="DefaultParagraphFont"/>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eastAsia="bg-BG"/>
    </w:rPr>
  </w:style>
  <w:style w:type="paragraph" w:customStyle="1" w:styleId="HeaderCoverPage">
    <w:name w:val="Header Cover Page"/>
    <w:basedOn w:val="Normal"/>
    <w:link w:val="HeaderCoverPageChar"/>
    <w:pPr>
      <w:numPr>
        <w:numId w:val="2"/>
      </w:numPr>
      <w:tabs>
        <w:tab w:val="center" w:pos="4535"/>
        <w:tab w:val="right" w:pos="9071"/>
      </w:tabs>
      <w:spacing w:after="120"/>
      <w:ind w:left="0"/>
      <w:jc w:val="both"/>
    </w:pPr>
    <w:rPr>
      <w:rFonts w:eastAsia="Cambria"/>
      <w:color w:val="000000"/>
      <w:u w:color="000000"/>
    </w:rPr>
  </w:style>
  <w:style w:type="character" w:customStyle="1" w:styleId="HeadingChar">
    <w:name w:val="Heading Char"/>
    <w:basedOn w:val="DefaultParagraphFont"/>
    <w:link w:val="Heading"/>
    <w:rPr>
      <w:rFonts w:ascii="Cambria" w:eastAsia="Cambria" w:hAnsi="Cambria" w:cs="Cambria"/>
      <w:b/>
      <w:bCs/>
      <w:color w:val="365F91"/>
      <w:sz w:val="28"/>
      <w:szCs w:val="28"/>
      <w:u w:color="365F91"/>
    </w:rPr>
  </w:style>
  <w:style w:type="character" w:customStyle="1" w:styleId="HeaderCoverPageChar">
    <w:name w:val="Header Cover Page Char"/>
    <w:basedOn w:val="HeadingChar"/>
    <w:link w:val="HeaderCoverPage"/>
    <w:rPr>
      <w:rFonts w:ascii="Cambria" w:eastAsia="Cambria" w:hAnsi="Cambria" w:cs="Cambria"/>
      <w:b w:val="0"/>
      <w:bCs w:val="0"/>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49607">
      <w:bodyDiv w:val="1"/>
      <w:marLeft w:val="0"/>
      <w:marRight w:val="0"/>
      <w:marTop w:val="0"/>
      <w:marBottom w:val="0"/>
      <w:divBdr>
        <w:top w:val="none" w:sz="0" w:space="0" w:color="auto"/>
        <w:left w:val="none" w:sz="0" w:space="0" w:color="auto"/>
        <w:bottom w:val="none" w:sz="0" w:space="0" w:color="auto"/>
        <w:right w:val="none" w:sz="0" w:space="0" w:color="auto"/>
      </w:divBdr>
    </w:div>
    <w:div w:id="187723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peaid/sites/devco/files/staff-working-document-gender-2016-2020-20150922_en.pdf" TargetMode="External"/><Relationship Id="rId13" Type="http://schemas.openxmlformats.org/officeDocument/2006/relationships/hyperlink" Target="https://www.europol.europa.eu/content/trafficking-human-beings-eu" TargetMode="External"/><Relationship Id="rId18" Type="http://schemas.openxmlformats.org/officeDocument/2006/relationships/hyperlink" Target="http://www.italy.iom.int/index.php?option=com_content&amp;task=view&amp;id=341&amp;Itemid=46" TargetMode="External"/><Relationship Id="rId3" Type="http://schemas.openxmlformats.org/officeDocument/2006/relationships/hyperlink" Target="http://eur-lex.europa.eu/legal-content/BG/ALL/?uri=CELEX%3A52012DC0286" TargetMode="External"/><Relationship Id="rId21" Type="http://schemas.openxmlformats.org/officeDocument/2006/relationships/hyperlink" Target="http://eur-lex.europa.eu/LexUriServ/LexUriServ.do?uri=OJ:L:2009:168:0024:0032:EN:PDF" TargetMode="External"/><Relationship Id="rId7" Type="http://schemas.openxmlformats.org/officeDocument/2006/relationships/hyperlink" Target="https://ec.europa.eu/anti-trafficking/sites/antitrafficking/files/joint_communication_on_human_rights_and_democracy_en.pdf" TargetMode="External"/><Relationship Id="rId12" Type="http://schemas.openxmlformats.org/officeDocument/2006/relationships/hyperlink" Target="http://ec.europa.eu/eurostat/cache/metadata/en/crim_esms.htm" TargetMode="External"/><Relationship Id="rId17" Type="http://schemas.openxmlformats.org/officeDocument/2006/relationships/hyperlink" Target="http://ec.europa.eu/anti-trafficking/sites/antitrafficking/files/study_on_children_as_high_risk_groups_of_trafficking_in_human_beings_0.pdf" TargetMode="External"/><Relationship Id="rId2" Type="http://schemas.openxmlformats.org/officeDocument/2006/relationships/hyperlink" Target="https://ec.europa.eu/anti-trafficking/eu-anti-trafficking-coordinator_en" TargetMode="External"/><Relationship Id="rId16" Type="http://schemas.openxmlformats.org/officeDocument/2006/relationships/hyperlink" Target="http://data.unhcr.org/mediterranean/regional.php" TargetMode="External"/><Relationship Id="rId20" Type="http://schemas.openxmlformats.org/officeDocument/2006/relationships/hyperlink" Target="http://ec.europa.eu/anti-trafficking/eu-policy/council-conclusions-new-eu-strategy_en" TargetMode="External"/><Relationship Id="rId1" Type="http://schemas.openxmlformats.org/officeDocument/2006/relationships/hyperlink" Target="http://eur-lex.europa.eu/legal-content/BG/ALL/?uri=CELEX:32011L0036" TargetMode="External"/><Relationship Id="rId6" Type="http://schemas.openxmlformats.org/officeDocument/2006/relationships/hyperlink" Target="http://ec.europa.eu/dgs/home-affairs/e-library/documents/policies/asylum/general/docs/eu_action_plan_against_migrant_smuggling_bg.pdf" TargetMode="External"/><Relationship Id="rId11" Type="http://schemas.openxmlformats.org/officeDocument/2006/relationships/hyperlink" Target="https://ec.europa.eu/anti-trafficking/sites/antitrafficking/files/eurostat_report_on_trafficking_in_human_beings_-_2015_edition.pdf" TargetMode="External"/><Relationship Id="rId5" Type="http://schemas.openxmlformats.org/officeDocument/2006/relationships/hyperlink" Target="http://eur-lex.europa.eu/legal-content/BG/TXT/PDF/?uri=CELEX:52015DC0185&amp;qid=1453036176480&amp;from=BG" TargetMode="External"/><Relationship Id="rId15" Type="http://schemas.openxmlformats.org/officeDocument/2006/relationships/hyperlink" Target="https://www.europol.europa.eu/content/fighting-child-trafficking-main-priority-eu-law-enforcement" TargetMode="External"/><Relationship Id="rId10" Type="http://schemas.openxmlformats.org/officeDocument/2006/relationships/hyperlink" Target="http://ec.europa.eu/anti-trafficking/" TargetMode="External"/><Relationship Id="rId19" Type="http://schemas.openxmlformats.org/officeDocument/2006/relationships/hyperlink" Target="http://ec.europa.eu/dgs/home-affairs/e-library/docs/thb-victims-identification/thb_identification_en.pdf" TargetMode="External"/><Relationship Id="rId4" Type="http://schemas.openxmlformats.org/officeDocument/2006/relationships/hyperlink" Target="http://ec.europa.eu/dgs/home-affairs/what-we-do/policies/european-agenda-migration/background-information/docs/communication_on_the_european_agenda_on_migration_bg.pdf" TargetMode="External"/><Relationship Id="rId9" Type="http://schemas.openxmlformats.org/officeDocument/2006/relationships/hyperlink" Target="http://ec.europa.eu/europeaid/sites/devco/files/staff-working-document-gender-2016-2020-20150922_en.pdf" TargetMode="External"/><Relationship Id="rId14" Type="http://schemas.openxmlformats.org/officeDocument/2006/relationships/hyperlink" Target="https://www.europol.europa.eu/content/trafficking-human-beings-eu" TargetMode="External"/><Relationship Id="rId22" Type="http://schemas.openxmlformats.org/officeDocument/2006/relationships/hyperlink" Target="http://eur-lex.europa.eu/legal-content/BG/TXT/?uri=celex%3A32011L009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20AC-637E-4A4B-93C4-19320C28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18</Pages>
  <Words>5648</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82</cp:revision>
  <cp:lastPrinted>2016-03-18T13:51:00Z</cp:lastPrinted>
  <dcterms:created xsi:type="dcterms:W3CDTF">2016-04-11T15:40:00Z</dcterms:created>
  <dcterms:modified xsi:type="dcterms:W3CDTF">2016-05-17T06:33:00Z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