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8909CD627F614705823B859377F3EC91" style="width:450.35pt;height:425.2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</w:rPr>
      </w:pPr>
      <w:bookmarkStart w:id="0" w:name="_GoBack"/>
      <w:bookmarkEnd w:id="0"/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3259/94 1 artiklan 3 alakohta ja liite (mukautettu)</w:t>
      </w:r>
    </w:p>
    <w:p>
      <w:pPr>
        <w:pStyle w:val="Annexetitre"/>
        <w:rPr>
          <w:noProof/>
        </w:rPr>
      </w:pPr>
      <w:r>
        <w:rPr>
          <w:noProof/>
        </w:rPr>
        <w:t>LIITE I</w:t>
      </w:r>
    </w:p>
    <w:p>
      <w:pPr>
        <w:spacing w:before="360"/>
        <w:jc w:val="center"/>
        <w:rPr>
          <w:b/>
          <w:smallCaps/>
          <w:noProof/>
        </w:rPr>
      </w:pPr>
      <w:r>
        <w:rPr>
          <w:b/>
          <w:smallCaps/>
          <w:noProof/>
        </w:rPr>
        <w:t>Uudet alukset, joiden suurin kokonaispituus on alle 15 metriä</w:t>
      </w:r>
    </w:p>
    <w:p>
      <w:pPr>
        <w:rPr>
          <w:noProof/>
        </w:rPr>
      </w:pPr>
      <w:r>
        <w:rPr>
          <w:noProof/>
        </w:rPr>
        <w:t>Niiden uusien kalastusalusten, joiden suurin kokonaispituus on alle 15 metriä, bruttovetoisuus määritellään seuraavan kaavan mukaisesti:</w:t>
      </w:r>
    </w:p>
    <w:p>
      <w:pPr>
        <w:pStyle w:val="NormalCentered"/>
        <w:rPr>
          <w:noProof/>
        </w:rPr>
      </w:pPr>
      <w:r>
        <w:rPr>
          <w:noProof/>
        </w:rPr>
        <w:t>GT = K</w:t>
      </w:r>
      <w:r>
        <w:rPr>
          <w:noProof/>
          <w:vertAlign w:val="subscript"/>
        </w:rPr>
        <w:t>1</w:t>
      </w:r>
      <w:r>
        <w:rPr>
          <w:noProof/>
        </w:rPr>
        <w:t xml:space="preserve"> × V</w:t>
      </w:r>
    </w:p>
    <w:p>
      <w:pPr>
        <w:rPr>
          <w:noProof/>
        </w:rPr>
      </w:pPr>
      <w:r>
        <w:rPr>
          <w:noProof/>
        </w:rPr>
        <w:t>jolloin K</w:t>
      </w:r>
      <w:r>
        <w:rPr>
          <w:noProof/>
          <w:vertAlign w:val="subscript"/>
        </w:rPr>
        <w:t>1</w:t>
      </w:r>
      <w:r>
        <w:rPr>
          <w:noProof/>
        </w:rPr>
        <w:t xml:space="preserve"> = 0,2 + 0,02 log</w:t>
      </w:r>
      <w:r>
        <w:rPr>
          <w:noProof/>
          <w:vertAlign w:val="subscript"/>
        </w:rPr>
        <w:t>10</w:t>
      </w:r>
      <w:r>
        <w:rPr>
          <w:noProof/>
        </w:rPr>
        <w:t xml:space="preserve"> V</w:t>
      </w:r>
    </w:p>
    <w:p>
      <w:pPr>
        <w:rPr>
          <w:noProof/>
        </w:rPr>
      </w:pPr>
      <w:r>
        <w:rPr>
          <w:noProof/>
        </w:rPr>
        <w:t>ja V on tilavuus, joka saadaan kaavalla:</w:t>
      </w:r>
    </w:p>
    <w:p>
      <w:pPr>
        <w:pStyle w:val="NormalCentered"/>
        <w:rPr>
          <w:noProof/>
        </w:rPr>
      </w:pPr>
      <w:r>
        <w:rPr>
          <w:noProof/>
        </w:rPr>
        <w:t>V = a</w:t>
      </w:r>
      <w:r>
        <w:rPr>
          <w:noProof/>
          <w:vertAlign w:val="subscript"/>
        </w:rPr>
        <w:t>1</w:t>
      </w:r>
      <w:r>
        <w:rPr>
          <w:noProof/>
        </w:rPr>
        <w:t xml:space="preserve"> (L</w:t>
      </w:r>
      <w:r>
        <w:rPr>
          <w:noProof/>
          <w:vertAlign w:val="subscript"/>
        </w:rPr>
        <w:t>oa</w:t>
      </w:r>
      <w:r>
        <w:rPr>
          <w:noProof/>
        </w:rPr>
        <w:t xml:space="preserve"> × B</w:t>
      </w:r>
      <w:r>
        <w:rPr>
          <w:noProof/>
          <w:vertAlign w:val="subscript"/>
        </w:rPr>
        <w:t>1</w:t>
      </w:r>
      <w:r>
        <w:rPr>
          <w:noProof/>
        </w:rPr>
        <w:t xml:space="preserve"> × T</w:t>
      </w:r>
      <w:r>
        <w:rPr>
          <w:noProof/>
          <w:vertAlign w:val="subscript"/>
        </w:rPr>
        <w:t>1</w:t>
      </w:r>
      <w:r>
        <w:rPr>
          <w:noProof/>
        </w:rPr>
        <w:t>)</w:t>
      </w:r>
    </w:p>
    <w:p>
      <w:pPr>
        <w:rPr>
          <w:noProof/>
        </w:rPr>
      </w:pPr>
      <w:r>
        <w:rPr>
          <w:noProof/>
        </w:rPr>
        <w:t>jolloin:</w:t>
      </w:r>
    </w:p>
    <w:p>
      <w:pPr>
        <w:rPr>
          <w:noProof/>
        </w:rPr>
      </w:pPr>
      <w:r>
        <w:rPr>
          <w:noProof/>
        </w:rPr>
        <w:t>L</w:t>
      </w:r>
      <w:r>
        <w:rPr>
          <w:noProof/>
          <w:vertAlign w:val="subscript"/>
        </w:rPr>
        <w:t>oa</w:t>
      </w:r>
      <w:r>
        <w:rPr>
          <w:noProof/>
          <w:vertAlign w:val="subscript"/>
        </w:rPr>
        <w:tab/>
      </w:r>
      <w:r>
        <w:rPr>
          <w:noProof/>
        </w:rPr>
        <w:t>= suurin kokonaispituus (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tämän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asetuksen2 artikla)</w:t>
      </w:r>
    </w:p>
    <w:p>
      <w:pPr>
        <w:rPr>
          <w:noProof/>
        </w:rPr>
      </w:pPr>
      <w:r>
        <w:rPr>
          <w:noProof/>
        </w:rPr>
        <w:t>B</w:t>
      </w:r>
      <w:r>
        <w:rPr>
          <w:noProof/>
          <w:vertAlign w:val="subscript"/>
        </w:rPr>
        <w:t>1</w:t>
      </w:r>
      <w:r>
        <w:rPr>
          <w:noProof/>
          <w:vertAlign w:val="subscript"/>
        </w:rPr>
        <w:tab/>
      </w:r>
      <w:r>
        <w:rPr>
          <w:noProof/>
        </w:rPr>
        <w:t>= leveys metreinä, niin kuin se on määriteltynä vuoden 1969 yleissopimuksessa</w:t>
      </w:r>
    </w:p>
    <w:p>
      <w:pPr>
        <w:rPr>
          <w:noProof/>
        </w:rPr>
      </w:pPr>
      <w:r>
        <w:rPr>
          <w:noProof/>
        </w:rPr>
        <w:t>T</w:t>
      </w:r>
      <w:r>
        <w:rPr>
          <w:noProof/>
          <w:vertAlign w:val="subscript"/>
        </w:rPr>
        <w:t>1</w:t>
      </w:r>
      <w:r>
        <w:rPr>
          <w:noProof/>
          <w:vertAlign w:val="subscript"/>
        </w:rPr>
        <w:tab/>
      </w:r>
      <w:r>
        <w:rPr>
          <w:noProof/>
        </w:rPr>
        <w:t>= korkeus metreinä, niin kuin se on määriteltynä vuoden 1969 yleissopimuksessa</w:t>
      </w:r>
    </w:p>
    <w:p>
      <w:pPr>
        <w:rPr>
          <w:noProof/>
        </w:rPr>
      </w:pPr>
      <w:r>
        <w:rPr>
          <w:noProof/>
        </w:rPr>
        <w:t>a</w:t>
      </w:r>
      <w:r>
        <w:rPr>
          <w:noProof/>
          <w:vertAlign w:val="subscript"/>
        </w:rPr>
        <w:t>1</w:t>
      </w:r>
      <w:r>
        <w:rPr>
          <w:noProof/>
          <w:vertAlign w:val="subscript"/>
        </w:rPr>
        <w:tab/>
      </w:r>
      <w:r>
        <w:rPr>
          <w:noProof/>
        </w:rPr>
        <w:t>= L</w:t>
      </w:r>
      <w:r>
        <w:rPr>
          <w:noProof/>
          <w:vertAlign w:val="subscript"/>
        </w:rPr>
        <w:t>oa</w:t>
      </w:r>
      <w:r>
        <w:rPr>
          <w:noProof/>
        </w:rPr>
        <w:t>:n funktio</w:t>
      </w:r>
    </w:p>
    <w:p>
      <w:pPr>
        <w:spacing w:before="360"/>
        <w:jc w:val="center"/>
        <w:rPr>
          <w:b/>
          <w:smallCaps/>
          <w:noProof/>
        </w:rPr>
      </w:pPr>
      <w:r>
        <w:rPr>
          <w:b/>
          <w:smallCaps/>
          <w:noProof/>
        </w:rPr>
        <w:fldChar w:fldCharType="begin"/>
      </w:r>
      <w:r>
        <w:rPr>
          <w:b/>
          <w:smallCaps/>
          <w:noProof/>
        </w:rPr>
        <w:instrText xml:space="preserve"> QUOTE "</w:instrText>
      </w:r>
      <w:r>
        <w:rPr>
          <w:rStyle w:val="CRMarker"/>
          <w:b/>
          <w:smallCaps/>
          <w:noProof/>
        </w:rPr>
        <w:instrText>Ö</w:instrText>
      </w:r>
      <w:r>
        <w:rPr>
          <w:b/>
          <w:smallCaps/>
          <w:noProof/>
        </w:rPr>
        <w:instrText xml:space="preserve">" </w:instrText>
      </w:r>
      <w:r>
        <w:rPr>
          <w:b/>
          <w:smallCaps/>
          <w:noProof/>
        </w:rPr>
        <w:fldChar w:fldCharType="separate"/>
      </w:r>
      <w:r>
        <w:rPr>
          <w:rStyle w:val="CRMarker"/>
          <w:b/>
          <w:noProof/>
        </w:rPr>
        <w:t>Ö</w:t>
      </w:r>
      <w:r>
        <w:rPr>
          <w:b/>
          <w:smallCaps/>
          <w:noProof/>
        </w:rPr>
        <w:fldChar w:fldCharType="end"/>
      </w:r>
      <w:r>
        <w:rPr>
          <w:b/>
          <w:smallCaps/>
          <w:noProof/>
        </w:rPr>
        <w:t> 1 päivänä tammikuuta 1995 </w:t>
      </w:r>
      <w:r>
        <w:rPr>
          <w:b/>
          <w:smallCaps/>
          <w:noProof/>
        </w:rPr>
        <w:fldChar w:fldCharType="begin"/>
      </w:r>
      <w:r>
        <w:rPr>
          <w:b/>
          <w:smallCaps/>
          <w:noProof/>
        </w:rPr>
        <w:instrText xml:space="preserve"> QUOTE "</w:instrText>
      </w:r>
      <w:r>
        <w:rPr>
          <w:rStyle w:val="CRMarker"/>
          <w:b/>
          <w:smallCaps/>
          <w:noProof/>
        </w:rPr>
        <w:instrText>Õ</w:instrText>
      </w:r>
      <w:r>
        <w:rPr>
          <w:b/>
          <w:smallCaps/>
          <w:noProof/>
        </w:rPr>
        <w:instrText xml:space="preserve">" </w:instrText>
      </w:r>
      <w:r>
        <w:rPr>
          <w:b/>
          <w:smallCaps/>
          <w:noProof/>
        </w:rPr>
        <w:fldChar w:fldCharType="separate"/>
      </w:r>
      <w:r>
        <w:rPr>
          <w:rStyle w:val="CRMarker"/>
          <w:b/>
          <w:noProof/>
        </w:rPr>
        <w:t>Õ</w:t>
      </w:r>
      <w:r>
        <w:rPr>
          <w:b/>
          <w:smallCaps/>
          <w:noProof/>
        </w:rPr>
        <w:fldChar w:fldCharType="end"/>
      </w:r>
      <w:r>
        <w:rPr>
          <w:b/>
          <w:smallCaps/>
          <w:noProof/>
        </w:rPr>
        <w:t xml:space="preserve"> olemassa olevat alukset, joiden suurin kokonaispituus on alle 15 metriä</w:t>
      </w:r>
    </w:p>
    <w:p>
      <w:pPr>
        <w:rPr>
          <w:noProof/>
        </w:rPr>
      </w:pPr>
      <w:r>
        <w:rPr>
          <w:noProof/>
        </w:rPr>
        <w:t xml:space="preserve">Niiden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1 päivänä tammikuuta 1995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olemassa olevien kalastusalusten, joiden suurin kokonaispituus on alle 15 metriä, bruttovetoisuus määritellään seuraavan kaavan mukaisesti:</w:t>
      </w:r>
    </w:p>
    <w:p>
      <w:pPr>
        <w:pStyle w:val="NormalCentered"/>
        <w:rPr>
          <w:noProof/>
        </w:rPr>
      </w:pPr>
      <w:r>
        <w:rPr>
          <w:noProof/>
        </w:rPr>
        <w:t>GT = K</w:t>
      </w:r>
      <w:r>
        <w:rPr>
          <w:noProof/>
          <w:vertAlign w:val="subscript"/>
        </w:rPr>
        <w:t>1</w:t>
      </w:r>
      <w:r>
        <w:rPr>
          <w:noProof/>
        </w:rPr>
        <w:t xml:space="preserve"> × V</w:t>
      </w:r>
    </w:p>
    <w:p>
      <w:pPr>
        <w:rPr>
          <w:noProof/>
        </w:rPr>
      </w:pPr>
      <w:r>
        <w:rPr>
          <w:noProof/>
        </w:rPr>
        <w:t>jolloin V on tilavuus, joka saadaan kaavalla:</w:t>
      </w:r>
    </w:p>
    <w:p>
      <w:pPr>
        <w:pStyle w:val="NormalCentered"/>
        <w:rPr>
          <w:noProof/>
        </w:rPr>
      </w:pPr>
      <w:r>
        <w:rPr>
          <w:noProof/>
        </w:rPr>
        <w:t>V = a</w:t>
      </w:r>
      <w:r>
        <w:rPr>
          <w:noProof/>
          <w:vertAlign w:val="subscript"/>
        </w:rPr>
        <w:t>2</w:t>
      </w:r>
      <w:r>
        <w:rPr>
          <w:noProof/>
        </w:rPr>
        <w:t xml:space="preserve"> (L</w:t>
      </w:r>
      <w:r>
        <w:rPr>
          <w:noProof/>
          <w:vertAlign w:val="subscript"/>
        </w:rPr>
        <w:t>oa</w:t>
      </w:r>
      <w:r>
        <w:rPr>
          <w:noProof/>
        </w:rPr>
        <w:t xml:space="preserve"> × B</w:t>
      </w:r>
      <w:r>
        <w:rPr>
          <w:noProof/>
          <w:vertAlign w:val="subscript"/>
        </w:rPr>
        <w:t>1</w:t>
      </w:r>
      <w:r>
        <w:rPr>
          <w:noProof/>
        </w:rPr>
        <w:t xml:space="preserve"> × T</w:t>
      </w:r>
      <w:r>
        <w:rPr>
          <w:noProof/>
          <w:vertAlign w:val="subscript"/>
        </w:rPr>
        <w:t>1</w:t>
      </w:r>
      <w:r>
        <w:rPr>
          <w:noProof/>
        </w:rPr>
        <w:t>)</w:t>
      </w:r>
    </w:p>
    <w:p>
      <w:pPr>
        <w:rPr>
          <w:noProof/>
        </w:rPr>
      </w:pPr>
      <w:r>
        <w:rPr>
          <w:noProof/>
        </w:rPr>
        <w:t>jolloin:</w:t>
      </w:r>
    </w:p>
    <w:p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</w:t>
      </w:r>
      <w:r>
        <w:rPr>
          <w:noProof/>
          <w:vertAlign w:val="subscript"/>
        </w:rPr>
        <w:t>oa</w:t>
      </w:r>
      <w:r>
        <w:rPr>
          <w:noProof/>
          <w:vertAlign w:val="subscript"/>
        </w:rPr>
        <w:tab/>
      </w:r>
      <w:r>
        <w:rPr>
          <w:noProof/>
        </w:rPr>
        <w:t>= suurin kokonaispituus (tämän asetuksen 2 artikla)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rPr>
          <w:noProof/>
        </w:rPr>
      </w:pPr>
      <w:r>
        <w:rPr>
          <w:noProof/>
        </w:rPr>
        <w:t>B</w:t>
      </w:r>
      <w:r>
        <w:rPr>
          <w:noProof/>
          <w:vertAlign w:val="subscript"/>
        </w:rPr>
        <w:t>1</w:t>
      </w:r>
      <w:r>
        <w:rPr>
          <w:noProof/>
          <w:vertAlign w:val="subscript"/>
        </w:rPr>
        <w:tab/>
      </w:r>
      <w:r>
        <w:rPr>
          <w:noProof/>
        </w:rPr>
        <w:t>= leveys metreinä</w:t>
      </w:r>
    </w:p>
    <w:p>
      <w:pPr>
        <w:rPr>
          <w:noProof/>
        </w:rPr>
      </w:pPr>
      <w:r>
        <w:rPr>
          <w:noProof/>
        </w:rPr>
        <w:t>T</w:t>
      </w:r>
      <w:r>
        <w:rPr>
          <w:noProof/>
          <w:vertAlign w:val="subscript"/>
        </w:rPr>
        <w:t>1</w:t>
      </w:r>
      <w:r>
        <w:rPr>
          <w:noProof/>
          <w:vertAlign w:val="subscript"/>
        </w:rPr>
        <w:tab/>
      </w:r>
      <w:r>
        <w:rPr>
          <w:noProof/>
        </w:rPr>
        <w:t>= korkeus metreinä</w:t>
      </w:r>
    </w:p>
    <w:p>
      <w:pPr>
        <w:rPr>
          <w:noProof/>
        </w:rPr>
      </w:pPr>
      <w:r>
        <w:rPr>
          <w:noProof/>
        </w:rPr>
        <w:t>a</w:t>
      </w:r>
      <w:r>
        <w:rPr>
          <w:noProof/>
          <w:vertAlign w:val="subscript"/>
        </w:rPr>
        <w:t>2</w:t>
      </w:r>
      <w:r>
        <w:rPr>
          <w:noProof/>
          <w:vertAlign w:val="subscript"/>
        </w:rPr>
        <w:tab/>
      </w:r>
      <w:r>
        <w:rPr>
          <w:noProof/>
        </w:rPr>
        <w:t>=</w:t>
      </w:r>
      <w:r>
        <w:rPr>
          <w:noProof/>
          <w:vertAlign w:val="subscript"/>
        </w:rPr>
        <w:t xml:space="preserve"> </w:t>
      </w:r>
      <w:r>
        <w:rPr>
          <w:noProof/>
        </w:rPr>
        <w:t>L</w:t>
      </w:r>
      <w:r>
        <w:rPr>
          <w:noProof/>
          <w:vertAlign w:val="subscript"/>
        </w:rPr>
        <w:t>oa</w:t>
      </w:r>
      <w:r>
        <w:rPr>
          <w:noProof/>
        </w:rPr>
        <w:t>:n funktio</w:t>
      </w:r>
    </w:p>
    <w:p>
      <w:pPr>
        <w:rPr>
          <w:noProof/>
        </w:rPr>
      </w:pPr>
      <w:r>
        <w:rPr>
          <w:noProof/>
        </w:rPr>
        <w:t>Funktiot a</w:t>
      </w:r>
      <w:r>
        <w:rPr>
          <w:noProof/>
          <w:vertAlign w:val="subscript"/>
        </w:rPr>
        <w:t>1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</w:t>
      </w:r>
      <w:r>
        <w:rPr>
          <w:noProof/>
          <w:vertAlign w:val="subscript"/>
        </w:rPr>
        <w:t>2</w:t>
      </w:r>
      <w:r>
        <w:rPr>
          <w:noProof/>
        </w:rPr>
        <w:t xml:space="preserve"> vahvistetaan jäsenvaltioiden laivastoista kootuista edustavista otoksista tehtyjen tilastollisten analyysien perusteella. Komission </w:t>
      </w:r>
      <w:r>
        <w:rPr>
          <w:noProof/>
        </w:rPr>
        <w:lastRenderedPageBreak/>
        <w:t xml:space="preserve">päätöksessä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1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määritellään nämä otokset, samoin kuin ulottuvuudet B</w:t>
      </w:r>
      <w:r>
        <w:rPr>
          <w:noProof/>
          <w:vertAlign w:val="subscript"/>
        </w:rPr>
        <w:t>1</w:t>
      </w:r>
      <w:r>
        <w:rPr>
          <w:noProof/>
        </w:rPr>
        <w:t xml:space="preserve"> ja T</w:t>
      </w:r>
      <w:r>
        <w:rPr>
          <w:noProof/>
          <w:vertAlign w:val="subscript"/>
        </w:rPr>
        <w:t>1</w:t>
      </w:r>
      <w:r>
        <w:rPr>
          <w:noProof/>
        </w:rPr>
        <w:t xml:space="preserve"> sekä yksityiskohtaiset säännöt näiden kaavojen soveltamisesta.</w:t>
      </w:r>
    </w:p>
    <w:p>
      <w:pPr>
        <w:pStyle w:val="NormalCentered"/>
        <w:rPr>
          <w:noProof/>
        </w:rPr>
      </w:pPr>
      <w:r>
        <w:rPr>
          <w:noProof/>
        </w:rPr>
        <w:t>___________</w:t>
      </w:r>
    </w:p>
    <w:p>
      <w:pPr>
        <w:adjustRightInd w:val="0"/>
        <w:spacing w:before="0" w:after="0"/>
        <w:jc w:val="left"/>
        <w:rPr>
          <w:noProof/>
        </w:rPr>
        <w:sectPr>
          <w:footerReference w:type="default" r:id="rId15"/>
          <w:footerReference w:type="first" r:id="rId16"/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é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é</w:t>
      </w:r>
      <w:r>
        <w:rPr>
          <w:noProof/>
        </w:rPr>
        <w:fldChar w:fldCharType="end"/>
      </w:r>
      <w:r>
        <w:rPr>
          <w:noProof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LIITE II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Kumottu asetus ja sen muutos</w:t>
      </w: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392"/>
        <w:gridCol w:w="5356"/>
        <w:gridCol w:w="480"/>
        <w:gridCol w:w="2760"/>
        <w:gridCol w:w="753"/>
      </w:tblGrid>
      <w:tr>
        <w:trPr>
          <w:gridAfter w:val="1"/>
          <w:wAfter w:w="753" w:type="dxa"/>
        </w:trPr>
        <w:tc>
          <w:tcPr>
            <w:tcW w:w="5748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Neuvoston asetus (ETY) N:o 2930/86</w:t>
            </w:r>
          </w:p>
        </w:tc>
        <w:tc>
          <w:tcPr>
            <w:tcW w:w="324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(EYVL L 274, 25.9.1986, s. 1)</w:t>
            </w:r>
          </w:p>
        </w:tc>
      </w:tr>
      <w:tr>
        <w:trPr>
          <w:gridBefore w:val="1"/>
          <w:wBefore w:w="392" w:type="dxa"/>
        </w:trPr>
        <w:tc>
          <w:tcPr>
            <w:tcW w:w="5836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Neuvoston asetus (EY) N:o 3259/94</w:t>
            </w:r>
          </w:p>
        </w:tc>
        <w:tc>
          <w:tcPr>
            <w:tcW w:w="3513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(EYVL L 339, 29.12.1994, s. 11)</w:t>
            </w:r>
          </w:p>
        </w:tc>
      </w:tr>
    </w:tbl>
    <w:p>
      <w:pPr>
        <w:pStyle w:val="NormalCentered"/>
        <w:rPr>
          <w:noProof/>
        </w:rPr>
      </w:pPr>
      <w:r>
        <w:rPr>
          <w:noProof/>
        </w:rPr>
        <w:t>___________</w:t>
      </w:r>
    </w:p>
    <w:p>
      <w:pPr>
        <w:rPr>
          <w:noProof/>
        </w:rPr>
        <w:sectPr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  <w:lang w:val="en-GB"/>
        </w:rPr>
        <w:lastRenderedPageBreak/>
        <w:t>LIITE III</w:t>
      </w:r>
    </w:p>
    <w:p>
      <w:pPr>
        <w:pStyle w:val="ManualHeading1"/>
        <w:ind w:left="851" w:hanging="851"/>
        <w:jc w:val="center"/>
        <w:rPr>
          <w:noProof/>
        </w:rPr>
      </w:pPr>
      <w:r>
        <w:rPr>
          <w:noProof/>
        </w:rPr>
        <w:t>Vastaavuustaulukko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Asetus (ETY) N:o 2930/86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  <w:lang w:val="fr-FR"/>
              </w:rPr>
            </w:pPr>
            <w:r>
              <w:rPr>
                <w:noProof/>
              </w:rPr>
              <w:t>Tämä asetus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 artikla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 artikla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 artikla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 artiklan 1 kohdan a 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 artiklan 1 kohdan b 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1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1 kohdan c 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2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1 kohdan d 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1 kohdan e 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2 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4 artiklan 3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5 artikla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5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6 artikla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6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8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7 artiklan 1 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9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lang w:val="fr-FR"/>
              </w:rPr>
              <w:t>7 artiklan 2 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Liite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Liite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Liite 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Liite III</w:t>
            </w:r>
          </w:p>
        </w:tc>
      </w:tr>
    </w:tbl>
    <w:p>
      <w:pPr>
        <w:pStyle w:val="NormalCentered"/>
        <w:rPr>
          <w:noProof/>
        </w:rPr>
      </w:pPr>
      <w:r>
        <w:rPr>
          <w:noProof/>
        </w:rPr>
        <w:t>____________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Katso komission päätös 95/84/EY, </w:t>
      </w:r>
      <w:r>
        <w:rPr>
          <w:rStyle w:val="Strong"/>
          <w:b w:val="0"/>
        </w:rPr>
        <w:t>tehty 20 päivänä maaliskuuta 1995, kalastusalusten ominaisuuksista annetun neuvoston asetuksen (ETY) N:o 2930/86 säännösten täytäntöönpanosta</w:t>
      </w:r>
      <w:r>
        <w:rPr>
          <w:rStyle w:val="Strong"/>
        </w:rPr>
        <w:t xml:space="preserve"> </w:t>
      </w:r>
      <w:r>
        <w:t>(EYVL L 67, 25.3.1995, s. 33).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3C270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EECD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AC6C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5FC06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9CE4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83255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538A6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BF0D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TimeStamp" w:val="11:34:34"/>
    <w:docVar w:name="DQCDateTime" w:val="2016-03-15 11:34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asiakirjaan"/>
    <w:docVar w:name="LW_ACCOMPAGNANT.CP" w:val="asiakirjaan"/>
    <w:docVar w:name="LW_ANNEX_NBR_FIRST" w:val="1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8909CD627F614705823B859377F3EC91"/>
    <w:docVar w:name="LW_CROSSREFERENCE" w:val="&lt;UNUSED&gt;"/>
    <w:docVar w:name="LW_DocType" w:val="ANNEX"/>
    <w:docVar w:name="LW_EMISSION" w:val="23.5.2016"/>
    <w:docVar w:name="LW_EMISSION_ISODATE" w:val="2016-05-23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" w:val="kalastusalusten ominaisuuksista (uudelleenlaadittu teksti)_x000b_"/>
    <w:docVar w:name="LW_OBJETACTEPRINCIPAL.CP" w:val="kalastusalusten ominaisuuksista (uudelleenlaadittu teksti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273"/>
    <w:docVar w:name="LW_REF.INTERNE" w:val="&lt;UNUSED&gt;"/>
    <w:docVar w:name="LW_SUPERTITRE" w:val="&lt;UNUSED&gt;"/>
    <w:docVar w:name="LW_TITRE.OBJ.CP" w:val="&lt;UNUSED&gt;"/>
    <w:docVar w:name="LW_TYPE.DOC" w:val="LIITTEET"/>
    <w:docVar w:name="LW_TYPE.DOC.CP" w:val="LIITTEET"/>
    <w:docVar w:name="LW_TYPEACTEPRINCIPAL" w:val="Ehdotus_x000b__x000b_EUROOPAN PARLAMENTIN JA NEUVOSTON ASETUS_x000b_"/>
    <w:docVar w:name="LW_TYPEACTEPRINCIPAL.CP" w:val="Ehdotus_x000b__x000b_EUROOPAN PARLAMENTIN JA NEUVOSTON ASETU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rPr>
      <w:rFonts w:ascii="Wingdings" w:hAnsi="Wingdings" w:cs="Wingdings"/>
      <w:shd w:val="clear" w:color="auto" w:fill="auto"/>
    </w:rPr>
  </w:style>
  <w:style w:type="paragraph" w:customStyle="1" w:styleId="CRSeparator">
    <w:name w:val="CR Separator"/>
    <w:basedOn w:val="Normal"/>
    <w:next w:val="CRReference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eastAsia="fr-FR"/>
    </w:rPr>
  </w:style>
  <w:style w:type="paragraph" w:customStyle="1" w:styleId="CRReference">
    <w:name w:val="CR Reference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eastAsia="fr-FR"/>
    </w:rPr>
  </w:style>
  <w:style w:type="character" w:styleId="Strong">
    <w:name w:val="Strong"/>
    <w:uiPriority w:val="22"/>
    <w:qFormat/>
    <w:rPr>
      <w:b/>
      <w:bCs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rPr>
      <w:rFonts w:ascii="Wingdings" w:hAnsi="Wingdings" w:cs="Wingdings"/>
      <w:shd w:val="clear" w:color="auto" w:fill="auto"/>
    </w:rPr>
  </w:style>
  <w:style w:type="paragraph" w:customStyle="1" w:styleId="CRSeparator">
    <w:name w:val="CR Separator"/>
    <w:basedOn w:val="Normal"/>
    <w:next w:val="CRReference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eastAsia="fr-FR"/>
    </w:rPr>
  </w:style>
  <w:style w:type="paragraph" w:customStyle="1" w:styleId="CRReference">
    <w:name w:val="CR Reference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eastAsia="fr-FR"/>
    </w:rPr>
  </w:style>
  <w:style w:type="character" w:styleId="Strong">
    <w:name w:val="Strong"/>
    <w:uiPriority w:val="22"/>
    <w:qFormat/>
    <w:rPr>
      <w:b/>
      <w:bCs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384</Words>
  <Characters>1969</Characters>
  <Application>Microsoft Office Word</Application>
  <DocSecurity>0</DocSecurity>
  <Lines>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Seija (SJ)</dc:creator>
  <cp:lastModifiedBy>DIGIT/A3</cp:lastModifiedBy>
  <cp:revision>7</cp:revision>
  <cp:lastPrinted>2016-02-17T14:06:00Z</cp:lastPrinted>
  <dcterms:created xsi:type="dcterms:W3CDTF">2016-03-15T10:34:00Z</dcterms:created>
  <dcterms:modified xsi:type="dcterms:W3CDTF">2016-05-19T12:39:00Z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LWCR Document">
    <vt:lpwstr>True</vt:lpwstr>
  </property>
  <property fmtid="{D5CDD505-2E9C-101B-9397-08002B2CF9AE}" pid="13" name="LWCR Version">
    <vt:lpwstr>1.6.413</vt:lpwstr>
  </property>
  <property fmtid="{D5CDD505-2E9C-101B-9397-08002B2CF9AE}" pid="14" name="DQCStatus">
    <vt:lpwstr>Yellow (DQC version 03)</vt:lpwstr>
  </property>
</Properties>
</file>