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5253B925A124BFAB8821FA5DE00ED46" style="width:450.75pt;height:407.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134" w:right="1417" w:bottom="1134" w:left="1417" w:header="709" w:footer="709" w:gutter="0"/>
          <w:pgNumType w:start="0"/>
          <w:cols w:space="720"/>
          <w:docGrid w:linePitch="326"/>
        </w:sectPr>
      </w:pPr>
    </w:p>
    <w:p>
      <w:pPr>
        <w:pStyle w:val="Annexetitre"/>
        <w:rPr>
          <w:bCs/>
          <w:noProof/>
        </w:rPr>
      </w:pPr>
      <w:bookmarkStart w:id="1" w:name="_GoBack"/>
      <w:bookmarkEnd w:id="1"/>
      <w:r>
        <w:rPr>
          <w:noProof/>
        </w:rPr>
        <w:lastRenderedPageBreak/>
        <w:t>ANHANG</w:t>
      </w:r>
      <w:r>
        <w:rPr>
          <w:noProof/>
        </w:rPr>
        <w:br/>
      </w:r>
    </w:p>
    <w:p>
      <w:pPr>
        <w:pStyle w:val="Annexetitre"/>
        <w:rPr>
          <w:bCs/>
          <w:noProof/>
        </w:rPr>
      </w:pPr>
      <w:r>
        <w:rPr>
          <w:noProof/>
        </w:rPr>
        <w:t>In Artikel 3 Buchstabe a genannte Richtlinien und Verordnungen</w:t>
      </w:r>
    </w:p>
    <w:p>
      <w:pPr>
        <w:pStyle w:val="ListNumber1"/>
        <w:rPr>
          <w:noProof/>
        </w:rPr>
      </w:pPr>
      <w:r>
        <w:rPr>
          <w:noProof/>
        </w:rPr>
        <w:t>1. Richtlinie 93/13/EWG des Rates vom 5. April 1993 über missbräuchliche Klauseln in Verbraucherverträgen (ABl. L 95 vom 21.4.1993, S. 29)</w:t>
      </w:r>
    </w:p>
    <w:p>
      <w:pPr>
        <w:pStyle w:val="ListNumber1"/>
        <w:rPr>
          <w:noProof/>
        </w:rPr>
      </w:pPr>
      <w:r>
        <w:rPr>
          <w:noProof/>
        </w:rPr>
        <w:t>2. Richtlinie 98/6/EG des Europäischen Parlaments und des Rates vom 16. Februar 1998 über den Schutz der Verbraucher bei der Angabe der Preise der ihnen angebotenen Erzeugnisse (ABl. L 80 vom 18.3.1998, S. 27)</w:t>
      </w:r>
    </w:p>
    <w:p>
      <w:pPr>
        <w:pStyle w:val="ListNumber1"/>
        <w:rPr>
          <w:noProof/>
        </w:rPr>
      </w:pPr>
      <w:r>
        <w:rPr>
          <w:noProof/>
        </w:rPr>
        <w:t>3. Richtlinie 1999/44/EG des Europäischen Parlaments und des Rates vom 25. Mai 1999 zu bestimmten Aspekten des Verbrauchsgüterkaufs und der Garantien für Verbrauchsgüter (ABl. L 171 vom 7.7.1999, S. 12)</w:t>
      </w:r>
    </w:p>
    <w:p>
      <w:pPr>
        <w:pStyle w:val="ListNumber1"/>
        <w:rPr>
          <w:noProof/>
        </w:rPr>
      </w:pPr>
      <w:r>
        <w:rPr>
          <w:noProof/>
        </w:rPr>
        <w:t>4. Richtlinie 2000/31/EG des Europäischen Parlaments und des Rates vom 8. Juni 2000 über bestimmte rechtliche Aspekte der Dienste der Informationsgesellschaft, insbesondere des elektronischen Geschäftsverkehrs, im Binnenmarkt („Richtlinie über den elektronischen Geschäftsverkehr“) (ABl. L 178 vom 7.7.2000, S. 1)</w:t>
      </w:r>
    </w:p>
    <w:p>
      <w:pPr>
        <w:pStyle w:val="ListNumber1"/>
        <w:rPr>
          <w:noProof/>
        </w:rPr>
      </w:pPr>
      <w:r>
        <w:rPr>
          <w:noProof/>
        </w:rPr>
        <w:t>5. Richtlinie 2001/83/EG des Europäischen Parlaments und des Rates vom 6. November 2001 zur Schaffung eines Gemeinschaftskodexes für Humanarzneimittel (ABl. L 311 vom 28.11.2001, S. 67): Artikel 86 bis 100</w:t>
      </w:r>
    </w:p>
    <w:p>
      <w:pPr>
        <w:pStyle w:val="ListNumber1"/>
        <w:rPr>
          <w:noProof/>
        </w:rPr>
      </w:pPr>
      <w:r>
        <w:rPr>
          <w:noProof/>
        </w:rPr>
        <w:t>6. Richtlinie 2002/58/EG des Europäischen Parlaments und des Rates vom 12. Juli 2002 über die Verarbeitung personenbezogener Daten und den Schutz der Privatsphäre in der elektronischen Kommunikation (Datenschutzrichtlinie für elektronische Kommunikation) (ABl. L 201 vom 31.7.2002, S. 37): Artikel 13</w:t>
      </w:r>
    </w:p>
    <w:p>
      <w:pPr>
        <w:pStyle w:val="ListNumber1"/>
        <w:rPr>
          <w:noProof/>
        </w:rPr>
      </w:pPr>
      <w:r>
        <w:rPr>
          <w:noProof/>
        </w:rPr>
        <w:t>7. Richtlinie 2002/65/EG des Europäischen Parlaments und des Rates vom 23. September 2002 über den Fernabsatz von Finanzdienstleistungen an Verbraucher und zur Änderung der Richtlinie 90/619/EWG des Rates und der Richtlinien 97/7/EG und 98/27/EG (ABl. L 271 vom 9.10.2002, S. 16)</w:t>
      </w:r>
    </w:p>
    <w:p>
      <w:pPr>
        <w:pStyle w:val="ListNumber1"/>
        <w:rPr>
          <w:noProof/>
        </w:rPr>
      </w:pPr>
      <w:r>
        <w:rPr>
          <w:noProof/>
        </w:rPr>
        <w:t>8. Verordnung (EG) Nr. 261/2004 des Europäischen Parlaments und des Rates vom 11. Februar 2004 über eine gemeinsame Regelung für Ausgleichs und Unterstützungsleistungen für Fluggäste im Fall der Nichtbeförderung und bei Annullierung oder großer Verspätung von Flügen und zur Aufhebung der Verordnung (EWG) Nr. 295/91 (ABl. L 46 vom 17.2.2004, S. 1)</w:t>
      </w:r>
    </w:p>
    <w:p>
      <w:pPr>
        <w:pStyle w:val="ListNumber1"/>
        <w:rPr>
          <w:noProof/>
        </w:rPr>
      </w:pPr>
      <w:r>
        <w:rPr>
          <w:noProof/>
        </w:rPr>
        <w:t>9. Richtlinie 2005/29/EG des Europäischen Parlaments und des Rates vom 11. Mai 2005 über unlautere Geschäftspraktiken im binnenmarktinternen Geschäftsverkehr zwischen Unternehmen und Verbrauchern und zur Änderung der Richtlinie 84/450/EWG des Rates, der Richtlinien 97/7/EG, 98/27/EG und 2002/65/EG des Europäischen Parlaments und des Rates sowie der Verordnung (EG) Nr. 2006/2004 des Europäischen Parlaments und des Rates (Richtlinie über unlautere Geschäftspraktiken) (ABl. L 149 vom 11.6.2005, S. 22)</w:t>
      </w:r>
    </w:p>
    <w:p>
      <w:pPr>
        <w:pStyle w:val="ListNumber1"/>
        <w:rPr>
          <w:noProof/>
        </w:rPr>
      </w:pPr>
      <w:r>
        <w:rPr>
          <w:noProof/>
        </w:rPr>
        <w:t>10. Verordnung (EG) Nr. 1107/2006 des Europäischen Parlaments und des Rates vom 5. Juli 2006 über die Rechte von behinderten Flugreisenden und Flugreisenden mit eingeschränkter Mobilität (ABl. L 204 vom 26.7.2006, S. 1)</w:t>
      </w:r>
    </w:p>
    <w:p>
      <w:pPr>
        <w:pStyle w:val="ListNumber1"/>
        <w:rPr>
          <w:noProof/>
        </w:rPr>
      </w:pPr>
      <w:r>
        <w:rPr>
          <w:noProof/>
        </w:rPr>
        <w:t>11. Richtlinie 2006/114/EG des Europäischen Parlaments und des Rates vom 12. Dezember 2006 über irreführende und vergleichende Werbung (ABl. L 376 vom 27.12.2006, S. 21): Artikel 1, Artikel 2 Buchstabe c und Artikel 4 bis 8</w:t>
      </w:r>
    </w:p>
    <w:p>
      <w:pPr>
        <w:pStyle w:val="ListNumber1"/>
        <w:rPr>
          <w:noProof/>
        </w:rPr>
      </w:pPr>
      <w:r>
        <w:rPr>
          <w:noProof/>
        </w:rPr>
        <w:t>12. Richtlinie 2006/123/EG des Europäischen Parlaments und des Rates vom 12. Dezember 2006 über Dienstleistungen im Binnenmarkt (ABl. L 376 vom 27.12.2006, S. 36): Artikel 20</w:t>
      </w:r>
    </w:p>
    <w:p>
      <w:pPr>
        <w:pStyle w:val="ListNumber1"/>
        <w:rPr>
          <w:noProof/>
        </w:rPr>
      </w:pPr>
      <w:r>
        <w:rPr>
          <w:noProof/>
        </w:rPr>
        <w:t>13. Verordnung (EG) Nr. 1371/2007 des Europäischen Parlaments und des Rates vom 23. Oktober 2007 über die Rechte und Pflichten der Fahrgäste im Eisenbahnverkehr (ABl. L 315 vom 3.12.2007, S. 14)</w:t>
      </w:r>
    </w:p>
    <w:p>
      <w:pPr>
        <w:pStyle w:val="ListNumber1"/>
        <w:rPr>
          <w:noProof/>
        </w:rPr>
      </w:pPr>
      <w:r>
        <w:rPr>
          <w:noProof/>
        </w:rPr>
        <w:t>14. Richtlinie 2008/48/EG des Europäischen Parlaments und des Rates vom 23. April 2008 über Verbraucherkreditverträge und zur Aufhebung der Richtlinie 87/102/EWG des Rates (ABl. L 133 vom 22.5.2008, S. 66)</w:t>
      </w:r>
    </w:p>
    <w:p>
      <w:pPr>
        <w:pStyle w:val="ListNumber1"/>
        <w:rPr>
          <w:noProof/>
        </w:rPr>
      </w:pPr>
      <w:r>
        <w:rPr>
          <w:noProof/>
        </w:rPr>
        <w:t>15. Verordnung (EG) Nr. 1008/2008 des Europäischen Parlaments und des Rates vom 24. September 2008 über gemeinsame Vorschriften für die Durchführung von Luftverkehrsdiensten in der Gemeinschaft (ABl. L 293 vom 31.10.2008, S. 3): Artikel 22, 23 und 24</w:t>
      </w:r>
    </w:p>
    <w:p>
      <w:pPr>
        <w:pStyle w:val="ListNumber1"/>
        <w:rPr>
          <w:noProof/>
        </w:rPr>
      </w:pPr>
      <w:r>
        <w:rPr>
          <w:noProof/>
        </w:rPr>
        <w:t>16. Richtlinie 2008/122/EG des Europäischen Parlaments und des Rates vom 14. Januar 2009 über den Schutz der Verbraucher im Hinblick auf bestimmte Aspekte von Teilzeitnutzungsverträgen, Verträgen über langfristige Urlaubsprodukte sowie Wiederverkaufs- und Tauschverträgen (ABl. L 33 vom 3.2.2009, S. 10)</w:t>
      </w:r>
    </w:p>
    <w:p>
      <w:pPr>
        <w:pStyle w:val="ListNumber1"/>
        <w:rPr>
          <w:noProof/>
        </w:rPr>
      </w:pPr>
      <w:r>
        <w:rPr>
          <w:noProof/>
        </w:rPr>
        <w:t>17. Richtlinie 2010/13/EU des Europäischen Parlaments und des Rates vom 10. März 2010 zur Koordinierung bestimmter Rechts- und Verwaltungsvorschriften der Mitgliedstaaten über die Bereitstellung audiovisueller Mediendienste (Richtlinie über audiovisuelle Mediendienste) (ABl. L 95 vom 15.4.2010, S. 1): Artikel 9, 10, 11 und 19 bis 26</w:t>
      </w:r>
    </w:p>
    <w:p>
      <w:pPr>
        <w:pStyle w:val="ListNumber1"/>
        <w:rPr>
          <w:noProof/>
        </w:rPr>
      </w:pPr>
      <w:r>
        <w:rPr>
          <w:noProof/>
        </w:rPr>
        <w:t>18. Verordnung (EG) Nr. 1177/2010 des Europäischen Parlaments und des Rates vom 24. November 2010 über die Fahrgastrechte im See- und Binnenschiffsverkehr und zur Änderung der Verordnung (EG) Nr. 2006/2004 (ABl. L 334 vom 17.12.2010, S. 1)</w:t>
      </w:r>
    </w:p>
    <w:p>
      <w:pPr>
        <w:pStyle w:val="ListNumber1"/>
        <w:rPr>
          <w:noProof/>
        </w:rPr>
      </w:pPr>
      <w:r>
        <w:rPr>
          <w:noProof/>
        </w:rPr>
        <w:t>19. Verordnung (EU) Nr. 181/2011 des Europäischen Parlaments und des Rates vom 16. Februar 2011 über die Fahrgastrechte im Kraftomnibusverkehr und zur Änderung der Verordnung (EG) Nr. 2006/2004 (ABl. L 55 vom 28.2.2011, S. 1)</w:t>
      </w:r>
    </w:p>
    <w:p>
      <w:pPr>
        <w:pStyle w:val="ListNumber1"/>
        <w:rPr>
          <w:noProof/>
        </w:rPr>
      </w:pPr>
      <w:r>
        <w:rPr>
          <w:noProof/>
        </w:rPr>
        <w:t>20. Richtlinie 2011/83/EU des Europäischen Parlaments und des Rates vom 25. Oktober 2011 über die Rechte der Verbraucher, zur Abänderung der Richtlinie 93/13/EWG des Rates und der Richtlinie 1999/44/EG des Europäischen Parlaments und des Rates sowie zur Aufhebung der Richtlinie 85/577/EWG des Rates und der Richtlinie 97/7/EG des Europäischen Parlaments und des Rates (ABl. L 304 vom 22.11.2011, S. 64)</w:t>
      </w:r>
    </w:p>
    <w:p>
      <w:pPr>
        <w:pStyle w:val="ListNumber1"/>
        <w:rPr>
          <w:noProof/>
        </w:rPr>
      </w:pPr>
      <w:r>
        <w:rPr>
          <w:noProof/>
        </w:rPr>
        <w:t>21. Richtlinie 2013/11/EU des Europäischen Parlaments und des Rates vom 21. Mai 2013 über die alternative Beilegung verbraucherrechtlicher Streitigkeiten und zur Änderung der Verordnung (EG) Nr. 2006/2004 und der Richtlinie 2009/22/EG (Richtlinie über alternative Streitbeilegung in Verbraucherangelegenheiten) (ABl. L 165 vom 18.6.2013, S. 63): Artikel 13</w:t>
      </w:r>
    </w:p>
    <w:p>
      <w:pPr>
        <w:pStyle w:val="ListNumber1"/>
        <w:rPr>
          <w:noProof/>
        </w:rPr>
      </w:pPr>
      <w:r>
        <w:rPr>
          <w:noProof/>
        </w:rPr>
        <w:t>22. Richtlinie 2014/17/ЕU des Europäischen Parlaments und des Rates vom 4. Februar 2014 über Wohnimmobilienkreditverträge für Verbraucher und zur Änderung der Richtlinien 2008/48/EG und 2013/36/EU und der Verordnung (EU) Nr. 1093/2010 (ABl. L 60 vom 28.2.2014, S. 34): Artikel 10, 11, 13, 14, 15, 16, 17, 18, 21, 22 und 23, Kapitel 10 sowie Anhänge I und II</w:t>
      </w:r>
    </w:p>
    <w:p>
      <w:pPr>
        <w:pStyle w:val="ListNumber1"/>
        <w:rPr>
          <w:noProof/>
        </w:rPr>
      </w:pPr>
      <w:r>
        <w:rPr>
          <w:noProof/>
        </w:rPr>
        <w:t>23. Richtlinie 2014/92/EU des Europäischen Parlaments und des Rates vom 23. Juli 2014 über die Vergleichbarkeit von Zahlungskontoentgelten, den Wechsel von Zahlungskonten und den Zugang zu Zahlungskonten mit grundlegenden Funktionen (ABl. L 257 vom 28.8.2014, S. 214): Artikel 3 bis 18 und Artikel 20 Absatz 2</w:t>
      </w:r>
    </w:p>
    <w:p>
      <w:pPr>
        <w:pStyle w:val="ListNumber1"/>
        <w:rPr>
          <w:noProof/>
        </w:rPr>
      </w:pPr>
      <w:r>
        <w:rPr>
          <w:noProof/>
        </w:rPr>
        <w:t>24. Richtlinie (EU) 2015/2302 des Europäischen Parlaments und des Rates vom 25. November 2015 über Pauschalreisen und verbundene Reiseleistungen, zur Änderung der Verordnung (EG) Nr. 2006/2004 und der Richtlinie 2011/83/EU des Europäischen Parlaments und des Rates sowie zur Aufhebung der Richtlinie 90/314/EWG des Rates (ABl. L 326 vom 11.12.2015, S. 1)</w:t>
      </w:r>
      <w:bookmarkStart w:id="2" w:name="_CopyToNewDocument_"/>
      <w:bookmarkEnd w:id="2"/>
    </w:p>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pgMar w:top="1134" w:right="1418" w:bottom="1134" w:left="1418" w:header="709" w:footer="709"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zum"/>
    <w:docVar w:name="LW_ANNEX_NBR_FIRST" w:val="1"/>
    <w:docVar w:name="LW_ANNEX_NBR_LAST" w:val="1"/>
    <w:docVar w:name="LW_CONFIDENCE" w:val=" "/>
    <w:docVar w:name="LW_CONST_RESTREINT_UE" w:val="RESTREINT UE"/>
    <w:docVar w:name="LW_CORRIGENDUM" w:val="&lt;UNUSED&gt;"/>
    <w:docVar w:name="LW_COVERPAGE_GUID" w:val="25253B925A124BFAB8821FA5DE00ED46"/>
    <w:docVar w:name="LW_CROSSREFERENCE" w:val="{SWD(2016) 164 final}_x000b_{SWD(2016) 165 final}"/>
    <w:docVar w:name="LW_DATE.ADOPT.CP_ISODATE" w:val="&lt;EMPTY&gt;"/>
    <w:docVar w:name="LW_DocType" w:val="NORMAL"/>
    <w:docVar w:name="LW_EMISSION" w:val="25.5.2016"/>
    <w:docVar w:name="LW_EMISSION_ISODATE" w:val="2016-05-25"/>
    <w:docVar w:name="LW_EMISSION_LOCATION" w:val="BRX"/>
    <w:docVar w:name="LW_EMISSION_PREFIX" w:val="Brüssel, den "/>
    <w:docVar w:name="LW_EMISSION_SUFFIX" w:val=" "/>
    <w:docVar w:name="LW_ID_DOCTYPE_NONLW" w:val="CP-036"/>
    <w:docVar w:name="LW_INTERETEEE.CP" w:val="&lt;UNUSED&gt;"/>
    <w:docVar w:name="LW_LANGUE" w:val="DE"/>
    <w:docVar w:name="LW_LANGUESFAISANTFOI.CP" w:val="&lt;UNUSED&gt;"/>
    <w:docVar w:name="LW_MARKING" w:val="&lt;UNUSED&gt;"/>
    <w:docVar w:name="LW_NOM.INST" w:val="EUROPÄISCHE KOMMISSION"/>
    <w:docVar w:name="LW_NOM.INST_JOINTDOC" w:val="&lt;EMPTY&gt;"/>
    <w:docVar w:name="LW_OBJETACTEPRINCIPAL.CP" w:val="über die Zusammenarbeit zwischen den für die Durchsetzung der Verbraucherschutzgesetze zuständigen nationalen Behörden"/>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283"/>
    <w:docVar w:name="LW_REF.INTERNE" w:val="&lt;UNUSED&gt;"/>
    <w:docVar w:name="LW_SOUS.TITRE.OBJ.CP" w:val="&lt;UNUSED&gt;"/>
    <w:docVar w:name="LW_SUPERTITRE" w:val="&lt;UNUSED&gt;"/>
    <w:docVar w:name="LW_TITRE.OBJ.CP" w:val="&lt;UNUSED&gt;"/>
    <w:docVar w:name="LW_TYPE.DOC.CP" w:val="ANHANG_x000b_"/>
    <w:docVar w:name="LW_TYPEACTEPRINCIPAL.CP" w:val="Vorschlag für eine 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 1"/>
    <w:basedOn w:val="Normal"/>
    <w:pPr>
      <w:spacing w:after="240"/>
      <w:jc w:val="both"/>
    </w:pPr>
    <w:rPr>
      <w:szCs w:val="20"/>
    </w:rPr>
  </w:style>
  <w:style w:type="paragraph" w:customStyle="1" w:styleId="Annexetitre">
    <w:name w:val="Annexe titre"/>
    <w:basedOn w:val="Normal"/>
    <w:next w:val="Normal"/>
    <w:link w:val="AnnexetitreChar"/>
    <w:pPr>
      <w:spacing w:before="120" w:after="120"/>
      <w:jc w:val="center"/>
    </w:pPr>
    <w:rPr>
      <w:b/>
      <w:szCs w:val="22"/>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bCs/>
    </w:rPr>
  </w:style>
  <w:style w:type="character" w:customStyle="1" w:styleId="AnnexetitreChar">
    <w:name w:val="Annexe titre Char"/>
    <w:basedOn w:val="DefaultParagraphFont"/>
    <w:link w:val="Annexetitre"/>
    <w:rPr>
      <w:b/>
      <w:sz w:val="24"/>
      <w:szCs w:val="22"/>
      <w:u w:val="single"/>
    </w:rPr>
  </w:style>
  <w:style w:type="character" w:customStyle="1" w:styleId="FooterCoverPageChar">
    <w:name w:val="Footer Cover Page Char"/>
    <w:basedOn w:val="AnnexetitreChar"/>
    <w:link w:val="FooterCoverPage"/>
    <w:rPr>
      <w:b w:val="0"/>
      <w:bCs/>
      <w:sz w:val="24"/>
      <w:szCs w:val="24"/>
      <w:u w:val="single"/>
    </w:rPr>
  </w:style>
  <w:style w:type="paragraph" w:customStyle="1" w:styleId="HeaderCoverPage">
    <w:name w:val="Header Cover Page"/>
    <w:basedOn w:val="Normal"/>
    <w:link w:val="HeaderCoverPageChar"/>
    <w:pPr>
      <w:tabs>
        <w:tab w:val="center" w:pos="4535"/>
        <w:tab w:val="right" w:pos="9071"/>
      </w:tabs>
      <w:spacing w:after="120"/>
      <w:jc w:val="both"/>
    </w:pPr>
    <w:rPr>
      <w:bCs/>
    </w:rPr>
  </w:style>
  <w:style w:type="character" w:customStyle="1" w:styleId="HeaderCoverPageChar">
    <w:name w:val="Header Cover Page Char"/>
    <w:basedOn w:val="AnnexetitreChar"/>
    <w:link w:val="HeaderCoverPage"/>
    <w:rPr>
      <w:b w:val="0"/>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 1"/>
    <w:basedOn w:val="Normal"/>
    <w:pPr>
      <w:spacing w:after="240"/>
      <w:jc w:val="both"/>
    </w:pPr>
    <w:rPr>
      <w:szCs w:val="20"/>
    </w:rPr>
  </w:style>
  <w:style w:type="paragraph" w:customStyle="1" w:styleId="Annexetitre">
    <w:name w:val="Annexe titre"/>
    <w:basedOn w:val="Normal"/>
    <w:next w:val="Normal"/>
    <w:link w:val="AnnexetitreChar"/>
    <w:pPr>
      <w:spacing w:before="120" w:after="120"/>
      <w:jc w:val="center"/>
    </w:pPr>
    <w:rPr>
      <w:b/>
      <w:szCs w:val="22"/>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bCs/>
    </w:rPr>
  </w:style>
  <w:style w:type="character" w:customStyle="1" w:styleId="AnnexetitreChar">
    <w:name w:val="Annexe titre Char"/>
    <w:basedOn w:val="DefaultParagraphFont"/>
    <w:link w:val="Annexetitre"/>
    <w:rPr>
      <w:b/>
      <w:sz w:val="24"/>
      <w:szCs w:val="22"/>
      <w:u w:val="single"/>
    </w:rPr>
  </w:style>
  <w:style w:type="character" w:customStyle="1" w:styleId="FooterCoverPageChar">
    <w:name w:val="Footer Cover Page Char"/>
    <w:basedOn w:val="AnnexetitreChar"/>
    <w:link w:val="FooterCoverPage"/>
    <w:rPr>
      <w:b w:val="0"/>
      <w:bCs/>
      <w:sz w:val="24"/>
      <w:szCs w:val="24"/>
      <w:u w:val="single"/>
    </w:rPr>
  </w:style>
  <w:style w:type="paragraph" w:customStyle="1" w:styleId="HeaderCoverPage">
    <w:name w:val="Header Cover Page"/>
    <w:basedOn w:val="Normal"/>
    <w:link w:val="HeaderCoverPageChar"/>
    <w:pPr>
      <w:tabs>
        <w:tab w:val="center" w:pos="4535"/>
        <w:tab w:val="right" w:pos="9071"/>
      </w:tabs>
      <w:spacing w:after="120"/>
      <w:jc w:val="both"/>
    </w:pPr>
    <w:rPr>
      <w:bCs/>
    </w:rPr>
  </w:style>
  <w:style w:type="character" w:customStyle="1" w:styleId="HeaderCoverPageChar">
    <w:name w:val="Header Cover Page Char"/>
    <w:basedOn w:val="AnnexetitreChar"/>
    <w:link w:val="HeaderCoverPage"/>
    <w:rPr>
      <w:b w:val="0"/>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976</Words>
  <Characters>5764</Characters>
  <Application>Microsoft Office Word</Application>
  <DocSecurity>0</DocSecurity>
  <Lines>96</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ALELUIA Lucia Maria (JUST)</dc:creator>
  <cp:lastModifiedBy>DIGIT/A3</cp:lastModifiedBy>
  <cp:revision>16</cp:revision>
  <dcterms:created xsi:type="dcterms:W3CDTF">2016-04-27T15:37:00Z</dcterms:created>
  <dcterms:modified xsi:type="dcterms:W3CDTF">2016-05-24T13:39:00Z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