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454341988724E9B8D26FA6EBF4218D3" style="width:450.7pt;height:451.6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1"/>
          <w:cols w:space="720"/>
          <w:docGrid w:linePitch="360"/>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tc>
          <w:tcPr>
            <w:tcW w:w="9889" w:type="dxa"/>
            <w:tcBorders>
              <w:right w:val="single" w:sz="4" w:space="0" w:color="auto"/>
            </w:tcBorders>
            <w:shd w:val="clear" w:color="auto" w:fill="0000FF"/>
            <w:vAlign w:val="center"/>
          </w:tcPr>
          <w:p>
            <w:pPr>
              <w:jc w:val="center"/>
              <w:rPr>
                <w:b/>
                <w:noProof/>
              </w:rPr>
            </w:pPr>
            <w:bookmarkStart w:id="1" w:name="_GoBack"/>
            <w:bookmarkEnd w:id="1"/>
            <w:r>
              <w:rPr>
                <w:b/>
                <w:noProof/>
              </w:rPr>
              <w:lastRenderedPageBreak/>
              <w:t>A. Rīcības nepieciešamība</w:t>
            </w:r>
          </w:p>
        </w:tc>
      </w:tr>
      <w:tr>
        <w:tc>
          <w:tcPr>
            <w:tcW w:w="9889" w:type="dxa"/>
            <w:tcBorders>
              <w:right w:val="single" w:sz="4" w:space="0" w:color="auto"/>
            </w:tcBorders>
            <w:shd w:val="clear" w:color="auto" w:fill="E6E6E6"/>
            <w:vAlign w:val="center"/>
          </w:tcPr>
          <w:p>
            <w:pPr>
              <w:rPr>
                <w:b/>
                <w:noProof/>
              </w:rPr>
            </w:pPr>
            <w:r>
              <w:rPr>
                <w:b/>
                <w:noProof/>
              </w:rPr>
              <w:t>Kāda ir problēma un kāpēc tā ir problēma?</w:t>
            </w:r>
          </w:p>
        </w:tc>
      </w:tr>
      <w:tr>
        <w:tc>
          <w:tcPr>
            <w:tcW w:w="9889" w:type="dxa"/>
            <w:tcBorders>
              <w:right w:val="single" w:sz="4" w:space="0" w:color="auto"/>
            </w:tcBorders>
            <w:shd w:val="clear" w:color="auto" w:fill="auto"/>
            <w:vAlign w:val="center"/>
          </w:tcPr>
          <w:p>
            <w:pPr>
              <w:spacing w:after="120"/>
              <w:jc w:val="both"/>
              <w:rPr>
                <w:noProof/>
              </w:rPr>
            </w:pPr>
            <w:r>
              <w:rPr>
                <w:noProof/>
              </w:rPr>
              <w:t>Saskaņā ar Normatīvās atbilstības un izpildes programmu (</w:t>
            </w:r>
            <w:r>
              <w:rPr>
                <w:i/>
                <w:noProof/>
              </w:rPr>
              <w:t>REFIT</w:t>
            </w:r>
            <w:r>
              <w:rPr>
                <w:noProof/>
              </w:rPr>
              <w:t xml:space="preserve">) vienlaikus ar </w:t>
            </w:r>
            <w:r>
              <w:rPr>
                <w:i/>
                <w:noProof/>
              </w:rPr>
              <w:t>AVMSD ex post</w:t>
            </w:r>
            <w:r>
              <w:rPr>
                <w:noProof/>
              </w:rPr>
              <w:t xml:space="preserve"> novērtējumu ir veikts arī ietekmes novērtējums. </w:t>
            </w:r>
          </w:p>
          <w:p>
            <w:pPr>
              <w:spacing w:after="120"/>
              <w:jc w:val="both"/>
              <w:rPr>
                <w:rFonts w:eastAsia="Times New Roman"/>
                <w:noProof/>
                <w:color w:val="000000"/>
              </w:rPr>
            </w:pPr>
            <w:r>
              <w:rPr>
                <w:noProof/>
              </w:rPr>
              <w:t xml:space="preserve">Kopumā ir secināts, ka </w:t>
            </w:r>
            <w:r>
              <w:rPr>
                <w:i/>
                <w:noProof/>
              </w:rPr>
              <w:t>AVMSD</w:t>
            </w:r>
            <w:r>
              <w:rPr>
                <w:noProof/>
              </w:rPr>
              <w:t xml:space="preserve"> mērķi joprojām ir aktuāli.</w:t>
            </w:r>
            <w:r>
              <w:rPr>
                <w:noProof/>
                <w:color w:val="000000"/>
              </w:rPr>
              <w:t xml:space="preserve"> </w:t>
            </w:r>
          </w:p>
          <w:p>
            <w:pPr>
              <w:jc w:val="both"/>
              <w:rPr>
                <w:noProof/>
              </w:rPr>
            </w:pPr>
            <w:r>
              <w:rPr>
                <w:noProof/>
              </w:rPr>
              <w:t xml:space="preserve">Veicot </w:t>
            </w:r>
            <w:r>
              <w:rPr>
                <w:i/>
                <w:noProof/>
              </w:rPr>
              <w:t>REFIT</w:t>
            </w:r>
            <w:r>
              <w:rPr>
                <w:noProof/>
              </w:rPr>
              <w:t xml:space="preserve"> novērtējumu, ir konstatētas šādas trīs galvenās problēmu kopas.</w:t>
            </w:r>
          </w:p>
          <w:p>
            <w:pPr>
              <w:pStyle w:val="ListParagraph"/>
              <w:numPr>
                <w:ilvl w:val="0"/>
                <w:numId w:val="2"/>
              </w:numPr>
              <w:spacing w:line="240" w:lineRule="auto"/>
              <w:jc w:val="both"/>
              <w:rPr>
                <w:rFonts w:ascii="Times New Roman" w:hAnsi="Times New Roman" w:cs="Times New Roman"/>
                <w:noProof/>
                <w:sz w:val="24"/>
                <w:szCs w:val="24"/>
              </w:rPr>
            </w:pPr>
            <w:r>
              <w:rPr>
                <w:rFonts w:ascii="Times New Roman" w:hAnsi="Times New Roman"/>
                <w:noProof/>
                <w:sz w:val="24"/>
              </w:rPr>
              <w:t xml:space="preserve">Nepilngadīgo un patērētāju nepietiekama aizsardzība, kad video koplietošanas platformās tiek skatīti videomateriāli. </w:t>
            </w:r>
          </w:p>
          <w:p>
            <w:pPr>
              <w:pStyle w:val="ListParagraph"/>
              <w:numPr>
                <w:ilvl w:val="0"/>
                <w:numId w:val="2"/>
              </w:numPr>
              <w:spacing w:line="240" w:lineRule="auto"/>
              <w:jc w:val="both"/>
              <w:rPr>
                <w:rFonts w:ascii="Times New Roman" w:hAnsi="Times New Roman" w:cs="Times New Roman"/>
                <w:noProof/>
                <w:sz w:val="24"/>
                <w:szCs w:val="24"/>
              </w:rPr>
            </w:pPr>
            <w:r>
              <w:rPr>
                <w:rFonts w:ascii="Times New Roman" w:hAnsi="Times New Roman"/>
                <w:noProof/>
                <w:sz w:val="24"/>
              </w:rPr>
              <w:t xml:space="preserve">Vienlīdzīgu konkurences apstākļu trūkums starp tradicionālajiem apraides pakalpojumiem un pieprasījumpakalpojumiem, kā arī iekšējā tirgus nepilnības, kas izriet no tā, ka daži </w:t>
            </w:r>
            <w:r>
              <w:rPr>
                <w:rFonts w:ascii="Times New Roman" w:hAnsi="Times New Roman"/>
                <w:i/>
                <w:noProof/>
                <w:sz w:val="24"/>
              </w:rPr>
              <w:t>AVMSD</w:t>
            </w:r>
            <w:r>
              <w:rPr>
                <w:rFonts w:ascii="Times New Roman" w:hAnsi="Times New Roman"/>
                <w:noProof/>
                <w:sz w:val="24"/>
              </w:rPr>
              <w:t xml:space="preserve"> noteikumi nav pietiekami precīzi.</w:t>
            </w:r>
          </w:p>
          <w:p>
            <w:pPr>
              <w:pStyle w:val="ListParagraph"/>
              <w:numPr>
                <w:ilvl w:val="0"/>
                <w:numId w:val="2"/>
              </w:numPr>
              <w:spacing w:line="240" w:lineRule="auto"/>
              <w:jc w:val="both"/>
              <w:rPr>
                <w:rFonts w:ascii="Times New Roman" w:hAnsi="Times New Roman" w:cs="Times New Roman"/>
                <w:noProof/>
                <w:sz w:val="24"/>
                <w:szCs w:val="24"/>
              </w:rPr>
            </w:pPr>
            <w:r>
              <w:rPr>
                <w:rFonts w:ascii="Times New Roman" w:hAnsi="Times New Roman"/>
                <w:noProof/>
                <w:sz w:val="24"/>
              </w:rPr>
              <w:t>Noteikumi par komercziņojumiem vairs nav piemēroti mērķa sasniegšanai.</w:t>
            </w:r>
          </w:p>
          <w:p>
            <w:pPr>
              <w:spacing w:after="120"/>
              <w:jc w:val="both"/>
              <w:rPr>
                <w:b/>
                <w:i/>
                <w:noProof/>
              </w:rPr>
            </w:pPr>
            <w:r>
              <w:rPr>
                <w:i/>
                <w:noProof/>
                <w:color w:val="000000"/>
              </w:rPr>
              <w:t>REFIT</w:t>
            </w:r>
            <w:r>
              <w:rPr>
                <w:noProof/>
                <w:color w:val="000000"/>
              </w:rPr>
              <w:t xml:space="preserve"> novērtējumā secināts arī, ka ir iespējama vienkāršošana, jo īpaši saistībā ar procedūrām, kas atbalsta izcelsmes valsts principa piemērošanu, un saistībā ar dažiem komercpaziņojumu noteikumiem.</w:t>
            </w:r>
          </w:p>
        </w:tc>
      </w:tr>
      <w:tr>
        <w:tc>
          <w:tcPr>
            <w:tcW w:w="9889" w:type="dxa"/>
            <w:tcBorders>
              <w:right w:val="single" w:sz="4" w:space="0" w:color="auto"/>
            </w:tcBorders>
            <w:shd w:val="clear" w:color="auto" w:fill="E6E6E6"/>
            <w:vAlign w:val="center"/>
          </w:tcPr>
          <w:p>
            <w:pPr>
              <w:rPr>
                <w:b/>
                <w:noProof/>
              </w:rPr>
            </w:pPr>
            <w:r>
              <w:rPr>
                <w:b/>
                <w:noProof/>
              </w:rPr>
              <w:t>Sasniedzamie mērķi</w:t>
            </w:r>
          </w:p>
        </w:tc>
      </w:tr>
      <w:tr>
        <w:tc>
          <w:tcPr>
            <w:tcW w:w="9889" w:type="dxa"/>
            <w:tcBorders>
              <w:right w:val="single" w:sz="4" w:space="0" w:color="auto"/>
            </w:tcBorders>
            <w:shd w:val="clear" w:color="auto" w:fill="auto"/>
            <w:vAlign w:val="center"/>
          </w:tcPr>
          <w:p>
            <w:pPr>
              <w:jc w:val="both"/>
              <w:rPr>
                <w:rFonts w:eastAsia="Times New Roman"/>
                <w:bCs/>
                <w:noProof/>
              </w:rPr>
            </w:pPr>
            <w:r>
              <w:rPr>
                <w:noProof/>
              </w:rPr>
              <w:t>Vispārīgie mērķi ir šādi.</w:t>
            </w:r>
          </w:p>
          <w:p>
            <w:pPr>
              <w:pStyle w:val="ListParagraph"/>
              <w:numPr>
                <w:ilvl w:val="0"/>
                <w:numId w:val="15"/>
              </w:numPr>
              <w:spacing w:after="0" w:line="240" w:lineRule="auto"/>
              <w:jc w:val="both"/>
              <w:rPr>
                <w:rFonts w:ascii="Times New Roman" w:hAnsi="Times New Roman" w:cs="Times New Roman"/>
                <w:noProof/>
                <w:sz w:val="24"/>
                <w:szCs w:val="24"/>
              </w:rPr>
            </w:pPr>
            <w:r>
              <w:rPr>
                <w:rFonts w:ascii="Times New Roman" w:hAnsi="Times New Roman"/>
                <w:noProof/>
                <w:sz w:val="24"/>
              </w:rPr>
              <w:t xml:space="preserve">Uzlabot patērētāju un nepilngadīgo aizsardzību. </w:t>
            </w:r>
          </w:p>
          <w:p>
            <w:pPr>
              <w:pStyle w:val="ListParagraph"/>
              <w:numPr>
                <w:ilvl w:val="0"/>
                <w:numId w:val="15"/>
              </w:numPr>
              <w:spacing w:after="0" w:line="240" w:lineRule="auto"/>
              <w:jc w:val="both"/>
              <w:rPr>
                <w:rFonts w:ascii="Times New Roman" w:hAnsi="Times New Roman" w:cs="Times New Roman"/>
                <w:noProof/>
              </w:rPr>
            </w:pPr>
            <w:r>
              <w:rPr>
                <w:rFonts w:ascii="Times New Roman" w:hAnsi="Times New Roman"/>
                <w:noProof/>
                <w:sz w:val="24"/>
              </w:rPr>
              <w:t>Nodrošināt vienlīdzīgus konkurences apstākļus, saglabāt iekšējā tirgus integritāti un uzlabot juridisko noteiktību.</w:t>
            </w:r>
          </w:p>
          <w:p>
            <w:pPr>
              <w:pStyle w:val="ListParagraph"/>
              <w:numPr>
                <w:ilvl w:val="0"/>
                <w:numId w:val="15"/>
              </w:numPr>
              <w:spacing w:after="0" w:line="240" w:lineRule="auto"/>
              <w:jc w:val="both"/>
              <w:rPr>
                <w:rFonts w:ascii="Times New Roman" w:hAnsi="Times New Roman" w:cs="Times New Roman"/>
                <w:noProof/>
              </w:rPr>
            </w:pPr>
            <w:r>
              <w:rPr>
                <w:rFonts w:ascii="Times New Roman" w:hAnsi="Times New Roman"/>
                <w:noProof/>
              </w:rPr>
              <w:t>Vienkāršot tiesisko regulējumu.</w:t>
            </w:r>
          </w:p>
        </w:tc>
      </w:tr>
      <w:tr>
        <w:trPr>
          <w:trHeight w:val="351"/>
        </w:trPr>
        <w:tc>
          <w:tcPr>
            <w:tcW w:w="9889" w:type="dxa"/>
            <w:tcBorders>
              <w:right w:val="single" w:sz="4" w:space="0" w:color="auto"/>
            </w:tcBorders>
            <w:shd w:val="clear" w:color="auto" w:fill="E6E6E6"/>
            <w:vAlign w:val="center"/>
          </w:tcPr>
          <w:p>
            <w:pPr>
              <w:rPr>
                <w:b/>
                <w:noProof/>
              </w:rPr>
            </w:pPr>
            <w:r>
              <w:rPr>
                <w:b/>
                <w:noProof/>
              </w:rPr>
              <w:t>Kāda ir pievienotā vērtība pasākumiem ES līmenī?</w:t>
            </w:r>
          </w:p>
        </w:tc>
      </w:tr>
      <w:tr>
        <w:tc>
          <w:tcPr>
            <w:tcW w:w="9889" w:type="dxa"/>
            <w:tcBorders>
              <w:right w:val="single" w:sz="4" w:space="0" w:color="auto"/>
            </w:tcBorders>
            <w:shd w:val="clear" w:color="auto" w:fill="auto"/>
            <w:vAlign w:val="center"/>
          </w:tcPr>
          <w:p>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eastAsia="Times New Roman"/>
                <w:bCs/>
                <w:noProof/>
                <w:color w:val="000000"/>
              </w:rPr>
            </w:pPr>
            <w:r>
              <w:rPr>
                <w:i/>
                <w:noProof/>
                <w:color w:val="000000"/>
              </w:rPr>
              <w:t>AVMSD</w:t>
            </w:r>
            <w:r>
              <w:rPr>
                <w:noProof/>
                <w:color w:val="000000"/>
              </w:rPr>
              <w:t xml:space="preserve"> ir tiesiskais regulējums, uz kuru balstās Eiropas audiovizuālais vienotais tirgus. Pieprasījumpakalpojumu un video koplietošanas platformu attīstība, kā arī to pavadošās skatīšanās paradumu izmaiņas un ar to saistītie riski ir parādība, kas skar visas dalībvalstis. </w:t>
            </w:r>
          </w:p>
          <w:p>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b/>
                <w:i/>
                <w:noProof/>
              </w:rPr>
            </w:pPr>
            <w:r>
              <w:rPr>
                <w:noProof/>
                <w:color w:val="000000"/>
              </w:rPr>
              <w:t xml:space="preserve">Tiek uzskatīts, ka paredzētā </w:t>
            </w:r>
            <w:r>
              <w:rPr>
                <w:i/>
                <w:noProof/>
                <w:color w:val="000000"/>
              </w:rPr>
              <w:t>AVMSD</w:t>
            </w:r>
            <w:r>
              <w:rPr>
                <w:noProof/>
                <w:color w:val="000000"/>
              </w:rPr>
              <w:t xml:space="preserve"> pārskatīšana atbilst gan subsidiaritātes, gan proporcionalitātes principam, jo tiek saglabāta uz saskaņošanu vērstā pieeja un sadarbības mehānismi, kas ļauj dalībvalstīm ņemt vērā tajās pastāvošās īpatnības. </w:t>
            </w:r>
          </w:p>
        </w:tc>
      </w:tr>
      <w:tr>
        <w:trPr>
          <w:trHeight w:val="338"/>
        </w:trPr>
        <w:tc>
          <w:tcPr>
            <w:tcW w:w="9889" w:type="dxa"/>
            <w:tcBorders>
              <w:right w:val="single" w:sz="4" w:space="0" w:color="auto"/>
            </w:tcBorders>
            <w:shd w:val="clear" w:color="auto" w:fill="0000FF"/>
            <w:vAlign w:val="center"/>
          </w:tcPr>
          <w:p>
            <w:pPr>
              <w:jc w:val="center"/>
              <w:rPr>
                <w:b/>
                <w:noProof/>
              </w:rPr>
            </w:pPr>
            <w:r>
              <w:rPr>
                <w:b/>
                <w:noProof/>
              </w:rPr>
              <w:t>B. Risinājumi</w:t>
            </w:r>
          </w:p>
        </w:tc>
      </w:tr>
      <w:tr>
        <w:tc>
          <w:tcPr>
            <w:tcW w:w="9889" w:type="dxa"/>
            <w:tcBorders>
              <w:right w:val="single" w:sz="4" w:space="0" w:color="auto"/>
            </w:tcBorders>
            <w:shd w:val="clear" w:color="auto" w:fill="E6E6E6"/>
            <w:vAlign w:val="center"/>
          </w:tcPr>
          <w:p>
            <w:pPr>
              <w:rPr>
                <w:b/>
                <w:noProof/>
              </w:rPr>
            </w:pPr>
            <w:r>
              <w:rPr>
                <w:b/>
                <w:noProof/>
              </w:rPr>
              <w:t>Risinājuma varianti mērķu sasniegšanai. Kāds ir vēlamākais variants (ja tāds ir)? Iemesli, ja vēlamākā varianta nav.</w:t>
            </w:r>
          </w:p>
        </w:tc>
      </w:tr>
      <w:tr>
        <w:tc>
          <w:tcPr>
            <w:tcW w:w="9889" w:type="dxa"/>
            <w:tcBorders>
              <w:right w:val="single" w:sz="4" w:space="0" w:color="auto"/>
            </w:tcBorders>
            <w:shd w:val="clear" w:color="auto" w:fill="auto"/>
            <w:vAlign w:val="center"/>
          </w:tcPr>
          <w:p>
            <w:pPr>
              <w:spacing w:after="120"/>
              <w:jc w:val="both"/>
              <w:rPr>
                <w:rFonts w:eastAsia="Times New Roman"/>
                <w:bCs/>
                <w:noProof/>
                <w:color w:val="000000"/>
              </w:rPr>
            </w:pPr>
            <w:r>
              <w:rPr>
                <w:noProof/>
                <w:color w:val="000000"/>
              </w:rPr>
              <w:t>Varianti ir sagrupēti atbilstoši konkrētajai problēmai, ko ar tiem galvenokārt paredzēts novērst. Vēlamākais variants katrā sadaļā ir izcelts.</w:t>
            </w:r>
          </w:p>
          <w:p>
            <w:pPr>
              <w:pStyle w:val="ListParagraph"/>
              <w:numPr>
                <w:ilvl w:val="0"/>
                <w:numId w:val="8"/>
              </w:numPr>
              <w:spacing w:after="0"/>
              <w:jc w:val="both"/>
              <w:rPr>
                <w:rFonts w:ascii="Times New Roman" w:hAnsi="Times New Roman" w:cs="Times New Roman"/>
                <w:b/>
                <w:noProof/>
                <w:sz w:val="24"/>
                <w:szCs w:val="24"/>
              </w:rPr>
            </w:pPr>
            <w:r>
              <w:rPr>
                <w:rFonts w:ascii="Times New Roman" w:hAnsi="Times New Roman"/>
                <w:b/>
                <w:noProof/>
                <w:sz w:val="24"/>
              </w:rPr>
              <w:t>Varianti, kā risināt nepilngadīgo un patērētāju nepietiekamu aizsardzību video koplietošanas platformās</w:t>
            </w:r>
          </w:p>
          <w:p>
            <w:pPr>
              <w:jc w:val="both"/>
              <w:rPr>
                <w:rFonts w:eastAsia="Times New Roman"/>
                <w:bCs/>
                <w:noProof/>
                <w:color w:val="000000"/>
              </w:rPr>
            </w:pPr>
            <w:r>
              <w:rPr>
                <w:noProof/>
                <w:u w:val="single"/>
              </w:rPr>
              <w:t xml:space="preserve"> A variants</w:t>
            </w:r>
            <w:r>
              <w:rPr>
                <w:noProof/>
              </w:rPr>
              <w:t xml:space="preserve"> atbalsta pašregulāciju nepilngadīgo un patērētāju aizsargāšanai video koplietošanas platformās.</w:t>
            </w:r>
          </w:p>
          <w:p>
            <w:pPr>
              <w:jc w:val="both"/>
              <w:rPr>
                <w:rFonts w:eastAsia="Times New Roman"/>
                <w:bCs/>
                <w:noProof/>
                <w:color w:val="000000"/>
              </w:rPr>
            </w:pPr>
            <w:r>
              <w:rPr>
                <w:noProof/>
                <w:color w:val="000000"/>
                <w:highlight w:val="lightGray"/>
                <w:u w:val="single"/>
                <w:shd w:val="clear" w:color="auto" w:fill="D9D9D9" w:themeFill="background1" w:themeFillShade="D9"/>
              </w:rPr>
              <w:t>B variants</w:t>
            </w:r>
            <w:r>
              <w:rPr>
                <w:noProof/>
                <w:color w:val="000000"/>
                <w:highlight w:val="lightGray"/>
                <w:shd w:val="clear" w:color="auto" w:fill="D9D9D9" w:themeFill="background1" w:themeFillShade="D9"/>
              </w:rPr>
              <w:t xml:space="preserve"> </w:t>
            </w:r>
            <w:r>
              <w:rPr>
                <w:noProof/>
                <w:color w:val="000000"/>
                <w:shd w:val="clear" w:color="auto" w:fill="D9D9D9" w:themeFill="background1" w:themeFillShade="D9"/>
              </w:rPr>
              <w:t>nosaka līdzekļu izmantošanas pienākumu video koplietošanas platformās, lai aizsargātu nepilngadīgos un nepieļautu naidīgu runu, to īstenojot ar kopregulēšanu</w:t>
            </w:r>
            <w:r>
              <w:rPr>
                <w:noProof/>
                <w:color w:val="000000"/>
                <w:highlight w:val="lightGray"/>
                <w:shd w:val="clear" w:color="auto" w:fill="D9D9D9" w:themeFill="background1" w:themeFillShade="D9"/>
              </w:rPr>
              <w:t>.</w:t>
            </w:r>
            <w:r>
              <w:rPr>
                <w:noProof/>
                <w:color w:val="000000"/>
              </w:rPr>
              <w:t xml:space="preserve"> </w:t>
            </w:r>
          </w:p>
          <w:p>
            <w:pPr>
              <w:jc w:val="both"/>
              <w:rPr>
                <w:rFonts w:eastAsia="Times New Roman"/>
                <w:bCs/>
                <w:noProof/>
                <w:color w:val="000000"/>
                <w:sz w:val="12"/>
                <w:szCs w:val="12"/>
              </w:rPr>
            </w:pPr>
          </w:p>
          <w:p>
            <w:pPr>
              <w:pStyle w:val="ListParagraph"/>
              <w:numPr>
                <w:ilvl w:val="0"/>
                <w:numId w:val="8"/>
              </w:numPr>
              <w:spacing w:after="0"/>
              <w:jc w:val="both"/>
              <w:rPr>
                <w:rFonts w:ascii="Times New Roman" w:hAnsi="Times New Roman" w:cs="Times New Roman"/>
                <w:b/>
                <w:noProof/>
                <w:sz w:val="24"/>
                <w:szCs w:val="24"/>
              </w:rPr>
            </w:pPr>
            <w:r>
              <w:rPr>
                <w:rFonts w:ascii="Times New Roman" w:hAnsi="Times New Roman"/>
                <w:b/>
                <w:noProof/>
                <w:sz w:val="24"/>
              </w:rPr>
              <w:t>Varianti, kā risināt problēmu saistībā ar vienlīdzīgu konkurences apstākļu trūkumu un iekšējā tirgus nepilnībām</w:t>
            </w:r>
          </w:p>
          <w:p>
            <w:pPr>
              <w:pStyle w:val="ListParagraph"/>
              <w:spacing w:after="0"/>
              <w:jc w:val="both"/>
              <w:rPr>
                <w:rFonts w:ascii="Times New Roman" w:hAnsi="Times New Roman" w:cs="Times New Roman"/>
                <w:b/>
                <w:noProof/>
                <w:sz w:val="24"/>
                <w:szCs w:val="24"/>
              </w:rPr>
            </w:pPr>
            <w:r>
              <w:rPr>
                <w:rFonts w:ascii="Times New Roman" w:hAnsi="Times New Roman"/>
                <w:b/>
                <w:noProof/>
                <w:sz w:val="24"/>
              </w:rPr>
              <w:t>a) Eiropas darbu popularizēšana</w:t>
            </w:r>
          </w:p>
          <w:p>
            <w:pPr>
              <w:jc w:val="both"/>
              <w:rPr>
                <w:rFonts w:eastAsia="Times New Roman"/>
                <w:bCs/>
                <w:noProof/>
                <w:color w:val="000000"/>
              </w:rPr>
            </w:pPr>
            <w:r>
              <w:rPr>
                <w:noProof/>
                <w:u w:val="single"/>
              </w:rPr>
              <w:lastRenderedPageBreak/>
              <w:t>A variants</w:t>
            </w:r>
            <w:r>
              <w:rPr>
                <w:noProof/>
              </w:rPr>
              <w:t xml:space="preserve"> paredz lielāku elastību gan televīzijas apraidei, gan pieprasījumpakalpojumiem attiecībā uz to, kā tiek īstenots pienākums popularizēt Eiropas darbus.</w:t>
            </w:r>
            <w:r>
              <w:rPr>
                <w:noProof/>
                <w:color w:val="000000"/>
              </w:rPr>
              <w:t xml:space="preserve"> </w:t>
            </w:r>
          </w:p>
          <w:p>
            <w:pPr>
              <w:jc w:val="both"/>
              <w:rPr>
                <w:rFonts w:eastAsia="Times New Roman"/>
                <w:bCs/>
                <w:noProof/>
                <w:color w:val="000000"/>
              </w:rPr>
            </w:pPr>
            <w:r>
              <w:rPr>
                <w:noProof/>
                <w:color w:val="000000"/>
                <w:highlight w:val="lightGray"/>
                <w:u w:val="single"/>
              </w:rPr>
              <w:t>B variants</w:t>
            </w:r>
            <w:r>
              <w:rPr>
                <w:noProof/>
                <w:color w:val="000000"/>
                <w:highlight w:val="lightGray"/>
              </w:rPr>
              <w:t xml:space="preserve"> saglabā </w:t>
            </w:r>
            <w:r>
              <w:rPr>
                <w:i/>
                <w:noProof/>
                <w:color w:val="000000"/>
                <w:highlight w:val="lightGray"/>
                <w:shd w:val="clear" w:color="auto" w:fill="D9D9D9" w:themeFill="background1" w:themeFillShade="D9"/>
              </w:rPr>
              <w:t>status quo</w:t>
            </w:r>
            <w:r>
              <w:rPr>
                <w:noProof/>
                <w:color w:val="000000"/>
                <w:highlight w:val="lightGray"/>
                <w:shd w:val="clear" w:color="auto" w:fill="D9D9D9" w:themeFill="background1" w:themeFillShade="D9"/>
              </w:rPr>
              <w:t xml:space="preserve"> </w:t>
            </w:r>
            <w:r>
              <w:rPr>
                <w:noProof/>
                <w:shd w:val="clear" w:color="auto" w:fill="D9D9D9" w:themeFill="background1" w:themeFillShade="D9"/>
              </w:rPr>
              <w:t>attiecībā uz televīzijas apraidi un pastiprina noteikumus pieprasījumpakalpojumu sniedzējiem.</w:t>
            </w:r>
          </w:p>
          <w:p>
            <w:pPr>
              <w:pStyle w:val="ListParagraph"/>
              <w:spacing w:after="0"/>
              <w:jc w:val="both"/>
              <w:rPr>
                <w:rFonts w:ascii="Times New Roman" w:hAnsi="Times New Roman" w:cs="Times New Roman"/>
                <w:b/>
                <w:noProof/>
                <w:sz w:val="24"/>
                <w:szCs w:val="24"/>
              </w:rPr>
            </w:pPr>
            <w:r>
              <w:rPr>
                <w:rFonts w:ascii="Times New Roman" w:hAnsi="Times New Roman"/>
                <w:b/>
                <w:noProof/>
                <w:sz w:val="24"/>
              </w:rPr>
              <w:t>b) nepilngadīgo aizsardzība pieprasījumpakalpojumos</w:t>
            </w:r>
          </w:p>
          <w:p>
            <w:pPr>
              <w:pStyle w:val="ListParagraph"/>
              <w:spacing w:after="0"/>
              <w:ind w:left="0"/>
              <w:jc w:val="both"/>
              <w:rPr>
                <w:rFonts w:ascii="Times New Roman" w:hAnsi="Times New Roman" w:cs="Times New Roman"/>
                <w:bCs/>
                <w:noProof/>
                <w:sz w:val="24"/>
                <w:szCs w:val="24"/>
                <w:shd w:val="clear" w:color="auto" w:fill="D9D9D9" w:themeFill="background1" w:themeFillShade="D9"/>
              </w:rPr>
            </w:pPr>
            <w:r>
              <w:rPr>
                <w:rFonts w:ascii="Times New Roman" w:hAnsi="Times New Roman"/>
                <w:noProof/>
                <w:sz w:val="24"/>
                <w:u w:val="single"/>
                <w:shd w:val="clear" w:color="auto" w:fill="D9D9D9" w:themeFill="background1" w:themeFillShade="D9"/>
              </w:rPr>
              <w:t>A variants</w:t>
            </w:r>
            <w:r>
              <w:rPr>
                <w:rFonts w:ascii="Times New Roman" w:hAnsi="Times New Roman"/>
                <w:noProof/>
                <w:sz w:val="24"/>
                <w:shd w:val="clear" w:color="auto" w:fill="D9D9D9" w:themeFill="background1" w:themeFillShade="D9"/>
              </w:rPr>
              <w:t xml:space="preserve"> palielina nepilngadīgo aizsardzības līmeni audiovizuālo mediju pieprasījumpakalpojumos, vienkāršo kaitējoša satura jēdzienu un veicina ES kopregulējumu par satura deskriptoriem.</w:t>
            </w:r>
          </w:p>
          <w:p>
            <w:pPr>
              <w:pStyle w:val="ListParagraph"/>
              <w:spacing w:after="0"/>
              <w:jc w:val="both"/>
              <w:rPr>
                <w:rFonts w:ascii="Times New Roman" w:hAnsi="Times New Roman" w:cs="Times New Roman"/>
                <w:b/>
                <w:noProof/>
                <w:sz w:val="24"/>
                <w:szCs w:val="24"/>
              </w:rPr>
            </w:pPr>
            <w:r>
              <w:rPr>
                <w:rFonts w:ascii="Times New Roman" w:hAnsi="Times New Roman"/>
                <w:b/>
                <w:noProof/>
                <w:sz w:val="24"/>
              </w:rPr>
              <w:t>c) izcelsmes valsts princips</w:t>
            </w:r>
          </w:p>
          <w:p>
            <w:pPr>
              <w:pStyle w:val="ListParagraph"/>
              <w:spacing w:after="0"/>
              <w:ind w:left="0"/>
              <w:jc w:val="both"/>
              <w:rPr>
                <w:rFonts w:ascii="Times New Roman" w:hAnsi="Times New Roman" w:cs="Times New Roman"/>
                <w:bCs/>
                <w:noProof/>
                <w:sz w:val="24"/>
                <w:szCs w:val="24"/>
                <w:u w:val="single"/>
                <w:shd w:val="clear" w:color="auto" w:fill="D9D9D9" w:themeFill="background1" w:themeFillShade="D9"/>
              </w:rPr>
            </w:pPr>
            <w:r>
              <w:rPr>
                <w:rFonts w:ascii="Times New Roman" w:hAnsi="Times New Roman"/>
                <w:noProof/>
                <w:sz w:val="24"/>
                <w:u w:val="single"/>
                <w:shd w:val="clear" w:color="auto" w:fill="D9D9D9" w:themeFill="background1" w:themeFillShade="D9"/>
              </w:rPr>
              <w:t xml:space="preserve">A variants </w:t>
            </w:r>
            <w:r>
              <w:rPr>
                <w:rFonts w:ascii="Times New Roman" w:hAnsi="Times New Roman"/>
                <w:noProof/>
                <w:sz w:val="24"/>
                <w:shd w:val="clear" w:color="auto" w:fill="D9D9D9" w:themeFill="background1" w:themeFillShade="D9"/>
              </w:rPr>
              <w:t>vienkāršo un uzlabo piekritības noteikumus un sadarbības procedūras.</w:t>
            </w:r>
          </w:p>
          <w:p>
            <w:pPr>
              <w:pStyle w:val="ListParagraph"/>
              <w:spacing w:after="0"/>
              <w:jc w:val="both"/>
              <w:rPr>
                <w:rFonts w:ascii="Times New Roman" w:hAnsi="Times New Roman" w:cs="Times New Roman"/>
                <w:b/>
                <w:noProof/>
                <w:sz w:val="24"/>
                <w:szCs w:val="24"/>
              </w:rPr>
            </w:pPr>
            <w:r>
              <w:rPr>
                <w:rFonts w:ascii="Times New Roman" w:hAnsi="Times New Roman"/>
                <w:b/>
                <w:noProof/>
                <w:sz w:val="24"/>
              </w:rPr>
              <w:t>d) regulatoru neatkarība</w:t>
            </w:r>
          </w:p>
          <w:p>
            <w:pPr>
              <w:pStyle w:val="ListParagraph"/>
              <w:spacing w:after="0"/>
              <w:ind w:left="0"/>
              <w:jc w:val="both"/>
              <w:rPr>
                <w:rFonts w:ascii="Times New Roman" w:hAnsi="Times New Roman" w:cs="Times New Roman"/>
                <w:noProof/>
                <w:sz w:val="24"/>
                <w:szCs w:val="24"/>
                <w:shd w:val="clear" w:color="auto" w:fill="D9D9D9" w:themeFill="background1" w:themeFillShade="D9"/>
              </w:rPr>
            </w:pPr>
            <w:r>
              <w:rPr>
                <w:rFonts w:ascii="Times New Roman" w:hAnsi="Times New Roman"/>
                <w:noProof/>
                <w:sz w:val="24"/>
                <w:u w:val="single"/>
                <w:shd w:val="clear" w:color="auto" w:fill="D9D9D9" w:themeFill="background1" w:themeFillShade="D9"/>
              </w:rPr>
              <w:t>A variants</w:t>
            </w:r>
            <w:r>
              <w:rPr>
                <w:rFonts w:ascii="Times New Roman" w:hAnsi="Times New Roman"/>
                <w:noProof/>
                <w:sz w:val="24"/>
                <w:shd w:val="clear" w:color="auto" w:fill="D9D9D9" w:themeFill="background1" w:themeFillShade="D9"/>
              </w:rPr>
              <w:t xml:space="preserve"> paredz, ka dalībvalstīs jābūt neatkarīgai regulētājiestādei, un izvirza vairākas prasības to neatkarības un efektivitātes stiprināšanai. </w:t>
            </w:r>
            <w:r>
              <w:rPr>
                <w:rFonts w:ascii="Times New Roman" w:hAnsi="Times New Roman"/>
                <w:i/>
                <w:noProof/>
                <w:sz w:val="24"/>
                <w:shd w:val="clear" w:color="auto" w:fill="D9D9D9" w:themeFill="background1" w:themeFillShade="D9"/>
              </w:rPr>
              <w:t>ERGA</w:t>
            </w:r>
            <w:r>
              <w:rPr>
                <w:rFonts w:ascii="Times New Roman" w:hAnsi="Times New Roman"/>
                <w:noProof/>
                <w:sz w:val="24"/>
                <w:shd w:val="clear" w:color="auto" w:fill="D9D9D9" w:themeFill="background1" w:themeFillShade="D9"/>
              </w:rPr>
              <w:t xml:space="preserve"> koordinācijas un padomdevējas loma tiek nostiprināta un ietverta </w:t>
            </w:r>
            <w:r>
              <w:rPr>
                <w:rFonts w:ascii="Times New Roman" w:hAnsi="Times New Roman"/>
                <w:i/>
                <w:noProof/>
                <w:sz w:val="24"/>
                <w:shd w:val="clear" w:color="auto" w:fill="D9D9D9" w:themeFill="background1" w:themeFillShade="D9"/>
              </w:rPr>
              <w:t>AVMSD</w:t>
            </w:r>
            <w:r>
              <w:rPr>
                <w:rFonts w:ascii="Times New Roman" w:hAnsi="Times New Roman"/>
                <w:noProof/>
                <w:sz w:val="24"/>
                <w:shd w:val="clear" w:color="auto" w:fill="D9D9D9" w:themeFill="background1" w:themeFillShade="D9"/>
              </w:rPr>
              <w:t>.</w:t>
            </w:r>
          </w:p>
          <w:p>
            <w:pPr>
              <w:pStyle w:val="ListParagraph"/>
              <w:numPr>
                <w:ilvl w:val="0"/>
                <w:numId w:val="8"/>
              </w:numPr>
              <w:spacing w:after="0"/>
              <w:jc w:val="both"/>
              <w:rPr>
                <w:b/>
                <w:noProof/>
                <w:sz w:val="24"/>
                <w:szCs w:val="24"/>
              </w:rPr>
            </w:pPr>
            <w:r>
              <w:rPr>
                <w:rFonts w:ascii="Times New Roman" w:hAnsi="Times New Roman"/>
                <w:b/>
                <w:noProof/>
                <w:sz w:val="24"/>
              </w:rPr>
              <w:t>Variants, kā risināt problēmu, ka noteikumi par komercpaziņojumiem vairs nav piemēroti mērķa sasniegšanai</w:t>
            </w:r>
          </w:p>
          <w:p>
            <w:pPr>
              <w:pStyle w:val="Body"/>
              <w:rPr>
                <w:b/>
                <w:noProof/>
              </w:rPr>
            </w:pPr>
            <w:r>
              <w:rPr>
                <w:rStyle w:val="None"/>
                <w:noProof/>
                <w:highlight w:val="lightGray"/>
                <w:u w:val="single"/>
              </w:rPr>
              <w:t>A variants</w:t>
            </w:r>
            <w:r>
              <w:rPr>
                <w:rStyle w:val="None"/>
                <w:noProof/>
                <w:highlight w:val="lightGray"/>
              </w:rPr>
              <w:t xml:space="preserve"> padara dažus audiovizuālo komercpaziņojumu noteikumus elastīgākus.</w:t>
            </w:r>
          </w:p>
        </w:tc>
      </w:tr>
      <w:tr>
        <w:tc>
          <w:tcPr>
            <w:tcW w:w="9889" w:type="dxa"/>
            <w:tcBorders>
              <w:right w:val="single" w:sz="4" w:space="0" w:color="auto"/>
            </w:tcBorders>
            <w:shd w:val="clear" w:color="auto" w:fill="F2F2F2" w:themeFill="background1" w:themeFillShade="F2"/>
            <w:vAlign w:val="center"/>
          </w:tcPr>
          <w:p>
            <w:pPr>
              <w:rPr>
                <w:b/>
                <w:noProof/>
              </w:rPr>
            </w:pPr>
            <w:r>
              <w:rPr>
                <w:b/>
                <w:noProof/>
              </w:rPr>
              <w:lastRenderedPageBreak/>
              <w:t>Kādas ir dažādās ieinteresētās personas? Kuru variantu katra atbalsta?</w:t>
            </w:r>
          </w:p>
        </w:tc>
      </w:tr>
      <w:tr>
        <w:tc>
          <w:tcPr>
            <w:tcW w:w="9889" w:type="dxa"/>
            <w:tcBorders>
              <w:right w:val="single" w:sz="4" w:space="0" w:color="auto"/>
            </w:tcBorders>
            <w:shd w:val="clear" w:color="auto" w:fill="auto"/>
            <w:vAlign w:val="center"/>
          </w:tcPr>
          <w:p>
            <w:pPr>
              <w:jc w:val="both"/>
              <w:rPr>
                <w:rFonts w:eastAsia="Times New Roman"/>
                <w:bCs/>
                <w:noProof/>
                <w:color w:val="000000"/>
              </w:rPr>
            </w:pPr>
            <w:r>
              <w:rPr>
                <w:noProof/>
                <w:color w:val="000000"/>
              </w:rPr>
              <w:t xml:space="preserve">Ieinteresētās personas, kuras visvairāk ietekmē iespējamās </w:t>
            </w:r>
            <w:r>
              <w:rPr>
                <w:i/>
                <w:noProof/>
                <w:color w:val="000000"/>
              </w:rPr>
              <w:t>AVMSD</w:t>
            </w:r>
            <w:r>
              <w:rPr>
                <w:noProof/>
                <w:color w:val="000000"/>
              </w:rPr>
              <w:t xml:space="preserve"> izmaiņas ir šādas: valstu regulatori, sabiedriskās televīzijas raidorganizācijas, komerciālās televīzijas raidorganizācijas, pieprasījumpakalpojumu sniedzēji (laiknovirzes televīzijas pakalpojumi, video pieprasījumpakalpojumi, ziņas/portāli), video koplietošanas platformas (patlaban </w:t>
            </w:r>
            <w:r>
              <w:rPr>
                <w:i/>
                <w:noProof/>
                <w:color w:val="000000"/>
              </w:rPr>
              <w:t>AVMSD</w:t>
            </w:r>
            <w:r>
              <w:rPr>
                <w:noProof/>
                <w:color w:val="000000"/>
              </w:rPr>
              <w:t xml:space="preserve"> uz tām neattiecas), pašregulējošas organizācijas, patērētāji, tostarp nepilngadīgie, reklāmdevēji un reklāmas aģentūras (jo īpaši saistībā ar komercpaziņojumiem) un neatkarīgi satura ražotāji un izplatītāji (jo īpaši saistībā ar Eiropas darbu popularizēšanu).</w:t>
            </w:r>
          </w:p>
          <w:p>
            <w:pPr>
              <w:spacing w:after="120"/>
              <w:jc w:val="both"/>
              <w:rPr>
                <w:noProof/>
              </w:rPr>
            </w:pPr>
            <w:r>
              <w:rPr>
                <w:noProof/>
              </w:rPr>
              <w:t>Galvenie elementi, kas saistībā ar turpmāk paredzētajiem politikas variantiem kopumā novēroti visās ieinteresēto personu kategorijās, ir šādi:</w:t>
            </w:r>
          </w:p>
          <w:p>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noProof/>
              </w:rPr>
            </w:pPr>
            <w:r>
              <w:rPr>
                <w:noProof/>
              </w:rPr>
              <w:t>ieinteresēto personu viedokļu konverģence attiecībā uz nepieciešamību veikt izmaiņas noteikumos par direktīvas piemērošanas jomu, lai gan starp ieinteresētajām personām nebija vienprātības un skaidrības par turpmāko virzību;</w:t>
            </w:r>
          </w:p>
          <w:p>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4395"/>
              </w:tabs>
              <w:jc w:val="both"/>
              <w:rPr>
                <w:noProof/>
              </w:rPr>
            </w:pPr>
            <w:r>
              <w:rPr>
                <w:noProof/>
              </w:rPr>
              <w:t xml:space="preserve">visu ieinteresēto personu atbalsts </w:t>
            </w:r>
            <w:r>
              <w:rPr>
                <w:i/>
                <w:noProof/>
              </w:rPr>
              <w:t>status quo</w:t>
            </w:r>
            <w:r>
              <w:rPr>
                <w:noProof/>
              </w:rPr>
              <w:t xml:space="preserve"> saglabāšanai attiecībā uz izcelsmes valsts principu; obligātumu/atrodamību; pieejamību personām ar invaliditāti; noteikumiem par sabiedrībai nozīmīgiem notikumiem, īsām ziņu reportāžām un tiesībām uz atbildi;</w:t>
            </w:r>
          </w:p>
          <w:p>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b/>
                <w:i/>
                <w:noProof/>
              </w:rPr>
            </w:pPr>
            <w:r>
              <w:rPr>
                <w:noProof/>
              </w:rPr>
              <w:t>starp ieinteresētajām personām nav skaidras vienprātības par komercpaziņojumiem, nepilngadīgo aizsardzību un Eiropas darbu popularizēšanu.</w:t>
            </w:r>
          </w:p>
        </w:tc>
      </w:tr>
      <w:tr>
        <w:trPr>
          <w:trHeight w:val="338"/>
        </w:trPr>
        <w:tc>
          <w:tcPr>
            <w:tcW w:w="9889" w:type="dxa"/>
            <w:tcBorders>
              <w:right w:val="single" w:sz="4" w:space="0" w:color="auto"/>
            </w:tcBorders>
            <w:shd w:val="clear" w:color="auto" w:fill="0000FF"/>
            <w:vAlign w:val="center"/>
          </w:tcPr>
          <w:p>
            <w:pPr>
              <w:jc w:val="center"/>
              <w:rPr>
                <w:b/>
                <w:noProof/>
              </w:rPr>
            </w:pPr>
            <w:r>
              <w:rPr>
                <w:b/>
                <w:noProof/>
              </w:rPr>
              <w:t>C. Vēlamākā varianta ietekme</w:t>
            </w:r>
          </w:p>
        </w:tc>
      </w:tr>
      <w:tr>
        <w:tc>
          <w:tcPr>
            <w:tcW w:w="9889" w:type="dxa"/>
            <w:tcBorders>
              <w:right w:val="single" w:sz="4" w:space="0" w:color="auto"/>
            </w:tcBorders>
            <w:shd w:val="clear" w:color="auto" w:fill="E6E6E6"/>
            <w:vAlign w:val="center"/>
          </w:tcPr>
          <w:p>
            <w:pPr>
              <w:rPr>
                <w:b/>
                <w:noProof/>
              </w:rPr>
            </w:pPr>
            <w:r>
              <w:rPr>
                <w:b/>
                <w:noProof/>
              </w:rPr>
              <w:t xml:space="preserve">Kādus ieguvumus nodrošinās vēlamākais variants (ja tāds ir, pretējā gadījumā — galvenie varianti)? </w:t>
            </w:r>
          </w:p>
        </w:tc>
      </w:tr>
      <w:tr>
        <w:tc>
          <w:tcPr>
            <w:tcW w:w="9889" w:type="dxa"/>
            <w:tcBorders>
              <w:right w:val="single" w:sz="4" w:space="0" w:color="auto"/>
            </w:tcBorders>
            <w:shd w:val="clear" w:color="auto" w:fill="auto"/>
            <w:vAlign w:val="center"/>
          </w:tcPr>
          <w:p>
            <w:pPr>
              <w:jc w:val="both"/>
              <w:rPr>
                <w:noProof/>
              </w:rPr>
            </w:pPr>
            <w:r>
              <w:rPr>
                <w:noProof/>
              </w:rPr>
              <w:t>Vēlamākais variants ir B iedaļā izcelto variantu kombinācija. Galvenie ieguvumi ir šādi:</w:t>
            </w:r>
          </w:p>
          <w:p>
            <w:pPr>
              <w:numPr>
                <w:ilvl w:val="0"/>
                <w:numId w:val="13"/>
              </w:numPr>
              <w:jc w:val="both"/>
              <w:rPr>
                <w:noProof/>
              </w:rPr>
            </w:pPr>
            <w:r>
              <w:rPr>
                <w:noProof/>
              </w:rPr>
              <w:t>tiek uzlabota nepilngadīgo aizsardzība, tostarp nosakot pienākumu video koplietošanas platformās nodrošināt nepilngadīgo aizsardzību pret kaitīgu saturu un naidīgu runu;</w:t>
            </w:r>
          </w:p>
          <w:p>
            <w:pPr>
              <w:numPr>
                <w:ilvl w:val="0"/>
                <w:numId w:val="13"/>
              </w:numPr>
              <w:jc w:val="both"/>
              <w:rPr>
                <w:noProof/>
              </w:rPr>
            </w:pPr>
            <w:r>
              <w:rPr>
                <w:noProof/>
              </w:rPr>
              <w:t>tiek nodrošināts mediju pakalpojumu devums kultūras daudzveidībā, to pielāgojot dažādiem uzņēmējdarbības modeļiem;</w:t>
            </w:r>
          </w:p>
          <w:p>
            <w:pPr>
              <w:numPr>
                <w:ilvl w:val="0"/>
                <w:numId w:val="13"/>
              </w:numPr>
              <w:jc w:val="both"/>
              <w:rPr>
                <w:noProof/>
              </w:rPr>
            </w:pPr>
            <w:r>
              <w:rPr>
                <w:noProof/>
              </w:rPr>
              <w:t>tiek risināts taisnīgas attieksmes trūkums pret televīzijas apraidi un pieprasījumpakalpojumiem, tostarp nepilngadīgo aizsardzības, Eiropas darbu popularizēšanas un komercpaziņojumu jomā;</w:t>
            </w:r>
          </w:p>
          <w:p>
            <w:pPr>
              <w:numPr>
                <w:ilvl w:val="0"/>
                <w:numId w:val="13"/>
              </w:numPr>
              <w:jc w:val="both"/>
              <w:rPr>
                <w:noProof/>
              </w:rPr>
            </w:pPr>
            <w:r>
              <w:rPr>
                <w:noProof/>
              </w:rPr>
              <w:t xml:space="preserve">tiek saglabāts zināms elastīgums attiecībā uz to, kā dalībvalstis īstenos </w:t>
            </w:r>
            <w:r>
              <w:rPr>
                <w:i/>
                <w:noProof/>
              </w:rPr>
              <w:t>AVMSD</w:t>
            </w:r>
            <w:r>
              <w:rPr>
                <w:noProof/>
              </w:rPr>
              <w:t>, un tiek ņemti vērā subsidiaritātes apsvērumi un valstu īpatnības;</w:t>
            </w:r>
          </w:p>
          <w:p>
            <w:pPr>
              <w:numPr>
                <w:ilvl w:val="0"/>
                <w:numId w:val="13"/>
              </w:numPr>
              <w:jc w:val="both"/>
              <w:rPr>
                <w:noProof/>
              </w:rPr>
            </w:pPr>
            <w:r>
              <w:rPr>
                <w:noProof/>
              </w:rPr>
              <w:t>tiek uzlabota direktīvas īstenošana.</w:t>
            </w:r>
          </w:p>
        </w:tc>
      </w:tr>
      <w:tr>
        <w:tc>
          <w:tcPr>
            <w:tcW w:w="9889" w:type="dxa"/>
            <w:tcBorders>
              <w:right w:val="single" w:sz="4" w:space="0" w:color="auto"/>
            </w:tcBorders>
            <w:shd w:val="clear" w:color="auto" w:fill="E6E6E6"/>
            <w:vAlign w:val="center"/>
          </w:tcPr>
          <w:p>
            <w:pPr>
              <w:rPr>
                <w:b/>
                <w:noProof/>
              </w:rPr>
            </w:pPr>
            <w:r>
              <w:rPr>
                <w:b/>
                <w:noProof/>
              </w:rPr>
              <w:t>Vēlamākā varianta (ja tāds ir, pretējā gadījumā – galveno variantu) izmaksas</w:t>
            </w:r>
          </w:p>
        </w:tc>
      </w:tr>
      <w:tr>
        <w:tc>
          <w:tcPr>
            <w:tcW w:w="9889" w:type="dxa"/>
            <w:tcBorders>
              <w:right w:val="single" w:sz="4" w:space="0" w:color="auto"/>
            </w:tcBorders>
            <w:shd w:val="clear" w:color="auto" w:fill="auto"/>
            <w:vAlign w:val="center"/>
          </w:tcPr>
          <w:p>
            <w:pPr>
              <w:jc w:val="both"/>
              <w:rPr>
                <w:b/>
                <w:i/>
                <w:noProof/>
              </w:rPr>
            </w:pPr>
            <w:r>
              <w:rPr>
                <w:noProof/>
              </w:rPr>
              <w:t>Vēlamākā varianta izmaksas būtu jāsedz pieprasījumpakalpojumu sniedzējiem un video koplietošanas platformām. Tie galvenokārt būtu saistīti ar to noteikumu īstenošanu, kas paredzēti patērētāju aizsardzības uzlabošanai. Tomēr šīs izmaksas mazinātu tas, ka dažas dalībvalstis jau ir ieviesušas stingrākus noteikumus un ka lielās video koplietošanas platformas saskaņā ar savu uzņēmumu politiku jau ir brīvprātīgi veikušas pasākumus patērētāju aizsardzībai.</w:t>
            </w:r>
          </w:p>
        </w:tc>
      </w:tr>
      <w:tr>
        <w:tc>
          <w:tcPr>
            <w:tcW w:w="9889" w:type="dxa"/>
            <w:tcBorders>
              <w:right w:val="single" w:sz="4" w:space="0" w:color="auto"/>
            </w:tcBorders>
            <w:shd w:val="clear" w:color="auto" w:fill="E6E6E6"/>
            <w:vAlign w:val="center"/>
          </w:tcPr>
          <w:p>
            <w:pPr>
              <w:rPr>
                <w:b/>
                <w:noProof/>
              </w:rPr>
            </w:pPr>
            <w:r>
              <w:rPr>
                <w:b/>
                <w:noProof/>
              </w:rPr>
              <w:t>Vai tiks būtiski ietekmēti valstu budžeti un pārvaldes iestādes?</w:t>
            </w:r>
          </w:p>
        </w:tc>
      </w:tr>
      <w:tr>
        <w:tc>
          <w:tcPr>
            <w:tcW w:w="9889" w:type="dxa"/>
            <w:tcBorders>
              <w:right w:val="single" w:sz="4" w:space="0" w:color="auto"/>
            </w:tcBorders>
            <w:shd w:val="clear" w:color="auto" w:fill="auto"/>
            <w:vAlign w:val="center"/>
          </w:tcPr>
          <w:p>
            <w:pPr>
              <w:jc w:val="both"/>
              <w:rPr>
                <w:b/>
                <w:i/>
                <w:noProof/>
              </w:rPr>
            </w:pPr>
            <w:r>
              <w:rPr>
                <w:noProof/>
              </w:rPr>
              <w:t>Galveno ietekmi uz valstu budžetiem un pārvaldes iestādēm radītu kopregulēšanas īstenošana nepilngadīgo aizsardzībai video koplietošanas platformās un juridiskas prasības ieviešana par valstu regulētājiestāžu neatkarību un minimālajām prasībām, kurām tām jāatbilst. Pēdējā minētajā gadījumā ietekme būs atkarīgā no tā, cik lielā mērā valstu regulētājiestādes jau atbilst šīm minimālajām prasībām.</w:t>
            </w:r>
          </w:p>
        </w:tc>
      </w:tr>
      <w:tr>
        <w:tc>
          <w:tcPr>
            <w:tcW w:w="9889" w:type="dxa"/>
            <w:tcBorders>
              <w:right w:val="single" w:sz="4" w:space="0" w:color="auto"/>
            </w:tcBorders>
            <w:shd w:val="clear" w:color="auto" w:fill="E6E6E6"/>
            <w:vAlign w:val="center"/>
          </w:tcPr>
          <w:p>
            <w:pPr>
              <w:rPr>
                <w:b/>
                <w:noProof/>
              </w:rPr>
            </w:pPr>
            <w:r>
              <w:rPr>
                <w:b/>
                <w:noProof/>
              </w:rPr>
              <w:t>Vai būs kāda cita būtiska ietekme?</w:t>
            </w:r>
          </w:p>
        </w:tc>
      </w:tr>
      <w:tr>
        <w:tc>
          <w:tcPr>
            <w:tcW w:w="9889" w:type="dxa"/>
            <w:tcBorders>
              <w:right w:val="single" w:sz="4" w:space="0" w:color="auto"/>
            </w:tcBorders>
            <w:shd w:val="clear" w:color="auto" w:fill="auto"/>
            <w:vAlign w:val="center"/>
          </w:tcPr>
          <w:p>
            <w:pPr>
              <w:rPr>
                <w:b/>
                <w:noProof/>
              </w:rPr>
            </w:pPr>
            <w:r>
              <w:rPr>
                <w:b/>
                <w:noProof/>
              </w:rPr>
              <w:t>Nē</w:t>
            </w:r>
          </w:p>
        </w:tc>
      </w:tr>
      <w:tr>
        <w:tc>
          <w:tcPr>
            <w:tcW w:w="9889" w:type="dxa"/>
            <w:tcBorders>
              <w:right w:val="single" w:sz="4" w:space="0" w:color="auto"/>
            </w:tcBorders>
            <w:shd w:val="clear" w:color="auto" w:fill="F2F2F2" w:themeFill="background1" w:themeFillShade="F2"/>
            <w:vAlign w:val="center"/>
          </w:tcPr>
          <w:p>
            <w:pPr>
              <w:rPr>
                <w:b/>
                <w:noProof/>
              </w:rPr>
            </w:pPr>
            <w:r>
              <w:rPr>
                <w:b/>
                <w:noProof/>
              </w:rPr>
              <w:t>Proporcionalitāte?</w:t>
            </w:r>
          </w:p>
        </w:tc>
      </w:tr>
      <w:tr>
        <w:tc>
          <w:tcPr>
            <w:tcW w:w="9889" w:type="dxa"/>
            <w:tcBorders>
              <w:right w:val="single" w:sz="4" w:space="0" w:color="auto"/>
            </w:tcBorders>
            <w:shd w:val="clear" w:color="auto" w:fill="auto"/>
            <w:vAlign w:val="center"/>
          </w:tcPr>
          <w:p>
            <w:pPr>
              <w:rPr>
                <w:noProof/>
              </w:rPr>
            </w:pPr>
            <w:r>
              <w:rPr>
                <w:noProof/>
              </w:rPr>
              <w:t>ES rīcības proporcionalitāti nodrošinās direktīvas minimālās saskaņošanas noteikums.</w:t>
            </w:r>
          </w:p>
        </w:tc>
      </w:tr>
      <w:tr>
        <w:trPr>
          <w:trHeight w:val="338"/>
        </w:trPr>
        <w:tc>
          <w:tcPr>
            <w:tcW w:w="9889" w:type="dxa"/>
            <w:tcBorders>
              <w:right w:val="single" w:sz="4" w:space="0" w:color="auto"/>
            </w:tcBorders>
            <w:shd w:val="clear" w:color="auto" w:fill="0000FF"/>
            <w:vAlign w:val="center"/>
          </w:tcPr>
          <w:p>
            <w:pPr>
              <w:jc w:val="center"/>
              <w:rPr>
                <w:b/>
                <w:noProof/>
              </w:rPr>
            </w:pPr>
            <w:r>
              <w:rPr>
                <w:b/>
                <w:noProof/>
              </w:rPr>
              <w:t>D. Turpmākā rīcība</w:t>
            </w:r>
          </w:p>
        </w:tc>
      </w:tr>
      <w:tr>
        <w:tc>
          <w:tcPr>
            <w:tcW w:w="9889" w:type="dxa"/>
            <w:tcBorders>
              <w:right w:val="single" w:sz="4" w:space="0" w:color="auto"/>
            </w:tcBorders>
            <w:shd w:val="clear" w:color="auto" w:fill="E6E6E6"/>
            <w:vAlign w:val="center"/>
          </w:tcPr>
          <w:p>
            <w:pPr>
              <w:rPr>
                <w:b/>
                <w:noProof/>
              </w:rPr>
            </w:pPr>
            <w:r>
              <w:rPr>
                <w:b/>
                <w:noProof/>
              </w:rPr>
              <w:t>Kad politika tiks pārskatīta?</w:t>
            </w:r>
          </w:p>
        </w:tc>
      </w:tr>
      <w:tr>
        <w:tc>
          <w:tcPr>
            <w:tcW w:w="9889" w:type="dxa"/>
            <w:tcBorders>
              <w:right w:val="single" w:sz="4" w:space="0" w:color="auto"/>
            </w:tcBorders>
            <w:shd w:val="clear" w:color="auto" w:fill="auto"/>
            <w:vAlign w:val="center"/>
          </w:tcPr>
          <w:p>
            <w:pPr>
              <w:jc w:val="both"/>
              <w:rPr>
                <w:noProof/>
              </w:rPr>
            </w:pPr>
            <w:r>
              <w:rPr>
                <w:noProof/>
              </w:rPr>
              <w:t>Tiks īstenota nepārtraukta uzraudzība, izmantojot dalībvalstu ziņojumus Komisijai un Komisijas ziņojumus Eiropas Parlamentam, Padomei un Eiropas Ekonomikas un sociālo lietu komitejai.</w:t>
            </w:r>
          </w:p>
        </w:tc>
      </w:tr>
    </w:tbl>
    <w:p>
      <w:pPr>
        <w:jc w:val="center"/>
        <w:rPr>
          <w:noProof/>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AD6"/>
    <w:multiLevelType w:val="hybridMultilevel"/>
    <w:tmpl w:val="B4EC6802"/>
    <w:lvl w:ilvl="0" w:tplc="CB5864D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FD0CCF"/>
    <w:multiLevelType w:val="hybridMultilevel"/>
    <w:tmpl w:val="5AF8765A"/>
    <w:lvl w:ilvl="0" w:tplc="0B063BE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EE4226"/>
    <w:multiLevelType w:val="hybridMultilevel"/>
    <w:tmpl w:val="D680A046"/>
    <w:lvl w:ilvl="0" w:tplc="4412C506">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773241"/>
    <w:multiLevelType w:val="hybridMultilevel"/>
    <w:tmpl w:val="3C3049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911969"/>
    <w:multiLevelType w:val="hybridMultilevel"/>
    <w:tmpl w:val="5AF8765A"/>
    <w:lvl w:ilvl="0" w:tplc="0B063BE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E94ACC"/>
    <w:multiLevelType w:val="hybridMultilevel"/>
    <w:tmpl w:val="6F72F900"/>
    <w:lvl w:ilvl="0" w:tplc="CB5864D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A23C0F"/>
    <w:multiLevelType w:val="hybridMultilevel"/>
    <w:tmpl w:val="7A64AF26"/>
    <w:lvl w:ilvl="0" w:tplc="CB5864D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2F3B3C"/>
    <w:multiLevelType w:val="hybridMultilevel"/>
    <w:tmpl w:val="6A8A8CB0"/>
    <w:lvl w:ilvl="0" w:tplc="CB5864D6">
      <w:numFmt w:val="bullet"/>
      <w:lvlText w:val="-"/>
      <w:lvlJc w:val="left"/>
      <w:pPr>
        <w:ind w:left="780" w:hanging="360"/>
      </w:pPr>
      <w:rPr>
        <w:rFonts w:ascii="Calibri" w:eastAsiaTheme="minorHAnsi" w:hAnsi="Calibri"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52D16975"/>
    <w:multiLevelType w:val="hybridMultilevel"/>
    <w:tmpl w:val="00E81232"/>
    <w:lvl w:ilvl="0" w:tplc="CB5864D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994A5D"/>
    <w:multiLevelType w:val="multilevel"/>
    <w:tmpl w:val="259A0B20"/>
    <w:styleLink w:val="List0"/>
    <w:lvl w:ilvl="0">
      <w:start w:val="1"/>
      <w:numFmt w:val="decimal"/>
      <w:lvlText w:val="%1."/>
      <w:lvlJc w:val="left"/>
      <w:pPr>
        <w:tabs>
          <w:tab w:val="num" w:pos="360"/>
        </w:tabs>
        <w:ind w:left="360" w:hanging="360"/>
      </w:pPr>
      <w:rPr>
        <w:b w:val="0"/>
        <w:bCs w:val="0"/>
        <w:i w:val="0"/>
        <w:iCs w:val="0"/>
        <w:caps w:val="0"/>
        <w:smallCaps w:val="0"/>
        <w:strike w:val="0"/>
        <w:dstrike w:val="0"/>
        <w:outline w:val="0"/>
        <w:color w:val="000000"/>
        <w:spacing w:val="0"/>
        <w:kern w:val="0"/>
        <w:position w:val="0"/>
        <w:sz w:val="20"/>
        <w:szCs w:val="20"/>
        <w:u w:val="none" w:color="000000"/>
        <w:vertAlign w:val="baseline"/>
        <w:lang w:val="en-US"/>
      </w:rPr>
    </w:lvl>
    <w:lvl w:ilvl="1">
      <w:start w:val="1"/>
      <w:numFmt w:val="lowerLetter"/>
      <w:lvlText w:val="%2."/>
      <w:lvlJc w:val="left"/>
      <w:pPr>
        <w:tabs>
          <w:tab w:val="num" w:pos="1020"/>
        </w:tabs>
        <w:ind w:left="1020" w:hanging="300"/>
      </w:pPr>
      <w:rPr>
        <w:b w:val="0"/>
        <w:bCs w:val="0"/>
        <w:i w:val="0"/>
        <w:iCs w:val="0"/>
        <w:caps w:val="0"/>
        <w:smallCaps w:val="0"/>
        <w:strike w:val="0"/>
        <w:dstrike w:val="0"/>
        <w:outline w:val="0"/>
        <w:color w:val="000000"/>
        <w:spacing w:val="0"/>
        <w:kern w:val="0"/>
        <w:position w:val="0"/>
        <w:sz w:val="20"/>
        <w:szCs w:val="20"/>
        <w:u w:val="none" w:color="000000"/>
        <w:vertAlign w:val="baseline"/>
        <w:lang w:val="en-US"/>
      </w:rPr>
    </w:lvl>
    <w:lvl w:ilvl="2">
      <w:start w:val="1"/>
      <w:numFmt w:val="lowerRoman"/>
      <w:lvlText w:val="%3."/>
      <w:lvlJc w:val="left"/>
      <w:pPr>
        <w:tabs>
          <w:tab w:val="num" w:pos="1751"/>
        </w:tabs>
        <w:ind w:left="1751" w:hanging="247"/>
      </w:pPr>
      <w:rPr>
        <w:b w:val="0"/>
        <w:bCs w:val="0"/>
        <w:i w:val="0"/>
        <w:iCs w:val="0"/>
        <w:caps w:val="0"/>
        <w:smallCaps w:val="0"/>
        <w:strike w:val="0"/>
        <w:dstrike w:val="0"/>
        <w:outline w:val="0"/>
        <w:color w:val="000000"/>
        <w:spacing w:val="0"/>
        <w:kern w:val="0"/>
        <w:position w:val="0"/>
        <w:sz w:val="20"/>
        <w:szCs w:val="20"/>
        <w:u w:val="none" w:color="000000"/>
        <w:vertAlign w:val="baseline"/>
        <w:lang w:val="en-US"/>
      </w:rPr>
    </w:lvl>
    <w:lvl w:ilvl="3">
      <w:start w:val="1"/>
      <w:numFmt w:val="decimal"/>
      <w:lvlText w:val="%4."/>
      <w:lvlJc w:val="left"/>
      <w:pPr>
        <w:tabs>
          <w:tab w:val="num" w:pos="2460"/>
        </w:tabs>
        <w:ind w:left="2460" w:hanging="300"/>
      </w:pPr>
      <w:rPr>
        <w:b w:val="0"/>
        <w:bCs w:val="0"/>
        <w:i w:val="0"/>
        <w:iCs w:val="0"/>
        <w:caps w:val="0"/>
        <w:smallCaps w:val="0"/>
        <w:strike w:val="0"/>
        <w:dstrike w:val="0"/>
        <w:outline w:val="0"/>
        <w:color w:val="000000"/>
        <w:spacing w:val="0"/>
        <w:kern w:val="0"/>
        <w:position w:val="0"/>
        <w:sz w:val="20"/>
        <w:szCs w:val="20"/>
        <w:u w:val="none" w:color="000000"/>
        <w:vertAlign w:val="baseline"/>
        <w:lang w:val="en-US"/>
      </w:rPr>
    </w:lvl>
    <w:lvl w:ilvl="4">
      <w:start w:val="1"/>
      <w:numFmt w:val="lowerLetter"/>
      <w:lvlText w:val="%5."/>
      <w:lvlJc w:val="left"/>
      <w:pPr>
        <w:tabs>
          <w:tab w:val="num" w:pos="3180"/>
        </w:tabs>
        <w:ind w:left="3180" w:hanging="300"/>
      </w:pPr>
      <w:rPr>
        <w:b w:val="0"/>
        <w:bCs w:val="0"/>
        <w:i w:val="0"/>
        <w:iCs w:val="0"/>
        <w:caps w:val="0"/>
        <w:smallCaps w:val="0"/>
        <w:strike w:val="0"/>
        <w:dstrike w:val="0"/>
        <w:outline w:val="0"/>
        <w:color w:val="000000"/>
        <w:spacing w:val="0"/>
        <w:kern w:val="0"/>
        <w:position w:val="0"/>
        <w:sz w:val="20"/>
        <w:szCs w:val="20"/>
        <w:u w:val="none" w:color="000000"/>
        <w:vertAlign w:val="baseline"/>
        <w:lang w:val="en-US"/>
      </w:rPr>
    </w:lvl>
    <w:lvl w:ilvl="5">
      <w:start w:val="1"/>
      <w:numFmt w:val="lowerRoman"/>
      <w:lvlText w:val="%6."/>
      <w:lvlJc w:val="left"/>
      <w:pPr>
        <w:tabs>
          <w:tab w:val="num" w:pos="3911"/>
        </w:tabs>
        <w:ind w:left="3911" w:hanging="247"/>
      </w:pPr>
      <w:rPr>
        <w:b w:val="0"/>
        <w:bCs w:val="0"/>
        <w:i w:val="0"/>
        <w:iCs w:val="0"/>
        <w:caps w:val="0"/>
        <w:smallCaps w:val="0"/>
        <w:strike w:val="0"/>
        <w:dstrike w:val="0"/>
        <w:outline w:val="0"/>
        <w:color w:val="000000"/>
        <w:spacing w:val="0"/>
        <w:kern w:val="0"/>
        <w:position w:val="0"/>
        <w:sz w:val="20"/>
        <w:szCs w:val="20"/>
        <w:u w:val="none" w:color="000000"/>
        <w:vertAlign w:val="baseline"/>
        <w:lang w:val="en-US"/>
      </w:rPr>
    </w:lvl>
    <w:lvl w:ilvl="6">
      <w:start w:val="1"/>
      <w:numFmt w:val="decimal"/>
      <w:lvlText w:val="%7."/>
      <w:lvlJc w:val="left"/>
      <w:pPr>
        <w:tabs>
          <w:tab w:val="num" w:pos="4620"/>
        </w:tabs>
        <w:ind w:left="4620" w:hanging="300"/>
      </w:pPr>
      <w:rPr>
        <w:b w:val="0"/>
        <w:bCs w:val="0"/>
        <w:i w:val="0"/>
        <w:iCs w:val="0"/>
        <w:caps w:val="0"/>
        <w:smallCaps w:val="0"/>
        <w:strike w:val="0"/>
        <w:dstrike w:val="0"/>
        <w:outline w:val="0"/>
        <w:color w:val="000000"/>
        <w:spacing w:val="0"/>
        <w:kern w:val="0"/>
        <w:position w:val="0"/>
        <w:sz w:val="20"/>
        <w:szCs w:val="20"/>
        <w:u w:val="none" w:color="000000"/>
        <w:vertAlign w:val="baseline"/>
        <w:lang w:val="en-US"/>
      </w:rPr>
    </w:lvl>
    <w:lvl w:ilvl="7">
      <w:start w:val="1"/>
      <w:numFmt w:val="lowerLetter"/>
      <w:lvlText w:val="%8."/>
      <w:lvlJc w:val="left"/>
      <w:pPr>
        <w:tabs>
          <w:tab w:val="num" w:pos="5340"/>
        </w:tabs>
        <w:ind w:left="5340" w:hanging="300"/>
      </w:pPr>
      <w:rPr>
        <w:b w:val="0"/>
        <w:bCs w:val="0"/>
        <w:i w:val="0"/>
        <w:iCs w:val="0"/>
        <w:caps w:val="0"/>
        <w:smallCaps w:val="0"/>
        <w:strike w:val="0"/>
        <w:dstrike w:val="0"/>
        <w:outline w:val="0"/>
        <w:color w:val="000000"/>
        <w:spacing w:val="0"/>
        <w:kern w:val="0"/>
        <w:position w:val="0"/>
        <w:sz w:val="20"/>
        <w:szCs w:val="20"/>
        <w:u w:val="none" w:color="000000"/>
        <w:vertAlign w:val="baseline"/>
        <w:lang w:val="en-US"/>
      </w:rPr>
    </w:lvl>
    <w:lvl w:ilvl="8">
      <w:start w:val="1"/>
      <w:numFmt w:val="lowerRoman"/>
      <w:lvlText w:val="%9."/>
      <w:lvlJc w:val="left"/>
      <w:pPr>
        <w:tabs>
          <w:tab w:val="num" w:pos="6071"/>
        </w:tabs>
        <w:ind w:left="6071" w:hanging="247"/>
      </w:pPr>
      <w:rPr>
        <w:b w:val="0"/>
        <w:bCs w:val="0"/>
        <w:i w:val="0"/>
        <w:iCs w:val="0"/>
        <w:caps w:val="0"/>
        <w:smallCaps w:val="0"/>
        <w:strike w:val="0"/>
        <w:dstrike w:val="0"/>
        <w:outline w:val="0"/>
        <w:color w:val="000000"/>
        <w:spacing w:val="0"/>
        <w:kern w:val="0"/>
        <w:position w:val="0"/>
        <w:sz w:val="20"/>
        <w:szCs w:val="20"/>
        <w:u w:val="none" w:color="000000"/>
        <w:vertAlign w:val="baseline"/>
        <w:lang w:val="en-US"/>
      </w:rPr>
    </w:lvl>
  </w:abstractNum>
  <w:abstractNum w:abstractNumId="10">
    <w:nsid w:val="54672B2F"/>
    <w:multiLevelType w:val="hybridMultilevel"/>
    <w:tmpl w:val="CE96FC44"/>
    <w:lvl w:ilvl="0" w:tplc="CB5864D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950AE3"/>
    <w:multiLevelType w:val="multilevel"/>
    <w:tmpl w:val="A33A53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58C132BC"/>
    <w:multiLevelType w:val="hybridMultilevel"/>
    <w:tmpl w:val="44665F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73863789"/>
    <w:multiLevelType w:val="multilevel"/>
    <w:tmpl w:val="A57E5CD4"/>
    <w:lvl w:ilvl="0">
      <w:numFmt w:val="bullet"/>
      <w:lvlText w:val="-"/>
      <w:lvlJc w:val="left"/>
      <w:pPr>
        <w:tabs>
          <w:tab w:val="num" w:pos="360"/>
        </w:tabs>
        <w:ind w:left="360" w:hanging="360"/>
      </w:pPr>
      <w:rPr>
        <w:rFonts w:ascii="Calibri" w:eastAsiaTheme="minorHAnsi" w:hAnsi="Calibri" w:cstheme="minorBidi"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78702F7B"/>
    <w:multiLevelType w:val="hybridMultilevel"/>
    <w:tmpl w:val="9D066F42"/>
    <w:lvl w:ilvl="0" w:tplc="CB5864D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0"/>
  </w:num>
  <w:num w:numId="5">
    <w:abstractNumId w:val="6"/>
  </w:num>
  <w:num w:numId="6">
    <w:abstractNumId w:val="1"/>
  </w:num>
  <w:num w:numId="7">
    <w:abstractNumId w:val="3"/>
  </w:num>
  <w:num w:numId="8">
    <w:abstractNumId w:val="2"/>
  </w:num>
  <w:num w:numId="9">
    <w:abstractNumId w:val="4"/>
  </w:num>
  <w:num w:numId="10">
    <w:abstractNumId w:val="14"/>
  </w:num>
  <w:num w:numId="11">
    <w:abstractNumId w:val="10"/>
  </w:num>
  <w:num w:numId="12">
    <w:abstractNumId w:val="11"/>
  </w:num>
  <w:num w:numId="13">
    <w:abstractNumId w:val="13"/>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Pavaddokuments dokumentam"/>
    <w:docVar w:name="LW_CONFIDENCE" w:val=" "/>
    <w:docVar w:name="LW_CONST_RESTREINT_UE" w:val="RESTREINT UE"/>
    <w:docVar w:name="LW_CORRIGENDUM" w:val="&lt;UNUSED&gt;"/>
    <w:docVar w:name="LW_COVERPAGE_GUID" w:val="7454341988724E9B8D26FA6EBF4218D3"/>
    <w:docVar w:name="LW_CROSSREFERENCE" w:val="{COM(2016) 287 final}_x000b_{SWD(2016) 168 final}_x000b_{SWD(2016) 170 final}_x000b_{SWD(2016) 171 final}"/>
    <w:docVar w:name="LW_DATE.ADOPT.CP_ISODATE" w:val="&lt;EMPTY&gt;"/>
    <w:docVar w:name="LW_DocType" w:val="NORMAL"/>
    <w:docVar w:name="LW_EMISSION" w:val="25.5.2016"/>
    <w:docVar w:name="LW_EMISSION_ISODATE" w:val="2016-05-25"/>
    <w:docVar w:name="LW_EMISSION_LOCATION" w:val="BRX"/>
    <w:docVar w:name="LW_EMISSION_PREFIX" w:val="Briselē, "/>
    <w:docVar w:name="LW_EMISSION_SUFFIX" w:val="."/>
    <w:docVar w:name="LW_ID_DOCTYPE_NONLW" w:val="CP-027"/>
    <w:docVar w:name="LW_INTERETEEE.CP" w:val="&lt;UNUSED&gt;"/>
    <w:docVar w:name="LW_LANGUE" w:val="LV"/>
    <w:docVar w:name="LW_LANGUESFAISANTFOI.CP" w:val="&lt;UNUSED&gt;"/>
    <w:docVar w:name="LW_MARKING" w:val="&lt;UNUSED&gt;"/>
    <w:docVar w:name="LW_NOM.INST" w:val="EIROPAS KOMISIJA"/>
    <w:docVar w:name="LW_NOM.INST_JOINTDOC" w:val="&lt;EMPTY&gt;"/>
    <w:docVar w:name="LW_OBJETACTEPRINCIPAL.CP" w:val="Priek\u353?likums Eiropas Parlamenta un Padomes direkt\u299?vai, ar ko, \u326?emot v\u275?r\u257? main\u299?gos tirgus apst\u257?k\u316?us, groza Direkt\u299?vu 2010/13/ES par to, lai koordin\u275?tu da\u382?us dal\u299?bvalstu normat\u299?vajos un administrat\u299?vajos aktos paredz\u275?tus noteikumus par audiovizu\u257?lo mediju pakalpojumu snieg\u353?anu_x000b_"/>
    <w:docVar w:name="LW_PART_NBR" w:val="1"/>
    <w:docVar w:name="LW_PART_NBR_TOTAL" w:val="1"/>
    <w:docVar w:name="LW_REF.II.NEW.CP" w:val="&lt;UNUSED&gt;"/>
    <w:docVar w:name="LW_REF.II.NEW.CP_NUMBER" w:val="&lt;UNUSED&gt;"/>
    <w:docVar w:name="LW_REF.II.NEW.CP_YEAR" w:val="2016"/>
    <w:docVar w:name="LW_REF.INST.NEW" w:val="SWD"/>
    <w:docVar w:name="LW_REF.INST.NEW_ADOPTED" w:val="final"/>
    <w:docVar w:name="LW_REF.INST.NEW_TEXT" w:val="(2016) 169"/>
    <w:docVar w:name="LW_REF.INTERNE" w:val="&lt;UNUSED&gt;"/>
    <w:docVar w:name="LW_SOUS.TITRE.OBJ.CP" w:val="&lt;UNUSED&gt;"/>
    <w:docVar w:name="LW_SUPERTITRE" w:val="&lt;UNUSED&gt;"/>
    <w:docVar w:name="LW_TITRE.OBJ.CP" w:val="&lt;UNUSED&gt;"/>
    <w:docVar w:name="LW_TYPE.DOC.CP" w:val="KOMISIJAS DIENESTU DARBA DOKUMENTS_x000b__x000b_IETEKMES NOV\u274?RT\u274?JUMA KOPSAVILKUMS_x000b_"/>
    <w:docVar w:name="LW_TYPEACTEPRINCIPAL.CP" w:val="&lt;UNUSED&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next w:val="ZDGName"/>
    <w:uiPriority w:val="99"/>
    <w:pPr>
      <w:widowControl w:val="0"/>
      <w:pBdr>
        <w:top w:val="nil"/>
        <w:left w:val="nil"/>
        <w:bottom w:val="nil"/>
        <w:right w:val="nil"/>
        <w:between w:val="nil"/>
        <w:bar w:val="nil"/>
      </w:pBdr>
      <w:spacing w:after="0" w:line="240" w:lineRule="auto"/>
      <w:ind w:right="85"/>
      <w:jc w:val="both"/>
    </w:pPr>
    <w:rPr>
      <w:rFonts w:ascii="Arial" w:eastAsia="Arial Unicode MS" w:hAnsi="Arial Unicode MS" w:cs="Arial Unicode MS"/>
      <w:color w:val="000000"/>
      <w:sz w:val="24"/>
      <w:szCs w:val="24"/>
      <w:u w:color="000000"/>
      <w:bdr w:val="nil"/>
    </w:rPr>
  </w:style>
  <w:style w:type="paragraph" w:customStyle="1" w:styleId="ZDGName">
    <w:name w:val="Z_DGName"/>
    <w:uiPriority w:val="99"/>
    <w:pPr>
      <w:widowControl w:val="0"/>
      <w:pBdr>
        <w:top w:val="nil"/>
        <w:left w:val="nil"/>
        <w:bottom w:val="nil"/>
        <w:right w:val="nil"/>
        <w:between w:val="nil"/>
        <w:bar w:val="nil"/>
      </w:pBdr>
      <w:spacing w:after="0" w:line="240" w:lineRule="auto"/>
      <w:ind w:right="85"/>
    </w:pPr>
    <w:rPr>
      <w:rFonts w:ascii="Arial" w:eastAsia="Arial Unicode MS" w:hAnsi="Arial Unicode MS" w:cs="Arial Unicode MS"/>
      <w:color w:val="000000"/>
      <w:sz w:val="16"/>
      <w:szCs w:val="16"/>
      <w:u w:color="000000"/>
      <w:bdr w:val="n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sz w:val="16"/>
      <w:szCs w:val="16"/>
      <w:bdr w:val="nil"/>
      <w:lang w:val="lv-LV"/>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link w:val="FootnoteTextChar"/>
    <w:uiPriority w:val="99"/>
    <w:qFormat/>
    <w:pPr>
      <w:pBdr>
        <w:top w:val="nil"/>
        <w:left w:val="nil"/>
        <w:bottom w:val="nil"/>
        <w:right w:val="nil"/>
        <w:between w:val="nil"/>
        <w:bar w:val="nil"/>
      </w:pBdr>
      <w:spacing w:after="240" w:line="240" w:lineRule="auto"/>
      <w:ind w:left="357" w:hanging="357"/>
      <w:jc w:val="both"/>
    </w:pPr>
    <w:rPr>
      <w:rFonts w:ascii="Times New Roman" w:eastAsia="Times New Roman" w:hAnsi="Times New Roman" w:cs="Times New Roman"/>
      <w:color w:val="000000"/>
      <w:sz w:val="20"/>
      <w:szCs w:val="20"/>
      <w:u w:color="000000"/>
      <w:bdr w:val="nil"/>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rFonts w:ascii="Times New Roman" w:eastAsia="Times New Roman" w:hAnsi="Times New Roman" w:cs="Times New Roman"/>
      <w:color w:val="000000"/>
      <w:sz w:val="20"/>
      <w:szCs w:val="20"/>
      <w:u w:color="000000"/>
      <w:bdr w:val="nil"/>
      <w:lang w:val="lv-LV" w:eastAsia="lv-LV"/>
    </w:rPr>
  </w:style>
  <w:style w:type="paragraph" w:styleId="ListParagraph">
    <w:name w:val="List Paragraph"/>
    <w:aliases w:val="Paragraphe de liste 2,Reference list,Normal bullet 2,Bullet list,Numbered List,List Paragraph1,1st level - Bullet List Paragraph,Lettre d'introduction,Paragrafo elenco,Paragraph,Bullet EY,List Paragraph11,Normal bullet 21,O-1 List bullets"/>
    <w:link w:val="ListParagraphChar"/>
    <w:uiPriority w:val="34"/>
    <w:qFormat/>
    <w:pPr>
      <w:pBdr>
        <w:top w:val="nil"/>
        <w:left w:val="nil"/>
        <w:bottom w:val="nil"/>
        <w:right w:val="nil"/>
        <w:between w:val="nil"/>
        <w:bar w:val="nil"/>
      </w:pBdr>
      <w:ind w:left="720"/>
    </w:pPr>
    <w:rPr>
      <w:rFonts w:ascii="Calibri" w:eastAsia="Calibri" w:hAnsi="Calibri" w:cs="Calibri"/>
      <w:color w:val="000000"/>
      <w:u w:color="000000"/>
      <w:bdr w:val="nil"/>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fr"/>
    <w:basedOn w:val="DefaultParagraphFont"/>
    <w:link w:val="FootnoteReferenceCharCarCharCharCarCharCarCharCarCharCarCharCharCarCarCharCharCharCharCharCarCharCarCharCharCarCharCar"/>
    <w:uiPriority w:val="99"/>
    <w:unhideWhenUsed/>
    <w:qFormat/>
    <w:rPr>
      <w:vertAlign w:val="superscript"/>
    </w:rPr>
  </w:style>
  <w:style w:type="character" w:customStyle="1" w:styleId="ListParagraphChar">
    <w:name w:val="List Paragraph Char"/>
    <w:aliases w:val="Paragraphe de liste 2 Char,Reference list Char,Normal bullet 2 Char,Bullet list Char,Numbered List Char,List Paragraph1 Char,1st level - Bullet List Paragraph Char,Lettre d'introduction Char,Paragrafo elenco Char,Paragraph Char"/>
    <w:basedOn w:val="DefaultParagraphFont"/>
    <w:link w:val="ListParagraph"/>
    <w:uiPriority w:val="34"/>
    <w:qFormat/>
    <w:locked/>
    <w:rPr>
      <w:rFonts w:ascii="Calibri" w:eastAsia="Calibri" w:hAnsi="Calibri" w:cs="Calibri"/>
      <w:color w:val="000000"/>
      <w:u w:color="000000"/>
      <w:bdr w:val="nil"/>
      <w:lang w:val="lv-LV" w:eastAsia="lv-LV"/>
    </w:rPr>
  </w:style>
  <w:style w:type="paragraph" w:customStyle="1" w:styleId="FootnoteReferenceCharCarCharCharCarCharCarCharCarCharCarCharCharCarCarCharCharCharCharCharCarCharCarCharCharCarCharCar">
    <w:name w:val="Footnote Reference Char Car Char Char Car Char Car Char Car Char Car Char Char Car Car Char Char Char Char Char Car Char Car Char Char Car Char Car"/>
    <w:aliases w:val="Footnotes refss Car Char Car,callout Car Car Char Char Car,Footnotes refss Car1"/>
    <w:basedOn w:val="Normal"/>
    <w:link w:val="FootnoteReference"/>
    <w:uiPriority w:val="9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sz w:val="22"/>
      <w:szCs w:val="22"/>
      <w:bdr w:val="none" w:sz="0" w:space="0" w:color="auto"/>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bdr w:val="nil"/>
      <w:lang w:val="lv-LV"/>
    </w:rPr>
  </w:style>
  <w:style w:type="paragraph" w:styleId="TOCHeading">
    <w:name w:val="TOC Heading"/>
    <w:next w:val="Normal"/>
    <w:uiPriority w:val="39"/>
    <w:qFormat/>
    <w:pPr>
      <w:keepNext/>
      <w:pBdr>
        <w:top w:val="nil"/>
        <w:left w:val="nil"/>
        <w:bottom w:val="nil"/>
        <w:right w:val="nil"/>
        <w:between w:val="nil"/>
        <w:bar w:val="nil"/>
      </w:pBdr>
      <w:spacing w:before="240" w:after="240" w:line="240" w:lineRule="auto"/>
      <w:jc w:val="center"/>
    </w:pPr>
    <w:rPr>
      <w:rFonts w:ascii="Times New Roman" w:eastAsia="Arial Unicode MS" w:hAnsi="Arial Unicode MS" w:cs="Arial Unicode MS"/>
      <w:b/>
      <w:bCs/>
      <w:color w:val="000000"/>
      <w:sz w:val="24"/>
      <w:szCs w:val="24"/>
      <w:u w:color="000000"/>
      <w:bdr w:val="nil"/>
    </w:rPr>
  </w:style>
  <w:style w:type="numbering" w:customStyle="1" w:styleId="List0">
    <w:name w:val="List 0"/>
    <w:basedOn w:val="NoList"/>
    <w:pPr>
      <w:numPr>
        <w:numId w:val="14"/>
      </w:numPr>
    </w:p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character" w:customStyle="1" w:styleId="None">
    <w:name w:val="None"/>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heme="minorHAnsi"/>
      <w:szCs w:val="22"/>
      <w:bdr w:val="none" w:sz="0" w:space="0" w:color="auto"/>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Arial Unicode MS" w:hAnsi="Times New Roman" w:cs="Times New Roman"/>
      <w:sz w:val="24"/>
      <w:szCs w:val="24"/>
      <w:bdr w:val="nil"/>
      <w:lang w:val="lv-LV"/>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Arial Unicode MS" w:hAnsi="Times New Roman" w:cs="Times New Roman"/>
      <w:sz w:val="24"/>
      <w:szCs w:val="24"/>
      <w:bdr w:val="nil"/>
      <w:lang w:val="lv-LV"/>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Arial Unicode MS" w:hAnsi="Times New Roman" w:cs="Times New Roman"/>
      <w:sz w:val="24"/>
      <w:szCs w:val="24"/>
      <w:bdr w:val="nil"/>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Arial Unicode MS" w:hAnsi="Times New Roman" w:cs="Times New Roman"/>
      <w:sz w:val="24"/>
      <w:szCs w:val="24"/>
      <w:bdr w:val="nil"/>
    </w:rPr>
  </w:style>
  <w:style w:type="paragraph" w:customStyle="1" w:styleId="Typedudocument">
    <w:name w:val="Type du document"/>
    <w:basedOn w:val="Normal"/>
    <w:next w:val="Normal"/>
    <w:pPr>
      <w:pBdr>
        <w:top w:val="none" w:sz="0" w:space="0" w:color="auto"/>
        <w:left w:val="none" w:sz="0" w:space="0" w:color="auto"/>
        <w:bottom w:val="none" w:sz="0" w:space="0" w:color="auto"/>
        <w:right w:val="none" w:sz="0" w:space="0" w:color="auto"/>
        <w:between w:val="none" w:sz="0" w:space="0" w:color="auto"/>
        <w:bar w:val="none" w:sz="0" w:color="auto"/>
      </w:pBdr>
      <w:spacing w:before="360"/>
      <w:jc w:val="center"/>
    </w:pPr>
    <w:rPr>
      <w:rFonts w:eastAsiaTheme="minorHAnsi"/>
      <w:b/>
      <w:szCs w:val="22"/>
      <w:bdr w:val="none" w:sz="0" w:space="0" w:color="auto"/>
      <w:lang w:eastAsia="en-US" w:bidi="ar-SA"/>
    </w:rPr>
  </w:style>
  <w:style w:type="paragraph" w:customStyle="1" w:styleId="Accompagnant">
    <w:name w:val="Accompagnant"/>
    <w:basedOn w:val="Normal"/>
    <w:next w:val="Normal"/>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heme="minorHAnsi"/>
      <w:b/>
      <w:i/>
      <w:szCs w:val="22"/>
      <w:bdr w:val="none" w:sz="0" w:space="0" w:color="auto"/>
      <w:lang w:eastAsia="en-US" w:bidi="ar-SA"/>
    </w:rPr>
  </w:style>
  <w:style w:type="paragraph" w:customStyle="1" w:styleId="Objetacteprincipal">
    <w:name w:val="Objet acte principal"/>
    <w:basedOn w:val="Normal"/>
    <w:next w:val="Normal"/>
    <w:pPr>
      <w:pBdr>
        <w:top w:val="none" w:sz="0" w:space="0" w:color="auto"/>
        <w:left w:val="none" w:sz="0" w:space="0" w:color="auto"/>
        <w:bottom w:val="none" w:sz="0" w:space="0" w:color="auto"/>
        <w:right w:val="none" w:sz="0" w:space="0" w:color="auto"/>
        <w:between w:val="none" w:sz="0" w:space="0" w:color="auto"/>
        <w:bar w:val="none" w:sz="0" w:color="auto"/>
      </w:pBdr>
      <w:spacing w:after="360"/>
      <w:jc w:val="center"/>
    </w:pPr>
    <w:rPr>
      <w:rFonts w:eastAsiaTheme="minorHAnsi"/>
      <w:b/>
      <w:szCs w:val="22"/>
      <w:bdr w:val="none" w:sz="0" w:space="0" w:color="auto"/>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next w:val="ZDGName"/>
    <w:uiPriority w:val="99"/>
    <w:pPr>
      <w:widowControl w:val="0"/>
      <w:pBdr>
        <w:top w:val="nil"/>
        <w:left w:val="nil"/>
        <w:bottom w:val="nil"/>
        <w:right w:val="nil"/>
        <w:between w:val="nil"/>
        <w:bar w:val="nil"/>
      </w:pBdr>
      <w:spacing w:after="0" w:line="240" w:lineRule="auto"/>
      <w:ind w:right="85"/>
      <w:jc w:val="both"/>
    </w:pPr>
    <w:rPr>
      <w:rFonts w:ascii="Arial" w:eastAsia="Arial Unicode MS" w:hAnsi="Arial Unicode MS" w:cs="Arial Unicode MS"/>
      <w:color w:val="000000"/>
      <w:sz w:val="24"/>
      <w:szCs w:val="24"/>
      <w:u w:color="000000"/>
      <w:bdr w:val="nil"/>
    </w:rPr>
  </w:style>
  <w:style w:type="paragraph" w:customStyle="1" w:styleId="ZDGName">
    <w:name w:val="Z_DGName"/>
    <w:uiPriority w:val="99"/>
    <w:pPr>
      <w:widowControl w:val="0"/>
      <w:pBdr>
        <w:top w:val="nil"/>
        <w:left w:val="nil"/>
        <w:bottom w:val="nil"/>
        <w:right w:val="nil"/>
        <w:between w:val="nil"/>
        <w:bar w:val="nil"/>
      </w:pBdr>
      <w:spacing w:after="0" w:line="240" w:lineRule="auto"/>
      <w:ind w:right="85"/>
    </w:pPr>
    <w:rPr>
      <w:rFonts w:ascii="Arial" w:eastAsia="Arial Unicode MS" w:hAnsi="Arial Unicode MS" w:cs="Arial Unicode MS"/>
      <w:color w:val="000000"/>
      <w:sz w:val="16"/>
      <w:szCs w:val="16"/>
      <w:u w:color="000000"/>
      <w:bdr w:val="n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sz w:val="16"/>
      <w:szCs w:val="16"/>
      <w:bdr w:val="nil"/>
      <w:lang w:val="lv-LV"/>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link w:val="FootnoteTextChar"/>
    <w:uiPriority w:val="99"/>
    <w:qFormat/>
    <w:pPr>
      <w:pBdr>
        <w:top w:val="nil"/>
        <w:left w:val="nil"/>
        <w:bottom w:val="nil"/>
        <w:right w:val="nil"/>
        <w:between w:val="nil"/>
        <w:bar w:val="nil"/>
      </w:pBdr>
      <w:spacing w:after="240" w:line="240" w:lineRule="auto"/>
      <w:ind w:left="357" w:hanging="357"/>
      <w:jc w:val="both"/>
    </w:pPr>
    <w:rPr>
      <w:rFonts w:ascii="Times New Roman" w:eastAsia="Times New Roman" w:hAnsi="Times New Roman" w:cs="Times New Roman"/>
      <w:color w:val="000000"/>
      <w:sz w:val="20"/>
      <w:szCs w:val="20"/>
      <w:u w:color="000000"/>
      <w:bdr w:val="nil"/>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rPr>
      <w:rFonts w:ascii="Times New Roman" w:eastAsia="Times New Roman" w:hAnsi="Times New Roman" w:cs="Times New Roman"/>
      <w:color w:val="000000"/>
      <w:sz w:val="20"/>
      <w:szCs w:val="20"/>
      <w:u w:color="000000"/>
      <w:bdr w:val="nil"/>
      <w:lang w:val="lv-LV" w:eastAsia="lv-LV"/>
    </w:rPr>
  </w:style>
  <w:style w:type="paragraph" w:styleId="ListParagraph">
    <w:name w:val="List Paragraph"/>
    <w:aliases w:val="Paragraphe de liste 2,Reference list,Normal bullet 2,Bullet list,Numbered List,List Paragraph1,1st level - Bullet List Paragraph,Lettre d'introduction,Paragrafo elenco,Paragraph,Bullet EY,List Paragraph11,Normal bullet 21,O-1 List bullets"/>
    <w:link w:val="ListParagraphChar"/>
    <w:uiPriority w:val="34"/>
    <w:qFormat/>
    <w:pPr>
      <w:pBdr>
        <w:top w:val="nil"/>
        <w:left w:val="nil"/>
        <w:bottom w:val="nil"/>
        <w:right w:val="nil"/>
        <w:between w:val="nil"/>
        <w:bar w:val="nil"/>
      </w:pBdr>
      <w:ind w:left="720"/>
    </w:pPr>
    <w:rPr>
      <w:rFonts w:ascii="Calibri" w:eastAsia="Calibri" w:hAnsi="Calibri" w:cs="Calibri"/>
      <w:color w:val="000000"/>
      <w:u w:color="000000"/>
      <w:bdr w:val="nil"/>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fr"/>
    <w:basedOn w:val="DefaultParagraphFont"/>
    <w:link w:val="FootnoteReferenceCharCarCharCharCarCharCarCharCarCharCarCharCharCarCarCharCharCharCharCharCarCharCarCharCharCarCharCar"/>
    <w:uiPriority w:val="99"/>
    <w:unhideWhenUsed/>
    <w:qFormat/>
    <w:rPr>
      <w:vertAlign w:val="superscript"/>
    </w:rPr>
  </w:style>
  <w:style w:type="character" w:customStyle="1" w:styleId="ListParagraphChar">
    <w:name w:val="List Paragraph Char"/>
    <w:aliases w:val="Paragraphe de liste 2 Char,Reference list Char,Normal bullet 2 Char,Bullet list Char,Numbered List Char,List Paragraph1 Char,1st level - Bullet List Paragraph Char,Lettre d'introduction Char,Paragrafo elenco Char,Paragraph Char"/>
    <w:basedOn w:val="DefaultParagraphFont"/>
    <w:link w:val="ListParagraph"/>
    <w:uiPriority w:val="34"/>
    <w:qFormat/>
    <w:locked/>
    <w:rPr>
      <w:rFonts w:ascii="Calibri" w:eastAsia="Calibri" w:hAnsi="Calibri" w:cs="Calibri"/>
      <w:color w:val="000000"/>
      <w:u w:color="000000"/>
      <w:bdr w:val="nil"/>
      <w:lang w:val="lv-LV" w:eastAsia="lv-LV"/>
    </w:rPr>
  </w:style>
  <w:style w:type="paragraph" w:customStyle="1" w:styleId="FootnoteReferenceCharCarCharCharCarCharCarCharCarCharCarCharCharCarCarCharCharCharCharCharCarCharCarCharCharCarCharCar">
    <w:name w:val="Footnote Reference Char Car Char Char Car Char Car Char Car Char Car Char Char Car Car Char Char Char Char Char Car Char Car Char Char Car Char Car"/>
    <w:aliases w:val="Footnotes refss Car Char Car,callout Car Car Char Char Car,Footnotes refss Car1"/>
    <w:basedOn w:val="Normal"/>
    <w:link w:val="FootnoteReference"/>
    <w:uiPriority w:val="9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sz w:val="22"/>
      <w:szCs w:val="22"/>
      <w:bdr w:val="none" w:sz="0" w:space="0" w:color="auto"/>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bdr w:val="nil"/>
      <w:lang w:val="lv-LV"/>
    </w:rPr>
  </w:style>
  <w:style w:type="paragraph" w:styleId="TOCHeading">
    <w:name w:val="TOC Heading"/>
    <w:next w:val="Normal"/>
    <w:uiPriority w:val="39"/>
    <w:qFormat/>
    <w:pPr>
      <w:keepNext/>
      <w:pBdr>
        <w:top w:val="nil"/>
        <w:left w:val="nil"/>
        <w:bottom w:val="nil"/>
        <w:right w:val="nil"/>
        <w:between w:val="nil"/>
        <w:bar w:val="nil"/>
      </w:pBdr>
      <w:spacing w:before="240" w:after="240" w:line="240" w:lineRule="auto"/>
      <w:jc w:val="center"/>
    </w:pPr>
    <w:rPr>
      <w:rFonts w:ascii="Times New Roman" w:eastAsia="Arial Unicode MS" w:hAnsi="Arial Unicode MS" w:cs="Arial Unicode MS"/>
      <w:b/>
      <w:bCs/>
      <w:color w:val="000000"/>
      <w:sz w:val="24"/>
      <w:szCs w:val="24"/>
      <w:u w:color="000000"/>
      <w:bdr w:val="nil"/>
    </w:rPr>
  </w:style>
  <w:style w:type="numbering" w:customStyle="1" w:styleId="List0">
    <w:name w:val="List 0"/>
    <w:basedOn w:val="NoList"/>
    <w:pPr>
      <w:numPr>
        <w:numId w:val="14"/>
      </w:numPr>
    </w:p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character" w:customStyle="1" w:styleId="None">
    <w:name w:val="None"/>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heme="minorHAnsi"/>
      <w:szCs w:val="22"/>
      <w:bdr w:val="none" w:sz="0" w:space="0" w:color="auto"/>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Arial Unicode MS" w:hAnsi="Times New Roman" w:cs="Times New Roman"/>
      <w:sz w:val="24"/>
      <w:szCs w:val="24"/>
      <w:bdr w:val="nil"/>
      <w:lang w:val="lv-LV"/>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Arial Unicode MS" w:hAnsi="Times New Roman" w:cs="Times New Roman"/>
      <w:sz w:val="24"/>
      <w:szCs w:val="24"/>
      <w:bdr w:val="nil"/>
      <w:lang w:val="lv-LV"/>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Arial Unicode MS" w:hAnsi="Times New Roman" w:cs="Times New Roman"/>
      <w:sz w:val="24"/>
      <w:szCs w:val="24"/>
      <w:bdr w:val="nil"/>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Arial Unicode MS" w:hAnsi="Times New Roman" w:cs="Times New Roman"/>
      <w:sz w:val="24"/>
      <w:szCs w:val="24"/>
      <w:bdr w:val="nil"/>
    </w:rPr>
  </w:style>
  <w:style w:type="paragraph" w:customStyle="1" w:styleId="Typedudocument">
    <w:name w:val="Type du document"/>
    <w:basedOn w:val="Normal"/>
    <w:next w:val="Normal"/>
    <w:pPr>
      <w:pBdr>
        <w:top w:val="none" w:sz="0" w:space="0" w:color="auto"/>
        <w:left w:val="none" w:sz="0" w:space="0" w:color="auto"/>
        <w:bottom w:val="none" w:sz="0" w:space="0" w:color="auto"/>
        <w:right w:val="none" w:sz="0" w:space="0" w:color="auto"/>
        <w:between w:val="none" w:sz="0" w:space="0" w:color="auto"/>
        <w:bar w:val="none" w:sz="0" w:color="auto"/>
      </w:pBdr>
      <w:spacing w:before="360"/>
      <w:jc w:val="center"/>
    </w:pPr>
    <w:rPr>
      <w:rFonts w:eastAsiaTheme="minorHAnsi"/>
      <w:b/>
      <w:szCs w:val="22"/>
      <w:bdr w:val="none" w:sz="0" w:space="0" w:color="auto"/>
      <w:lang w:eastAsia="en-US" w:bidi="ar-SA"/>
    </w:rPr>
  </w:style>
  <w:style w:type="paragraph" w:customStyle="1" w:styleId="Accompagnant">
    <w:name w:val="Accompagnant"/>
    <w:basedOn w:val="Normal"/>
    <w:next w:val="Normal"/>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heme="minorHAnsi"/>
      <w:b/>
      <w:i/>
      <w:szCs w:val="22"/>
      <w:bdr w:val="none" w:sz="0" w:space="0" w:color="auto"/>
      <w:lang w:eastAsia="en-US" w:bidi="ar-SA"/>
    </w:rPr>
  </w:style>
  <w:style w:type="paragraph" w:customStyle="1" w:styleId="Objetacteprincipal">
    <w:name w:val="Objet acte principal"/>
    <w:basedOn w:val="Normal"/>
    <w:next w:val="Normal"/>
    <w:pPr>
      <w:pBdr>
        <w:top w:val="none" w:sz="0" w:space="0" w:color="auto"/>
        <w:left w:val="none" w:sz="0" w:space="0" w:color="auto"/>
        <w:bottom w:val="none" w:sz="0" w:space="0" w:color="auto"/>
        <w:right w:val="none" w:sz="0" w:space="0" w:color="auto"/>
        <w:between w:val="none" w:sz="0" w:space="0" w:color="auto"/>
        <w:bar w:val="none" w:sz="0" w:color="auto"/>
      </w:pBdr>
      <w:spacing w:after="360"/>
      <w:jc w:val="center"/>
    </w:pPr>
    <w:rPr>
      <w:rFonts w:eastAsiaTheme="minorHAnsi"/>
      <w:b/>
      <w:szCs w:val="22"/>
      <w:bdr w:val="none" w:sz="0" w:space="0" w:color="auto"/>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32204">
      <w:bodyDiv w:val="1"/>
      <w:marLeft w:val="0"/>
      <w:marRight w:val="0"/>
      <w:marTop w:val="0"/>
      <w:marBottom w:val="0"/>
      <w:divBdr>
        <w:top w:val="none" w:sz="0" w:space="0" w:color="auto"/>
        <w:left w:val="none" w:sz="0" w:space="0" w:color="auto"/>
        <w:bottom w:val="none" w:sz="0" w:space="0" w:color="auto"/>
        <w:right w:val="none" w:sz="0" w:space="0" w:color="auto"/>
      </w:divBdr>
    </w:div>
    <w:div w:id="540089815">
      <w:bodyDiv w:val="1"/>
      <w:marLeft w:val="0"/>
      <w:marRight w:val="0"/>
      <w:marTop w:val="0"/>
      <w:marBottom w:val="0"/>
      <w:divBdr>
        <w:top w:val="none" w:sz="0" w:space="0" w:color="auto"/>
        <w:left w:val="none" w:sz="0" w:space="0" w:color="auto"/>
        <w:bottom w:val="none" w:sz="0" w:space="0" w:color="auto"/>
        <w:right w:val="none" w:sz="0" w:space="0" w:color="auto"/>
      </w:divBdr>
    </w:div>
    <w:div w:id="575018908">
      <w:bodyDiv w:val="1"/>
      <w:marLeft w:val="0"/>
      <w:marRight w:val="0"/>
      <w:marTop w:val="0"/>
      <w:marBottom w:val="0"/>
      <w:divBdr>
        <w:top w:val="none" w:sz="0" w:space="0" w:color="auto"/>
        <w:left w:val="none" w:sz="0" w:space="0" w:color="auto"/>
        <w:bottom w:val="none" w:sz="0" w:space="0" w:color="auto"/>
        <w:right w:val="none" w:sz="0" w:space="0" w:color="auto"/>
      </w:divBdr>
    </w:div>
    <w:div w:id="695887559">
      <w:bodyDiv w:val="1"/>
      <w:marLeft w:val="0"/>
      <w:marRight w:val="0"/>
      <w:marTop w:val="0"/>
      <w:marBottom w:val="0"/>
      <w:divBdr>
        <w:top w:val="none" w:sz="0" w:space="0" w:color="auto"/>
        <w:left w:val="none" w:sz="0" w:space="0" w:color="auto"/>
        <w:bottom w:val="none" w:sz="0" w:space="0" w:color="auto"/>
        <w:right w:val="none" w:sz="0" w:space="0" w:color="auto"/>
      </w:divBdr>
    </w:div>
    <w:div w:id="741871096">
      <w:bodyDiv w:val="1"/>
      <w:marLeft w:val="0"/>
      <w:marRight w:val="0"/>
      <w:marTop w:val="0"/>
      <w:marBottom w:val="0"/>
      <w:divBdr>
        <w:top w:val="none" w:sz="0" w:space="0" w:color="auto"/>
        <w:left w:val="none" w:sz="0" w:space="0" w:color="auto"/>
        <w:bottom w:val="none" w:sz="0" w:space="0" w:color="auto"/>
        <w:right w:val="none" w:sz="0" w:space="0" w:color="auto"/>
      </w:divBdr>
    </w:div>
    <w:div w:id="141068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879</Words>
  <Characters>6471</Characters>
  <Application>Microsoft Office Word</Application>
  <DocSecurity>0</DocSecurity>
  <Lines>113</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28</cp:revision>
  <dcterms:created xsi:type="dcterms:W3CDTF">2016-05-13T10:16:00Z</dcterms:created>
  <dcterms:modified xsi:type="dcterms:W3CDTF">2016-05-30T07:37:00Z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