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C9988B4FF593477683C6EFB596045462" style="width:450.45pt;height:438.35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>
        <w:tc>
          <w:tcPr>
            <w:tcW w:w="9889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>
            <w:pPr>
              <w:jc w:val="center"/>
              <w:rPr>
                <w:b/>
                <w:noProof/>
              </w:rPr>
            </w:pPr>
            <w:bookmarkStart w:id="1" w:name="_GoBack"/>
            <w:bookmarkEnd w:id="1"/>
            <w:r>
              <w:rPr>
                <w:b/>
                <w:noProof/>
              </w:rPr>
              <w:lastRenderedPageBreak/>
              <w:t>A. Ħtieġa li tittieħed azzjoni</w:t>
            </w:r>
          </w:p>
        </w:tc>
      </w:tr>
      <w:tr>
        <w:tc>
          <w:tcPr>
            <w:tcW w:w="988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X’inhi l-problema u għaliex hija problema?</w:t>
            </w:r>
          </w:p>
        </w:tc>
      </w:tr>
      <w:tr>
        <w:tc>
          <w:tcPr>
            <w:tcW w:w="98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120"/>
              <w:jc w:val="both"/>
              <w:rPr>
                <w:noProof/>
              </w:rPr>
            </w:pPr>
            <w:r>
              <w:rPr>
                <w:noProof/>
              </w:rPr>
              <w:t xml:space="preserve">Il-Valutazzjoni tal-Impatt saret b’mod parallel mal-evalwazzjoni </w:t>
            </w:r>
            <w:r>
              <w:rPr>
                <w:i/>
                <w:noProof/>
              </w:rPr>
              <w:t>ex post</w:t>
            </w:r>
            <w:r>
              <w:rPr>
                <w:noProof/>
              </w:rPr>
              <w:t xml:space="preserve"> tal-AVMSD fil-qafas tal-Programm dwar l-Idoneità u l-Prestazzjoni tar-Regolamentazzjoni (REFIT). </w:t>
            </w:r>
          </w:p>
          <w:p>
            <w:pPr>
              <w:spacing w:after="120"/>
              <w:jc w:val="both"/>
              <w:rPr>
                <w:rFonts w:eastAsia="Times New Roman"/>
                <w:noProof/>
                <w:color w:val="000000"/>
              </w:rPr>
            </w:pPr>
            <w:r>
              <w:rPr>
                <w:noProof/>
              </w:rPr>
              <w:t>Il-konklużjoni ġenerali hija li l-objettivi tal-AVMSD għadhom rilevanti.</w:t>
            </w:r>
            <w:r>
              <w:rPr>
                <w:noProof/>
                <w:color w:val="000000"/>
              </w:rPr>
              <w:t xml:space="preserve"> </w:t>
            </w:r>
          </w:p>
          <w:p>
            <w:pPr>
              <w:jc w:val="both"/>
              <w:rPr>
                <w:noProof/>
              </w:rPr>
            </w:pPr>
            <w:r>
              <w:rPr>
                <w:noProof/>
              </w:rPr>
              <w:t>L-evalwazzjoni REFIT identifikat tliet gruppi prinċipali ta’ problemi: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In-nuqqas ta’ protezzjoni tal-minorenni u tal-konsumaturi fix-xiri ta’ vidjos fuq pjattaformi ta' video-sharing.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In-nuqqas ta’ kundizzjonijiet ekwi bejn ix-xandir tradizzjonali u s-servizzi on-demand, u punti dgħajfa tas-suq intern li jirriżultaw mill-fatt li xi regoli tal-AVMSD mhumiex preċiżi biżżejjed. 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Xi regoli dwar il-komunikazzjonijiet kummerċjali li m’għadhomx jilħqu l-iskop tagħhom</w:t>
            </w:r>
          </w:p>
          <w:p>
            <w:pPr>
              <w:spacing w:after="120"/>
              <w:jc w:val="both"/>
              <w:rPr>
                <w:b/>
                <w:i/>
                <w:noProof/>
              </w:rPr>
            </w:pPr>
            <w:r>
              <w:rPr>
                <w:noProof/>
                <w:color w:val="000000"/>
              </w:rPr>
              <w:t>L-evalwazzjoni REFIT ikkonkludiet ukoll li hemm lok għas-simplifikazzjoni, speċifikament tal-proċeduri li jiffaċilitaw l-applikazzjoni tal-prinċipju tal-pajjiż tal-oriġini (COO) u ta' xi regoli dwar il-komunikazzjonijiet kummerċjali.</w:t>
            </w:r>
          </w:p>
        </w:tc>
      </w:tr>
      <w:tr>
        <w:tc>
          <w:tcPr>
            <w:tcW w:w="988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X’inhuma l-objettivi?</w:t>
            </w:r>
          </w:p>
        </w:tc>
      </w:tr>
      <w:tr>
        <w:tc>
          <w:tcPr>
            <w:tcW w:w="98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="Times New Roman"/>
                <w:bCs/>
                <w:noProof/>
              </w:rPr>
            </w:pPr>
            <w:r>
              <w:rPr>
                <w:noProof/>
              </w:rPr>
              <w:t>L-objettivi ġenerali huma li:</w:t>
            </w:r>
          </w:p>
          <w:p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Tittejjeb il-protezzjoni tal-konsumaturi u tal-minorenni </w:t>
            </w:r>
          </w:p>
          <w:p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  <w:sz w:val="24"/>
              </w:rPr>
              <w:t>Jiġu żgurati kundizzjonijiet ekwi, tinżamm l-integrità tas-suq intern u tittejjeb iċ-ċertezza legali</w:t>
            </w:r>
          </w:p>
          <w:p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Jiġi ssimplifikat il-qafas leġiżlattiv</w:t>
            </w:r>
          </w:p>
        </w:tc>
      </w:tr>
      <w:tr>
        <w:trPr>
          <w:trHeight w:val="351"/>
        </w:trPr>
        <w:tc>
          <w:tcPr>
            <w:tcW w:w="988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X'inhu l-valur miżjud ta' azzjoni fil-livell tal-UE?</w:t>
            </w:r>
          </w:p>
        </w:tc>
      </w:tr>
      <w:tr>
        <w:tc>
          <w:tcPr>
            <w:tcW w:w="98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/>
              <w:jc w:val="both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L-AVMSD hija l-qafas regolatorju li jirfed is-suq uniku awdjoviżiv Ewropew. L-iżvilupp tas-servizzi on-demand u tal-pjattaformi ta' video-sħaring kif ukoll il-bidliet korrispondenti fit-tendenzi ta' kif in-nies jaraw it-televiżjoni u r-riskji assoċjati jikkostitwixxu fenomenu li jaffettwa l-Istati Membri kollha. 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/>
              <w:jc w:val="both"/>
              <w:rPr>
                <w:b/>
                <w:i/>
                <w:noProof/>
              </w:rPr>
            </w:pPr>
            <w:r>
              <w:rPr>
                <w:noProof/>
                <w:color w:val="000000"/>
              </w:rPr>
              <w:t xml:space="preserve">Ir-reviżjoni li jmiss tal-AVMSD hija meqjusa li tirrispetta kemm il-prinċipju tas-sussidjarjetà kif ukoll dak tal-proporzjonalità billi żżomm l-istrateġija ta’ armonizzazzjoni u l-mekkaniżmi ta’ kooperazzjoni, u b'hekk tippermetti lill-Istati Membri jqisu l-ispeċifiċitajiet nazzjonali tagħhom. </w:t>
            </w:r>
          </w:p>
        </w:tc>
      </w:tr>
      <w:tr>
        <w:trPr>
          <w:trHeight w:val="338"/>
        </w:trPr>
        <w:tc>
          <w:tcPr>
            <w:tcW w:w="9889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B. Soluzzjonijiet</w:t>
            </w:r>
          </w:p>
        </w:tc>
      </w:tr>
      <w:tr>
        <w:tc>
          <w:tcPr>
            <w:tcW w:w="988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X’inhuma l-għażliet varji biex jinkisbu l-objettivi? Hemm xi għażla preferuta? Jekk le, għaliex?</w:t>
            </w:r>
          </w:p>
        </w:tc>
      </w:tr>
      <w:tr>
        <w:tc>
          <w:tcPr>
            <w:tcW w:w="98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120"/>
              <w:jc w:val="both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L-għażliet huma raggruppati skont il-problema speċifika li mistennija jindirizzaw primarjament. Għal kull taqsima, l-għażla preferuta hija indikata speċifikament.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Għażliet li jindirizzaw il-problema tan-nuqqas ta’ protezzjoni tal-minorenni u tal-konsumaturi fi pjattaformi ta' video-sharing</w:t>
            </w:r>
          </w:p>
          <w:p>
            <w:pPr>
              <w:jc w:val="both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noProof/>
                <w:u w:val="single"/>
              </w:rPr>
              <w:t>Għażla A</w:t>
            </w:r>
            <w:r>
              <w:rPr>
                <w:noProof/>
              </w:rPr>
              <w:t xml:space="preserve"> tħeġġeġ l-awtoregolazzjoni għall-protezzjoni tal-minorenni u tal-konsumaturi fil-pjattaformi ta' video-sharing</w:t>
            </w:r>
          </w:p>
          <w:p>
            <w:pPr>
              <w:jc w:val="both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noProof/>
                <w:color w:val="000000"/>
                <w:highlight w:val="lightGray"/>
                <w:u w:val="single"/>
                <w:shd w:val="clear" w:color="auto" w:fill="D9D9D9" w:themeFill="background1" w:themeFillShade="D9"/>
              </w:rPr>
              <w:t>Għażla B</w:t>
            </w:r>
            <w:r>
              <w:rPr>
                <w:noProof/>
                <w:color w:val="000000"/>
                <w:highlight w:val="lightGray"/>
                <w:shd w:val="clear" w:color="auto" w:fill="D9D9D9" w:themeFill="background1" w:themeFillShade="D9"/>
              </w:rPr>
              <w:t xml:space="preserve"> </w:t>
            </w:r>
            <w:r>
              <w:rPr>
                <w:noProof/>
                <w:color w:val="000000"/>
                <w:shd w:val="clear" w:color="auto" w:fill="D9D9D9" w:themeFill="background1" w:themeFillShade="D9"/>
              </w:rPr>
              <w:t>timponi obbligu ta' mezzi fuq pjattaformi ta' video-sharing għall-protezzjoni tal-minorenni u diskors ta' mibgħeda, implimentata permezz tal-koregolmentazzjoni.</w:t>
            </w:r>
            <w:r>
              <w:rPr>
                <w:noProof/>
                <w:color w:val="000000"/>
                <w:highlight w:val="lightGray"/>
                <w:shd w:val="clear" w:color="auto" w:fill="D9D9D9" w:themeFill="background1" w:themeFillShade="D9"/>
              </w:rPr>
              <w:t>.</w:t>
            </w:r>
            <w:r>
              <w:rPr>
                <w:noProof/>
                <w:color w:val="000000"/>
              </w:rPr>
              <w:t xml:space="preserve"> </w:t>
            </w:r>
          </w:p>
          <w:p>
            <w:pPr>
              <w:jc w:val="both"/>
              <w:rPr>
                <w:rFonts w:eastAsia="Times New Roman"/>
                <w:bCs/>
                <w:noProof/>
                <w:color w:val="000000"/>
                <w:sz w:val="12"/>
                <w:szCs w:val="12"/>
              </w:rPr>
            </w:pPr>
          </w:p>
          <w:p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Għażliet li jindirizzaw il-problema ta’ nuqqas ta’ kundizzjonijiet ekwi u ta' punti dgħajfa tas-suq intern</w:t>
            </w:r>
          </w:p>
          <w:p>
            <w:pPr>
              <w:pStyle w:val="ListParagraph"/>
              <w:spacing w:after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a) Promozzjoni ta’ xogħlijiet Ewropej:</w:t>
            </w:r>
          </w:p>
          <w:p>
            <w:pPr>
              <w:jc w:val="both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noProof/>
                <w:u w:val="single"/>
              </w:rPr>
              <w:t>Għażla A</w:t>
            </w:r>
            <w:r>
              <w:rPr>
                <w:noProof/>
              </w:rPr>
              <w:t xml:space="preserve"> tagħti aktar flessibbiltà kemm lix-xandir tat-TV kif ukoll lis-servizzi on-demand fil-mod ta' kif jimplimentaw l-obbligi biex jippromwovu x-xogħlijiet Ewropej.</w:t>
            </w:r>
            <w:r>
              <w:rPr>
                <w:noProof/>
                <w:color w:val="000000"/>
              </w:rPr>
              <w:t xml:space="preserve"> </w:t>
            </w:r>
          </w:p>
          <w:p>
            <w:pPr>
              <w:jc w:val="both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noProof/>
                <w:color w:val="000000"/>
                <w:highlight w:val="lightGray"/>
                <w:u w:val="single"/>
              </w:rPr>
              <w:t>Għażla B</w:t>
            </w:r>
            <w:r>
              <w:rPr>
                <w:noProof/>
                <w:color w:val="000000"/>
                <w:highlight w:val="lightGray"/>
              </w:rPr>
              <w:t xml:space="preserve"> iżżomm l-istatus quo għax-xandir tat-TV u ssaħħaħ ir-regoli għall-fornituri tas-servizzi on-demand.</w:t>
            </w:r>
          </w:p>
          <w:p>
            <w:pPr>
              <w:pStyle w:val="ListParagraph"/>
              <w:spacing w:after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b) Protezzjoni tal-minorenni fis-servizzi on-demand</w:t>
            </w:r>
          </w:p>
          <w:p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Times New Roman" w:hAnsi="Times New Roman"/>
                <w:noProof/>
                <w:sz w:val="24"/>
                <w:u w:val="single"/>
                <w:shd w:val="clear" w:color="auto" w:fill="D9D9D9" w:themeFill="background1" w:themeFillShade="D9"/>
              </w:rPr>
              <w:t>Għażla A</w:t>
            </w:r>
            <w:r>
              <w:rPr>
                <w:rFonts w:ascii="Times New Roman" w:hAnsi="Times New Roman"/>
                <w:noProof/>
                <w:sz w:val="24"/>
                <w:shd w:val="clear" w:color="auto" w:fill="D9D9D9" w:themeFill="background1" w:themeFillShade="D9"/>
              </w:rPr>
              <w:t xml:space="preserve"> żżid il-livell ta’ protezzjoni ta’ minorenni għal servizzi tal-midja awdjoviżiva on-demand, tissimplifika l-kunċett ta’ kontenut li jista' jagħmel ħsara u tħeġġeġ il-koregolamentazzjoni tal-UE dwar id-deskritturi tal-kontenut.</w:t>
            </w:r>
          </w:p>
          <w:p>
            <w:pPr>
              <w:pStyle w:val="ListParagraph"/>
              <w:spacing w:after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Il-prinċipju tal-pajjiż tal-oriġini</w:t>
            </w:r>
          </w:p>
          <w:p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u w:val="single"/>
                <w:shd w:val="clear" w:color="auto" w:fill="D9D9D9" w:themeFill="background1" w:themeFillShade="D9"/>
              </w:rPr>
            </w:pPr>
            <w:r>
              <w:rPr>
                <w:rFonts w:ascii="Times New Roman" w:hAnsi="Times New Roman"/>
                <w:noProof/>
                <w:sz w:val="24"/>
                <w:u w:val="single"/>
                <w:shd w:val="clear" w:color="auto" w:fill="D9D9D9" w:themeFill="background1" w:themeFillShade="D9"/>
              </w:rPr>
              <w:t xml:space="preserve">Għażla A </w:t>
            </w:r>
            <w:r>
              <w:rPr>
                <w:rFonts w:ascii="Times New Roman" w:hAnsi="Times New Roman"/>
                <w:noProof/>
                <w:sz w:val="24"/>
                <w:shd w:val="clear" w:color="auto" w:fill="D9D9D9" w:themeFill="background1" w:themeFillShade="D9"/>
              </w:rPr>
              <w:t>tissimplifika u ttejjeb ir-regoli ta' ġuriżdizzjoni u l-proċeduri ta’ kooperazzjoni</w:t>
            </w:r>
          </w:p>
          <w:p>
            <w:pPr>
              <w:pStyle w:val="ListParagraph"/>
              <w:spacing w:after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L-indipendenza tar-regolaturi</w:t>
            </w:r>
          </w:p>
          <w:p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Times New Roman" w:hAnsi="Times New Roman"/>
                <w:noProof/>
                <w:sz w:val="24"/>
                <w:u w:val="single"/>
                <w:shd w:val="clear" w:color="auto" w:fill="D9D9D9" w:themeFill="background1" w:themeFillShade="D9"/>
              </w:rPr>
              <w:t>Għażla A</w:t>
            </w:r>
            <w:r>
              <w:rPr>
                <w:rFonts w:ascii="Times New Roman" w:hAnsi="Times New Roman"/>
                <w:noProof/>
                <w:sz w:val="24"/>
                <w:shd w:val="clear" w:color="auto" w:fill="D9D9D9" w:themeFill="background1" w:themeFillShade="D9"/>
              </w:rPr>
              <w:t xml:space="preserve"> teħtieġ li l-Istati Membri jkollhom awtorità regolatorja indipendenti u tistabbilixxi għadd ta’ rekwiżiti b'appoġġ għall-indipendenza u l-effettività tagħhom. Ir-rwol konsultattiv u ta' koordinazzjoni tal-ERGA huwa msaħħaħ u integrat fl-AVMSD.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L-għażla li tindirizza l-problema tar-regoli dwar il-komunikazzjonijiet kummerċjali li ma għadhomx jilħqu l-iskop tagħhom</w:t>
            </w:r>
          </w:p>
          <w:p>
            <w:pPr>
              <w:pStyle w:val="Body"/>
              <w:rPr>
                <w:b/>
                <w:noProof/>
              </w:rPr>
            </w:pPr>
            <w:r>
              <w:rPr>
                <w:rStyle w:val="None"/>
                <w:noProof/>
                <w:highlight w:val="lightGray"/>
                <w:u w:val="single"/>
              </w:rPr>
              <w:t>Għażla A</w:t>
            </w:r>
            <w:r>
              <w:rPr>
                <w:rStyle w:val="None"/>
                <w:noProof/>
                <w:highlight w:val="lightGray"/>
              </w:rPr>
              <w:t xml:space="preserve"> tirrendi xi regoli dwar il-komunikazzjonijiet kummerċjali awdjoviżivi aktar flessibbli.</w:t>
            </w:r>
          </w:p>
        </w:tc>
      </w:tr>
      <w:tr>
        <w:tc>
          <w:tcPr>
            <w:tcW w:w="988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Liema huma l-partijiet ikkonċernati differenti? Liema għażla u min jappoġġaha?</w:t>
            </w:r>
          </w:p>
        </w:tc>
      </w:tr>
      <w:tr>
        <w:tc>
          <w:tcPr>
            <w:tcW w:w="98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Il-partijiet ikkonċernati l-iktar milquta minn bidliet potenzjali tal-AVMSD huma: ir-regolaturi nazzjonali, ix-xandara tat-TV pubbliċi, ix-xandara tat-TV kummerċjali, is-servizzi on-demand (servizzi ta' programmi tat-TV differiti (catch-up), servizzi ta' video-on-demand, portali tal-aħbarijiet), pjattaformi ta' video-sharing (attwalment barra mill-kamp ta’ applikazzjoni tal-AVMSD), l-organizzazzjonijiet awtoregolatorji, il-konsumaturi, inklużi l-minorenni, dawk li jirreklamaw u l-agenziji tar-reklamar (speċjalment fir-rigward tal-komunikazzjonijiet kummerċjali) u l-produtturi u d-distributuri indipendenti tal-kontenut (speċjalment fir-rigward tal-promozzjoni ta’ xogħlijiet Ewropej).</w:t>
            </w:r>
          </w:p>
          <w:p>
            <w:pPr>
              <w:spacing w:after="120"/>
              <w:jc w:val="both"/>
              <w:rPr>
                <w:noProof/>
              </w:rPr>
            </w:pPr>
            <w:r>
              <w:rPr>
                <w:noProof/>
              </w:rPr>
              <w:t>L-elementi ewlenin li ġew osservati b’mod ġenerali, fost il-kategoriji tal-partijiet ikkonċernati, fir-rigward tal-għażliet ta’ politika għall-futur:</w:t>
            </w:r>
          </w:p>
          <w:p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noProof/>
              </w:rPr>
            </w:pPr>
            <w:r>
              <w:rPr>
                <w:noProof/>
              </w:rPr>
              <w:t>Konverġenza ta’ opinjonijiet bejn il-partijiet ikkonċernati dwar il-ħtieġa għal bidliet possibbli tar-regoli dwar l-ambitu tal-applikazzjoni tad-Direttiva, għalkemm ma hemm l-ebda xejra jew ċarezza fost il-partijiet interessati dwar it-triq ’il quddiem, kif ukoll dwar l-indipendenza tar-regolaturi nazzjonali.</w:t>
            </w:r>
          </w:p>
          <w:p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395"/>
              </w:tabs>
              <w:jc w:val="both"/>
              <w:rPr>
                <w:noProof/>
              </w:rPr>
            </w:pPr>
            <w:r>
              <w:rPr>
                <w:noProof/>
              </w:rPr>
              <w:t>Appoġġ fost il-partijiet ikkonċernati għaż-żamma tal-istatus quo fir-rigward tal-prinċipju tal-pajjiż tal-oriġini; must-carry/traċċabilità; aċċessibbiltà għal persuni b’diżabbiltà; avvenimenti importanti għas-soċjetà, rapporti tal-aħbarijiet fil-qosor u d-dritt ta’ tweġiba;</w:t>
            </w:r>
          </w:p>
          <w:p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i/>
                <w:noProof/>
              </w:rPr>
            </w:pPr>
            <w:r>
              <w:rPr>
                <w:noProof/>
              </w:rPr>
              <w:t>M’hemmx kunsens ċar fost il-partijiet ikkonċernati dwar komunikazzjonijiet kummerċjali, il-protezzjoni tal-minorenni u l-promozzjoni ta' xogħlijiet Ewropej.</w:t>
            </w:r>
          </w:p>
        </w:tc>
      </w:tr>
      <w:tr>
        <w:trPr>
          <w:trHeight w:val="338"/>
        </w:trPr>
        <w:tc>
          <w:tcPr>
            <w:tcW w:w="9889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C. L-impatti tal-għażla preferuta</w:t>
            </w:r>
          </w:p>
        </w:tc>
      </w:tr>
      <w:tr>
        <w:tc>
          <w:tcPr>
            <w:tcW w:w="988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X'inhuma l-benefiċċji tal-għażla preferuta (jekk hemm, inkella dawk tal-għażliet prinċipali)? </w:t>
            </w:r>
          </w:p>
        </w:tc>
      </w:tr>
      <w:tr>
        <w:tc>
          <w:tcPr>
            <w:tcW w:w="98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noProof/>
              </w:rPr>
            </w:pPr>
            <w:r>
              <w:rPr>
                <w:noProof/>
              </w:rPr>
              <w:t>L-għażla preferuta hija t-taħlita tal-għażliet indikati speċifikament fit-Taqsima B. Il-benefiċċji prinċipali huma:</w:t>
            </w:r>
          </w:p>
          <w:p>
            <w:pPr>
              <w:numPr>
                <w:ilvl w:val="0"/>
                <w:numId w:val="13"/>
              </w:numPr>
              <w:jc w:val="both"/>
              <w:rPr>
                <w:noProof/>
              </w:rPr>
            </w:pPr>
            <w:r>
              <w:rPr>
                <w:noProof/>
              </w:rPr>
              <w:t>It-tisħiħ tal-protezzjoni tal-minorenni, inkluż billi jiġi stabbilit obbligu ta’ protezzjoni minn kontenut li jista' jkun ta’ ħsara għall-minorenni u mid-diskors ta’ mibegħda fi pjattaformi ta' video-sharing.</w:t>
            </w:r>
          </w:p>
          <w:p>
            <w:pPr>
              <w:numPr>
                <w:ilvl w:val="0"/>
                <w:numId w:val="13"/>
              </w:numPr>
              <w:jc w:val="both"/>
              <w:rPr>
                <w:noProof/>
              </w:rPr>
            </w:pPr>
            <w:r>
              <w:rPr>
                <w:noProof/>
              </w:rPr>
              <w:t>L-iżgurar ta' kontribut tas-servizzi tal-midja għad-diversità kulturali adattat għal mudelli ta’ negozju differenti.</w:t>
            </w:r>
          </w:p>
          <w:p>
            <w:pPr>
              <w:numPr>
                <w:ilvl w:val="0"/>
                <w:numId w:val="13"/>
              </w:numPr>
              <w:jc w:val="both"/>
              <w:rPr>
                <w:noProof/>
              </w:rPr>
            </w:pPr>
            <w:r>
              <w:rPr>
                <w:noProof/>
              </w:rPr>
              <w:t>L-indirizzar tad-defiċit ta’ trattament ġust bejn ix-xandir bit-TV u s-servizzi on-demand inkluż fl-oqsma tal-protezzjoni tal-minorenni, tal-promozzjoni ta' xogħlijiet Ewropej u tal-komunikazzjonijiet kummerċjali.</w:t>
            </w:r>
          </w:p>
          <w:p>
            <w:pPr>
              <w:numPr>
                <w:ilvl w:val="0"/>
                <w:numId w:val="13"/>
              </w:numPr>
              <w:jc w:val="both"/>
              <w:rPr>
                <w:noProof/>
              </w:rPr>
            </w:pPr>
            <w:r>
              <w:rPr>
                <w:noProof/>
              </w:rPr>
              <w:t>Iż-żamma ta' ċerta flessibbiltà fil-mod li bih l-Istati Membri jimplimentaw l-AVMSD, u li tippermetti li jitqiesu s-sussidjarjetà u speċifiċitajiet nazzjonali.</w:t>
            </w:r>
          </w:p>
          <w:p>
            <w:pPr>
              <w:numPr>
                <w:ilvl w:val="0"/>
                <w:numId w:val="13"/>
              </w:numPr>
              <w:jc w:val="both"/>
              <w:rPr>
                <w:noProof/>
              </w:rPr>
            </w:pPr>
            <w:r>
              <w:rPr>
                <w:noProof/>
              </w:rPr>
              <w:t>It-titjib fl-implimentazzjoni tad-Direttiva.</w:t>
            </w:r>
          </w:p>
        </w:tc>
      </w:tr>
      <w:tr>
        <w:tc>
          <w:tcPr>
            <w:tcW w:w="988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X'inhuma l-ispejjeż tal-għażla preferuta (jekk hemm, inkella dawk tal-għażliet prinċipali)?</w:t>
            </w:r>
          </w:p>
        </w:tc>
      </w:tr>
      <w:tr>
        <w:tc>
          <w:tcPr>
            <w:tcW w:w="98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b/>
                <w:i/>
                <w:noProof/>
              </w:rPr>
            </w:pPr>
            <w:r>
              <w:rPr>
                <w:noProof/>
              </w:rPr>
              <w:t>L-ispejjeż prinċipali tal-alternattiva preferuta se jitħallsu mis-servizzi on-demand u mill-pjattaformi ta' video-sharing. Dawn ikunu relatati l-aktar mal-implimentazzjoni tad-dispożizzjonijiet maħsuba biex tittejjeb il-protezzjoni tal-konsumatur. Madankollu, dawn l-ispejjeż jiġu mitigati mill-fatt li xi Stati Membri diġà daħħlu fis-seħħ regoli aktar stretti u li ċerti pjattaformi ta' video-sharing kbar, skont il-politiki korporattivi tagħhom, u b’mod volontarju, diġà ħadu passi biex jipproteġu l-konsumaturi.</w:t>
            </w:r>
          </w:p>
        </w:tc>
      </w:tr>
      <w:tr>
        <w:tc>
          <w:tcPr>
            <w:tcW w:w="988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Se jkun hemm impatti sinifikanti fuq il-baġits u l-amministrazzjonijiet nazzjonali?</w:t>
            </w:r>
          </w:p>
        </w:tc>
      </w:tr>
      <w:tr>
        <w:tc>
          <w:tcPr>
            <w:tcW w:w="98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b/>
                <w:i/>
                <w:noProof/>
              </w:rPr>
            </w:pPr>
            <w:r>
              <w:rPr>
                <w:noProof/>
              </w:rPr>
              <w:t>L-impatti prinċipali fuq il-baġits u l-amministrazzjoni nazzjonali jirriżultaw mill-implimentazzjoni tal-koregolamentazzjoni għall-protezzjoni tal-minorenni fuq pjattaformi ta' video-sharing u mill-introduzzjoni ta’ rekwiżit legali tal-indipendenza tal-awtoritajiet regolatorji nazzjonali u ta' sett minimu ta’ kundizzjonijiet li r-regolaturi jeħtiġilhom jissodisfaw. F’dan il-każ, l-impatt ikun jiddependi fuq il-livell eżistenti ta’ konformità tal-awtoritajiet regolatorji nazzjonali mas-sett ta’ kundizzjonijiet .</w:t>
            </w:r>
          </w:p>
        </w:tc>
      </w:tr>
      <w:tr>
        <w:tc>
          <w:tcPr>
            <w:tcW w:w="988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Se jkun hemm impatti sinifikanti oħra?</w:t>
            </w:r>
          </w:p>
        </w:tc>
      </w:tr>
      <w:tr>
        <w:tc>
          <w:tcPr>
            <w:tcW w:w="98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Le</w:t>
            </w:r>
          </w:p>
        </w:tc>
      </w:tr>
      <w:tr>
        <w:tc>
          <w:tcPr>
            <w:tcW w:w="988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Proporzjonalità?</w:t>
            </w:r>
          </w:p>
        </w:tc>
      </w:tr>
      <w:tr>
        <w:tc>
          <w:tcPr>
            <w:tcW w:w="98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noProof/>
              </w:rPr>
            </w:pPr>
            <w:r>
              <w:rPr>
                <w:noProof/>
              </w:rPr>
              <w:t>L-armonizzazzjoni minima karatteristika tad-Direttiva għandha tiżgura l-proporzjonalità tal-azzjoni tal-UE.</w:t>
            </w:r>
          </w:p>
        </w:tc>
      </w:tr>
      <w:tr>
        <w:trPr>
          <w:trHeight w:val="338"/>
        </w:trPr>
        <w:tc>
          <w:tcPr>
            <w:tcW w:w="9889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D. Segwitu</w:t>
            </w:r>
          </w:p>
        </w:tc>
      </w:tr>
      <w:tr>
        <w:tc>
          <w:tcPr>
            <w:tcW w:w="988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Meta se tiġi rieżaminata l-politika?</w:t>
            </w:r>
          </w:p>
        </w:tc>
      </w:tr>
      <w:tr>
        <w:tc>
          <w:tcPr>
            <w:tcW w:w="98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noProof/>
              </w:rPr>
            </w:pPr>
            <w:r>
              <w:rPr>
                <w:noProof/>
              </w:rPr>
              <w:t>Il-monitoraġġ kontinwu għandu jiġi żgurat permezz ta' rappurtar mill-Istati Membri lill-Kummissjoni u mill-Kummissjoni lill-Parlament Ewropew, lill-Kunsill u lill-Kumitat Ekonomiku u Soċjali Ewropew.</w:t>
            </w:r>
          </w:p>
        </w:tc>
      </w:tr>
    </w:tbl>
    <w:p>
      <w:pPr>
        <w:jc w:val="center"/>
        <w:rPr>
          <w:noProof/>
        </w:rPr>
      </w:pP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AD6"/>
    <w:multiLevelType w:val="hybridMultilevel"/>
    <w:tmpl w:val="B4EC6802"/>
    <w:lvl w:ilvl="0" w:tplc="CB5864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D0CCF"/>
    <w:multiLevelType w:val="hybridMultilevel"/>
    <w:tmpl w:val="5AF8765A"/>
    <w:lvl w:ilvl="0" w:tplc="0B063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E4226"/>
    <w:multiLevelType w:val="hybridMultilevel"/>
    <w:tmpl w:val="D680A046"/>
    <w:lvl w:ilvl="0" w:tplc="4412C5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73241"/>
    <w:multiLevelType w:val="hybridMultilevel"/>
    <w:tmpl w:val="3C304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11969"/>
    <w:multiLevelType w:val="hybridMultilevel"/>
    <w:tmpl w:val="5AF8765A"/>
    <w:lvl w:ilvl="0" w:tplc="0B063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94ACC"/>
    <w:multiLevelType w:val="hybridMultilevel"/>
    <w:tmpl w:val="6F72F900"/>
    <w:lvl w:ilvl="0" w:tplc="CB5864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23C0F"/>
    <w:multiLevelType w:val="hybridMultilevel"/>
    <w:tmpl w:val="7A64AF26"/>
    <w:lvl w:ilvl="0" w:tplc="CB5864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F3B3C"/>
    <w:multiLevelType w:val="hybridMultilevel"/>
    <w:tmpl w:val="6A8A8CB0"/>
    <w:lvl w:ilvl="0" w:tplc="CB5864D6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2D16975"/>
    <w:multiLevelType w:val="hybridMultilevel"/>
    <w:tmpl w:val="00E81232"/>
    <w:lvl w:ilvl="0" w:tplc="CB5864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94A5D"/>
    <w:multiLevelType w:val="multilevel"/>
    <w:tmpl w:val="259A0B20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">
    <w:nsid w:val="54672B2F"/>
    <w:multiLevelType w:val="hybridMultilevel"/>
    <w:tmpl w:val="CE96FC44"/>
    <w:lvl w:ilvl="0" w:tplc="CB5864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50AE3"/>
    <w:multiLevelType w:val="multilevel"/>
    <w:tmpl w:val="A33A5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58C132BC"/>
    <w:multiLevelType w:val="hybridMultilevel"/>
    <w:tmpl w:val="44665F4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3863789"/>
    <w:multiLevelType w:val="multilevel"/>
    <w:tmpl w:val="A57E5C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78702F7B"/>
    <w:multiLevelType w:val="hybridMultilevel"/>
    <w:tmpl w:val="9D066F42"/>
    <w:lvl w:ilvl="0" w:tplc="CB5864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14"/>
  </w:num>
  <w:num w:numId="11">
    <w:abstractNumId w:val="10"/>
  </w:num>
  <w:num w:numId="12">
    <w:abstractNumId w:val="11"/>
  </w:num>
  <w:num w:numId="13">
    <w:abstractNumId w:val="13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Li jakkumpanja d-dokument"/>
    <w:docVar w:name="LW_CONFIDENCE" w:val=" "/>
    <w:docVar w:name="LW_CONST_RESTREINT_UE" w:val="RESTREINT UE"/>
    <w:docVar w:name="LW_CORRIGENDUM" w:val="&lt;UNUSED&gt;"/>
    <w:docVar w:name="LW_COVERPAGE_GUID" w:val="C9988B4FF593477683C6EFB596045462"/>
    <w:docVar w:name="LW_CROSSREFERENCE" w:val="{COM(2016) 287 final}_x000b_{SWD(2016) 168 final}_x000b_{SWD(2016) 170 final}_x000b_{SWD(2016) 171 final}"/>
    <w:docVar w:name="LW_DocType" w:val="NORMAL"/>
    <w:docVar w:name="LW_EMISSION" w:val="25.5.2016"/>
    <w:docVar w:name="LW_EMISSION_ISODATE" w:val="2016-05-25"/>
    <w:docVar w:name="LW_EMISSION_LOCATION" w:val="BRX"/>
    <w:docVar w:name="LW_EMISSION_PREFIX" w:val="Brussell, "/>
    <w:docVar w:name="LW_EMISSION_SUFFIX" w:val=" "/>
    <w:docVar w:name="LW_ID_DOCTYPE_NONLW" w:val="CP-027"/>
    <w:docVar w:name="LW_LANGUE" w:val="MT"/>
    <w:docVar w:name="LW_MARKING" w:val="&lt;UNUSED&gt;"/>
    <w:docVar w:name="LW_NOM.INST" w:val="IL-KUMMISSJONI EWROPEA"/>
    <w:docVar w:name="LW_NOM.INST_JOINTDOC" w:val="&lt;EMPTY&gt;"/>
    <w:docVar w:name="LW_OBJETACTEPRINCIPAL.CP" w:val="Proposta g\u295?al Direttiva tal-Parlament Ewropew u tal-Kunsill li temenda d-Direttiva 2010/13/UE dwar il-koordinazzjoni ta' \u267?erti dispo\u380?izzjonijiet stabbiliti bil-li\u289?i, b'regolament jew b'azzjoni amministrattiva fi Stati Membri dwar il-forniment ta' servizzi tal-media awdjovi\u380?iva fid-dawl tar-realtajiet tas-suq li qed jinbidlu"/>
    <w:docVar w:name="LW_PART_NBR" w:val="1"/>
    <w:docVar w:name="LW_PART_NBR_TOTAL" w:val="1"/>
    <w:docVar w:name="LW_REF.INST.NEW" w:val="SWD"/>
    <w:docVar w:name="LW_REF.INST.NEW_ADOPTED" w:val="final"/>
    <w:docVar w:name="LW_REF.INST.NEW_TEXT" w:val="(2016) 169"/>
    <w:docVar w:name="LW_REF.INTERNE" w:val="&lt;UNUSED&gt;"/>
    <w:docVar w:name="LW_SUPERTITRE" w:val="&lt;UNUSED&gt;"/>
    <w:docVar w:name="LW_TITRE.OBJ.CP" w:val="&lt;UNUSED&gt;"/>
    <w:docVar w:name="LW_TYPE.DOC.CP" w:val="DOKUMENT TA\u8217? \u294?IDMA TAL-PERSUNAL TAL-KUMMISSJONI_x000b__x000b_SOMMARJU E\u379?EKUTTIV TAL-VALUTAZZJONI TAL-IMPATT_x000b_"/>
    <w:docVar w:name="LW_TYPEACTEPRINCIPAL.CP" w:val="&lt;UNUSED&gt;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Com">
    <w:name w:val="Z_Com"/>
    <w:next w:val="ZDGName"/>
    <w:uiPriority w:val="9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85"/>
      <w:jc w:val="both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ZDGName">
    <w:name w:val="Z_DGName"/>
    <w:uiPriority w:val="9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85"/>
    </w:pPr>
    <w:rPr>
      <w:rFonts w:ascii="Arial" w:eastAsia="Arial Unicode MS" w:hAnsi="Arial Unicode MS" w:cs="Arial Unicode MS"/>
      <w:color w:val="000000"/>
      <w:sz w:val="16"/>
      <w:szCs w:val="16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Arial Unicode MS" w:hAnsi="Tahoma" w:cs="Tahoma"/>
      <w:sz w:val="16"/>
      <w:szCs w:val="16"/>
      <w:bdr w:val="nil"/>
      <w:lang w:val="mt-MT"/>
    </w:rPr>
  </w:style>
  <w:style w:type="paragraph" w:styleId="FootnoteText">
    <w:name w:val="footnote text"/>
    <w:aliases w:val="Char,Fußnote,Carattere,fn,Footnotes,Footnote ak,Footnote Text Char1,Footnote Text Char Char,fn Char Char,footnote text Char Char,Footnotes Char Char,Footnote ak Char Char,fn Char1,footnote text Char1,Footnotes Char1,ft,Footnote Text_EP-LC"/>
    <w:link w:val="FootnoteTextChar"/>
    <w:uiPriority w:val="99"/>
    <w:qFormat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character" w:customStyle="1" w:styleId="FootnoteTextChar">
    <w:name w:val="Footnote Text Char"/>
    <w:aliases w:val="Char Char,Fußnote Char,Carattere Char,fn Char,Footnotes Char,Footnote ak Char,Footnote Text Char1 Char,Footnote Text Char Char Char,fn Char Char Char,footnote text Char Char Char,Footnotes Char Char Char,Footnote ak Char Char Char"/>
    <w:basedOn w:val="DefaultParagraphFont"/>
    <w:link w:val="FootnoteText"/>
    <w:uiPriority w:val="99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mt-MT" w:eastAsia="mt-MT"/>
    </w:rPr>
  </w:style>
  <w:style w:type="paragraph" w:styleId="ListParagraph">
    <w:name w:val="List Paragraph"/>
    <w:aliases w:val="Paragraphe de liste 2,Reference list,Normal bullet 2,Bullet list,Numbered List,List Paragraph1,1st level - Bullet List Paragraph,Lettre d'introduction,Paragrafo elenco,Paragraph,Bullet EY,List Paragraph11,Normal bullet 21,O-1 List bullets"/>
    <w:link w:val="ListParagraphChar"/>
    <w:uiPriority w:val="34"/>
    <w:qFormat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</w:rPr>
  </w:style>
  <w:style w:type="character" w:styleId="FootnoteReference">
    <w:name w:val="footnote reference"/>
    <w:aliases w:val="Footnote Reference Superscript,BVI fnr, BVI fnr,Footnote symbol,Footnote reference number,note TESI,Appel note de bas de p,Nota,SUPERS,Footnote number,EN Footnote Reference,-E Fußnotenzeichen,number Char Char,number,Ref,styl,styli,fr"/>
    <w:basedOn w:val="DefaultParagraphFont"/>
    <w:link w:val="FootnoteReferenceCharCarCharCharCarCharCarCharCarCharCarCharCharCarCarCharCharCharCharCharCarCharCarCharCharCarCharCar"/>
    <w:uiPriority w:val="99"/>
    <w:unhideWhenUsed/>
    <w:qFormat/>
    <w:rPr>
      <w:vertAlign w:val="superscript"/>
    </w:rPr>
  </w:style>
  <w:style w:type="character" w:customStyle="1" w:styleId="ListParagraphChar">
    <w:name w:val="List Paragraph Char"/>
    <w:aliases w:val="Paragraphe de liste 2 Char,Reference list Char,Normal bullet 2 Char,Bullet list Char,Numbered List Char,List Paragraph1 Char,1st level - Bullet List Paragraph Char,Lettre d'introduction Char,Paragrafo elenco Char,Paragraph Char"/>
    <w:basedOn w:val="DefaultParagraphFont"/>
    <w:link w:val="ListParagraph"/>
    <w:uiPriority w:val="34"/>
    <w:qFormat/>
    <w:locked/>
    <w:rPr>
      <w:rFonts w:ascii="Calibri" w:eastAsia="Calibri" w:hAnsi="Calibri" w:cs="Calibri"/>
      <w:color w:val="000000"/>
      <w:u w:color="000000"/>
      <w:bdr w:val="nil"/>
      <w:lang w:val="mt-MT" w:eastAsia="mt-MT"/>
    </w:rPr>
  </w:style>
  <w:style w:type="paragraph" w:customStyle="1" w:styleId="FootnoteReferenceCharCarCharCharCarCharCarCharCarCharCarCharCharCarCarCharCharCharCharCharCarCharCarCharCharCarCharCar">
    <w:name w:val="Footnote Reference Char Car Char Char Car Char Car Char Car Char Car Char Char Car Car Char Char Char Char Char Car Char Car Char Char Car Char Car"/>
    <w:aliases w:val="Footnotes refss Car Char Car,callout Car Car Char Char Car,Footnotes refss Car1"/>
    <w:basedOn w:val="Normal"/>
    <w:link w:val="FootnoteReference"/>
    <w:uiPriority w:val="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Theme="minorHAnsi" w:eastAsiaTheme="minorHAnsi" w:hAnsiTheme="minorHAnsi" w:cstheme="minorBidi"/>
      <w:sz w:val="22"/>
      <w:szCs w:val="22"/>
      <w:bdr w:val="none" w:sz="0" w:space="0" w:color="auto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  <w:lang w:val="mt-MT"/>
    </w:rPr>
  </w:style>
  <w:style w:type="paragraph" w:styleId="TOCHeading">
    <w:name w:val="TOC Heading"/>
    <w:next w:val="Normal"/>
    <w:uiPriority w:val="39"/>
    <w:qFormat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240" w:line="240" w:lineRule="auto"/>
      <w:jc w:val="center"/>
    </w:pPr>
    <w:rPr>
      <w:rFonts w:ascii="Times New Roman" w:eastAsia="Arial Unicode MS" w:hAnsi="Arial Unicode MS" w:cs="Arial Unicode MS"/>
      <w:b/>
      <w:bCs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pPr>
      <w:numPr>
        <w:numId w:val="14"/>
      </w:numPr>
    </w:p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customStyle="1" w:styleId="None">
    <w:name w:val="None"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Theme="minorHAnsi"/>
      <w:szCs w:val="22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Arial Unicode MS" w:hAnsi="Times New Roman" w:cs="Times New Roman"/>
      <w:sz w:val="24"/>
      <w:szCs w:val="24"/>
      <w:bdr w:val="nil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Arial Unicode MS" w:hAnsi="Times New Roman" w:cs="Times New Roman"/>
      <w:sz w:val="24"/>
      <w:szCs w:val="24"/>
      <w:bdr w:val="nil"/>
      <w:lang w:val="mt-MT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Com">
    <w:name w:val="Z_Com"/>
    <w:next w:val="ZDGName"/>
    <w:uiPriority w:val="9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85"/>
      <w:jc w:val="both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ZDGName">
    <w:name w:val="Z_DGName"/>
    <w:uiPriority w:val="9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85"/>
    </w:pPr>
    <w:rPr>
      <w:rFonts w:ascii="Arial" w:eastAsia="Arial Unicode MS" w:hAnsi="Arial Unicode MS" w:cs="Arial Unicode MS"/>
      <w:color w:val="000000"/>
      <w:sz w:val="16"/>
      <w:szCs w:val="16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Arial Unicode MS" w:hAnsi="Tahoma" w:cs="Tahoma"/>
      <w:sz w:val="16"/>
      <w:szCs w:val="16"/>
      <w:bdr w:val="nil"/>
      <w:lang w:val="mt-MT"/>
    </w:rPr>
  </w:style>
  <w:style w:type="paragraph" w:styleId="FootnoteText">
    <w:name w:val="footnote text"/>
    <w:aliases w:val="Char,Fußnote,Carattere,fn,Footnotes,Footnote ak,Footnote Text Char1,Footnote Text Char Char,fn Char Char,footnote text Char Char,Footnotes Char Char,Footnote ak Char Char,fn Char1,footnote text Char1,Footnotes Char1,ft,Footnote Text_EP-LC"/>
    <w:link w:val="FootnoteTextChar"/>
    <w:uiPriority w:val="99"/>
    <w:qFormat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character" w:customStyle="1" w:styleId="FootnoteTextChar">
    <w:name w:val="Footnote Text Char"/>
    <w:aliases w:val="Char Char,Fußnote Char,Carattere Char,fn Char,Footnotes Char,Footnote ak Char,Footnote Text Char1 Char,Footnote Text Char Char Char,fn Char Char Char,footnote text Char Char Char,Footnotes Char Char Char,Footnote ak Char Char Char"/>
    <w:basedOn w:val="DefaultParagraphFont"/>
    <w:link w:val="FootnoteText"/>
    <w:uiPriority w:val="99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mt-MT" w:eastAsia="mt-MT"/>
    </w:rPr>
  </w:style>
  <w:style w:type="paragraph" w:styleId="ListParagraph">
    <w:name w:val="List Paragraph"/>
    <w:aliases w:val="Paragraphe de liste 2,Reference list,Normal bullet 2,Bullet list,Numbered List,List Paragraph1,1st level - Bullet List Paragraph,Lettre d'introduction,Paragrafo elenco,Paragraph,Bullet EY,List Paragraph11,Normal bullet 21,O-1 List bullets"/>
    <w:link w:val="ListParagraphChar"/>
    <w:uiPriority w:val="34"/>
    <w:qFormat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</w:rPr>
  </w:style>
  <w:style w:type="character" w:styleId="FootnoteReference">
    <w:name w:val="footnote reference"/>
    <w:aliases w:val="Footnote Reference Superscript,BVI fnr, BVI fnr,Footnote symbol,Footnote reference number,note TESI,Appel note de bas de p,Nota,SUPERS,Footnote number,EN Footnote Reference,-E Fußnotenzeichen,number Char Char,number,Ref,styl,styli,fr"/>
    <w:basedOn w:val="DefaultParagraphFont"/>
    <w:link w:val="FootnoteReferenceCharCarCharCharCarCharCarCharCarCharCarCharCharCarCarCharCharCharCharCharCarCharCarCharCharCarCharCar"/>
    <w:uiPriority w:val="99"/>
    <w:unhideWhenUsed/>
    <w:qFormat/>
    <w:rPr>
      <w:vertAlign w:val="superscript"/>
    </w:rPr>
  </w:style>
  <w:style w:type="character" w:customStyle="1" w:styleId="ListParagraphChar">
    <w:name w:val="List Paragraph Char"/>
    <w:aliases w:val="Paragraphe de liste 2 Char,Reference list Char,Normal bullet 2 Char,Bullet list Char,Numbered List Char,List Paragraph1 Char,1st level - Bullet List Paragraph Char,Lettre d'introduction Char,Paragrafo elenco Char,Paragraph Char"/>
    <w:basedOn w:val="DefaultParagraphFont"/>
    <w:link w:val="ListParagraph"/>
    <w:uiPriority w:val="34"/>
    <w:qFormat/>
    <w:locked/>
    <w:rPr>
      <w:rFonts w:ascii="Calibri" w:eastAsia="Calibri" w:hAnsi="Calibri" w:cs="Calibri"/>
      <w:color w:val="000000"/>
      <w:u w:color="000000"/>
      <w:bdr w:val="nil"/>
      <w:lang w:val="mt-MT" w:eastAsia="mt-MT"/>
    </w:rPr>
  </w:style>
  <w:style w:type="paragraph" w:customStyle="1" w:styleId="FootnoteReferenceCharCarCharCharCarCharCarCharCarCharCarCharCharCarCarCharCharCharCharCharCarCharCarCharCharCarCharCar">
    <w:name w:val="Footnote Reference Char Car Char Char Car Char Car Char Car Char Car Char Char Car Car Char Char Char Char Char Car Char Car Char Char Car Char Car"/>
    <w:aliases w:val="Footnotes refss Car Char Car,callout Car Car Char Char Car,Footnotes refss Car1"/>
    <w:basedOn w:val="Normal"/>
    <w:link w:val="FootnoteReference"/>
    <w:uiPriority w:val="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Theme="minorHAnsi" w:eastAsiaTheme="minorHAnsi" w:hAnsiTheme="minorHAnsi" w:cstheme="minorBidi"/>
      <w:sz w:val="22"/>
      <w:szCs w:val="22"/>
      <w:bdr w:val="none" w:sz="0" w:space="0" w:color="auto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  <w:lang w:val="mt-MT"/>
    </w:rPr>
  </w:style>
  <w:style w:type="paragraph" w:styleId="TOCHeading">
    <w:name w:val="TOC Heading"/>
    <w:next w:val="Normal"/>
    <w:uiPriority w:val="39"/>
    <w:qFormat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240" w:line="240" w:lineRule="auto"/>
      <w:jc w:val="center"/>
    </w:pPr>
    <w:rPr>
      <w:rFonts w:ascii="Times New Roman" w:eastAsia="Arial Unicode MS" w:hAnsi="Arial Unicode MS" w:cs="Arial Unicode MS"/>
      <w:b/>
      <w:bCs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pPr>
      <w:numPr>
        <w:numId w:val="14"/>
      </w:numPr>
    </w:p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customStyle="1" w:styleId="None">
    <w:name w:val="None"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Theme="minorHAnsi"/>
      <w:szCs w:val="22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Arial Unicode MS" w:hAnsi="Times New Roman" w:cs="Times New Roman"/>
      <w:sz w:val="24"/>
      <w:szCs w:val="24"/>
      <w:bdr w:val="nil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Arial Unicode MS" w:hAnsi="Times New Roman" w:cs="Times New Roman"/>
      <w:sz w:val="24"/>
      <w:szCs w:val="24"/>
      <w:bdr w:val="nil"/>
      <w:lang w:val="mt-MT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931</Words>
  <Characters>7353</Characters>
  <Application>Microsoft Office Word</Application>
  <DocSecurity>0</DocSecurity>
  <Lines>122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23</cp:revision>
  <cp:lastPrinted>2016-05-13T16:02:00Z</cp:lastPrinted>
  <dcterms:created xsi:type="dcterms:W3CDTF">2016-05-13T13:57:00Z</dcterms:created>
  <dcterms:modified xsi:type="dcterms:W3CDTF">2016-05-30T07:39:00Z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DocStatus">
    <vt:lpwstr>Green</vt:lpwstr>
  </property>
  <property fmtid="{D5CDD505-2E9C-101B-9397-08002B2CF9AE}" pid="5" name="Classification">
    <vt:lpwstr> </vt:lpwstr>
  </property>
</Properties>
</file>