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7E6AD7EA5854F608F86BC8FAABE2378" style="width:450.8pt;height:450.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tc>
          <w:tcPr>
            <w:tcW w:w="9889" w:type="dxa"/>
            <w:tcBorders>
              <w:right w:val="single" w:sz="4" w:space="0" w:color="auto"/>
            </w:tcBorders>
            <w:shd w:val="clear" w:color="auto" w:fill="0000FF"/>
            <w:vAlign w:val="center"/>
          </w:tcPr>
          <w:p>
            <w:pPr>
              <w:jc w:val="center"/>
              <w:rPr>
                <w:b/>
                <w:noProof/>
              </w:rPr>
            </w:pPr>
            <w:bookmarkStart w:id="1" w:name="_GoBack"/>
            <w:bookmarkEnd w:id="1"/>
            <w:r>
              <w:rPr>
                <w:b/>
                <w:noProof/>
              </w:rPr>
              <w:lastRenderedPageBreak/>
              <w:t>A. Potreba za djelovanjem</w:t>
            </w:r>
          </w:p>
        </w:tc>
      </w:tr>
      <w:tr>
        <w:tc>
          <w:tcPr>
            <w:tcW w:w="9889" w:type="dxa"/>
            <w:tcBorders>
              <w:right w:val="single" w:sz="4" w:space="0" w:color="auto"/>
            </w:tcBorders>
            <w:shd w:val="clear" w:color="auto" w:fill="E6E6E6"/>
            <w:vAlign w:val="center"/>
          </w:tcPr>
          <w:p>
            <w:pPr>
              <w:rPr>
                <w:b/>
                <w:noProof/>
              </w:rPr>
            </w:pPr>
            <w:r>
              <w:rPr>
                <w:b/>
                <w:noProof/>
              </w:rPr>
              <w:t>Što je problem i zašto je to problem?</w:t>
            </w:r>
          </w:p>
        </w:tc>
      </w:tr>
      <w:tr>
        <w:tc>
          <w:tcPr>
            <w:tcW w:w="9889" w:type="dxa"/>
            <w:tcBorders>
              <w:right w:val="single" w:sz="4" w:space="0" w:color="auto"/>
            </w:tcBorders>
            <w:shd w:val="clear" w:color="auto" w:fill="auto"/>
            <w:vAlign w:val="center"/>
          </w:tcPr>
          <w:p>
            <w:pPr>
              <w:spacing w:after="120"/>
              <w:jc w:val="both"/>
              <w:rPr>
                <w:noProof/>
              </w:rPr>
            </w:pPr>
            <w:r>
              <w:rPr>
                <w:noProof/>
              </w:rPr>
              <w:t xml:space="preserve">Procjena učinka provedena je u usporedno s </w:t>
            </w:r>
            <w:r>
              <w:rPr>
                <w:i/>
                <w:noProof/>
              </w:rPr>
              <w:t>ex-post</w:t>
            </w:r>
            <w:r>
              <w:rPr>
                <w:noProof/>
              </w:rPr>
              <w:t xml:space="preserve"> evaluacijom Direktive o audiovizualnim medijskim uslugama (AVMSD) u okviru programa za prikladnost i učinkovitost propisa (REFIT). </w:t>
            </w:r>
          </w:p>
          <w:p>
            <w:pPr>
              <w:spacing w:after="120"/>
              <w:jc w:val="both"/>
              <w:rPr>
                <w:rFonts w:eastAsia="Times New Roman"/>
                <w:noProof/>
                <w:color w:val="000000"/>
              </w:rPr>
            </w:pPr>
            <w:r>
              <w:rPr>
                <w:noProof/>
              </w:rPr>
              <w:t xml:space="preserve">Opći je zaključak da su </w:t>
            </w:r>
            <w:r>
              <w:rPr>
                <w:noProof/>
                <w:color w:val="000000"/>
              </w:rPr>
              <w:t xml:space="preserve">ciljevi Direktive o audiovizualnim medijskim uslugama još uvijek relevantni. </w:t>
            </w:r>
          </w:p>
          <w:p>
            <w:pPr>
              <w:jc w:val="both"/>
              <w:rPr>
                <w:noProof/>
              </w:rPr>
            </w:pPr>
            <w:r>
              <w:rPr>
                <w:noProof/>
              </w:rPr>
              <w:t>Evaluacijom REFIT-a utvrđena su tri glavna skupa problema:</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 xml:space="preserve">nedovoljna zaštita maloljetnika i potrošača pri potrošnji videozapisa na platformama za razmjenu videozapisa, </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nejednaki uvjeti između tradicionalnih usluga emitiranja i usluga na zahtjev i nedostaci na unutarnjem tržištu koji su posljedica činjenice da neki propisi iz Direktive o audiovizualnim medijskim uslugama nisu dovoljno precizni.</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propisi o komercijalnim komunikacijama više ne odgovaraju svrsi</w:t>
            </w:r>
          </w:p>
          <w:p>
            <w:pPr>
              <w:spacing w:after="120"/>
              <w:jc w:val="both"/>
              <w:rPr>
                <w:b/>
                <w:i/>
                <w:noProof/>
              </w:rPr>
            </w:pPr>
            <w:r>
              <w:rPr>
                <w:noProof/>
                <w:color w:val="000000"/>
              </w:rPr>
              <w:t>Evaluacijom REFIT-a također je utvrđeno da ima prostora za pojednostavnjenje, posebno postupaka kojima se podupire primjena COO-a i nekih propisa o komercijalnoj komunikaciji.</w:t>
            </w:r>
          </w:p>
        </w:tc>
      </w:tr>
      <w:tr>
        <w:tc>
          <w:tcPr>
            <w:tcW w:w="9889" w:type="dxa"/>
            <w:tcBorders>
              <w:right w:val="single" w:sz="4" w:space="0" w:color="auto"/>
            </w:tcBorders>
            <w:shd w:val="clear" w:color="auto" w:fill="E6E6E6"/>
            <w:vAlign w:val="center"/>
          </w:tcPr>
          <w:p>
            <w:pPr>
              <w:rPr>
                <w:b/>
                <w:noProof/>
              </w:rPr>
            </w:pPr>
            <w:r>
              <w:rPr>
                <w:b/>
                <w:noProof/>
              </w:rPr>
              <w:t>Što bi trebalo postići?</w:t>
            </w:r>
          </w:p>
        </w:tc>
      </w:tr>
      <w:tr>
        <w:tc>
          <w:tcPr>
            <w:tcW w:w="9889" w:type="dxa"/>
            <w:tcBorders>
              <w:right w:val="single" w:sz="4" w:space="0" w:color="auto"/>
            </w:tcBorders>
            <w:shd w:val="clear" w:color="auto" w:fill="auto"/>
            <w:vAlign w:val="center"/>
          </w:tcPr>
          <w:p>
            <w:pPr>
              <w:jc w:val="both"/>
              <w:rPr>
                <w:rFonts w:eastAsia="Times New Roman"/>
                <w:bCs/>
                <w:noProof/>
              </w:rPr>
            </w:pPr>
            <w:r>
              <w:rPr>
                <w:noProof/>
              </w:rPr>
              <w:t>Opći su ciljevi sljedeći:</w:t>
            </w:r>
          </w:p>
          <w:p>
            <w:pPr>
              <w:pStyle w:val="ListParagraph"/>
              <w:numPr>
                <w:ilvl w:val="0"/>
                <w:numId w:val="15"/>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pojačati zaštitu potrošača i maloljetnika </w:t>
            </w:r>
          </w:p>
          <w:p>
            <w:pPr>
              <w:pStyle w:val="ListParagraph"/>
              <w:numPr>
                <w:ilvl w:val="0"/>
                <w:numId w:val="15"/>
              </w:numPr>
              <w:spacing w:after="0" w:line="240" w:lineRule="auto"/>
              <w:jc w:val="both"/>
              <w:rPr>
                <w:rFonts w:ascii="Times New Roman" w:hAnsi="Times New Roman" w:cs="Times New Roman"/>
                <w:noProof/>
              </w:rPr>
            </w:pPr>
            <w:r>
              <w:rPr>
                <w:rFonts w:ascii="Times New Roman" w:hAnsi="Times New Roman"/>
                <w:noProof/>
                <w:sz w:val="24"/>
              </w:rPr>
              <w:t>osigurati jednake uvjete, očuvati cjelovitost unutarnjeg tržišta i povećati pravnu sigurnost</w:t>
            </w:r>
          </w:p>
          <w:p>
            <w:pPr>
              <w:pStyle w:val="ListParagraph"/>
              <w:numPr>
                <w:ilvl w:val="0"/>
                <w:numId w:val="15"/>
              </w:numPr>
              <w:spacing w:after="0" w:line="240" w:lineRule="auto"/>
              <w:jc w:val="both"/>
              <w:rPr>
                <w:rFonts w:ascii="Times New Roman" w:hAnsi="Times New Roman" w:cs="Times New Roman"/>
                <w:noProof/>
                <w:sz w:val="24"/>
                <w:szCs w:val="24"/>
              </w:rPr>
            </w:pPr>
            <w:r>
              <w:rPr>
                <w:rFonts w:ascii="Times New Roman" w:hAnsi="Times New Roman"/>
                <w:noProof/>
                <w:sz w:val="24"/>
                <w:szCs w:val="24"/>
              </w:rPr>
              <w:t>pojednostaviti pravni okvir</w:t>
            </w:r>
          </w:p>
        </w:tc>
      </w:tr>
      <w:tr>
        <w:trPr>
          <w:trHeight w:val="351"/>
        </w:trPr>
        <w:tc>
          <w:tcPr>
            <w:tcW w:w="9889" w:type="dxa"/>
            <w:tcBorders>
              <w:right w:val="single" w:sz="4" w:space="0" w:color="auto"/>
            </w:tcBorders>
            <w:shd w:val="clear" w:color="auto" w:fill="E6E6E6"/>
            <w:vAlign w:val="center"/>
          </w:tcPr>
          <w:p>
            <w:pPr>
              <w:rPr>
                <w:b/>
                <w:noProof/>
              </w:rPr>
            </w:pPr>
            <w:r>
              <w:rPr>
                <w:b/>
                <w:noProof/>
              </w:rPr>
              <w:t>Koja je dodana vrijednost djelovanja na razini EU</w:t>
            </w:r>
            <w:r>
              <w:rPr>
                <w:noProof/>
              </w:rPr>
              <w:noBreakHyphen/>
            </w:r>
            <w:r>
              <w:rPr>
                <w:b/>
                <w:noProof/>
              </w:rPr>
              <w:t>a?</w:t>
            </w:r>
          </w:p>
        </w:tc>
      </w:tr>
      <w:tr>
        <w:tc>
          <w:tcPr>
            <w:tcW w:w="9889" w:type="dxa"/>
            <w:tcBorders>
              <w:right w:val="single" w:sz="4" w:space="0" w:color="auto"/>
            </w:tcBorders>
            <w:shd w:val="clear" w:color="auto" w:fill="auto"/>
            <w:vAlign w:val="center"/>
          </w:tcPr>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Times New Roman"/>
                <w:bCs/>
                <w:noProof/>
                <w:color w:val="000000"/>
              </w:rPr>
            </w:pPr>
            <w:r>
              <w:rPr>
                <w:noProof/>
                <w:color w:val="000000"/>
              </w:rPr>
              <w:t xml:space="preserve">Direktiva o audiovizualnim medijskim uslugama regulatorni je okvir kojim se podupire jedinstveno europsko tržište za audiovizualne usluge. Razvoj usluga na zahtjev i platformi za razmjenjivanje videozapisa te odgovarajuće platforme za gledanje koje se mijenjaju i povezani rizici pojave su koje utječu na sve države članice. </w:t>
            </w: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b/>
                <w:i/>
                <w:noProof/>
              </w:rPr>
            </w:pPr>
            <w:r>
              <w:rPr>
                <w:noProof/>
                <w:color w:val="000000"/>
              </w:rPr>
              <w:t xml:space="preserve">Smatra se da je buduća revizija Direktive o audiovizualnim medijskim uslugama u skladu s načelima supsidijarnost i proporcionalnosti jer se njome štiti pristup usklađivanja i mehanizama suradnje kojima se državama članicama omogućuje da uzmu u obzir nacionalne posebnosti. </w:t>
            </w:r>
          </w:p>
        </w:tc>
      </w:tr>
      <w:tr>
        <w:trPr>
          <w:trHeight w:val="338"/>
        </w:trPr>
        <w:tc>
          <w:tcPr>
            <w:tcW w:w="9889" w:type="dxa"/>
            <w:tcBorders>
              <w:right w:val="single" w:sz="4" w:space="0" w:color="auto"/>
            </w:tcBorders>
            <w:shd w:val="clear" w:color="auto" w:fill="0000FF"/>
            <w:vAlign w:val="center"/>
          </w:tcPr>
          <w:p>
            <w:pPr>
              <w:jc w:val="center"/>
              <w:rPr>
                <w:b/>
                <w:noProof/>
              </w:rPr>
            </w:pPr>
            <w:r>
              <w:rPr>
                <w:b/>
                <w:noProof/>
              </w:rPr>
              <w:t>B. Rješenja</w:t>
            </w:r>
          </w:p>
        </w:tc>
      </w:tr>
      <w:tr>
        <w:tc>
          <w:tcPr>
            <w:tcW w:w="9889" w:type="dxa"/>
            <w:tcBorders>
              <w:right w:val="single" w:sz="4" w:space="0" w:color="auto"/>
            </w:tcBorders>
            <w:shd w:val="clear" w:color="auto" w:fill="E6E6E6"/>
            <w:vAlign w:val="center"/>
          </w:tcPr>
          <w:p>
            <w:pPr>
              <w:rPr>
                <w:b/>
                <w:noProof/>
              </w:rPr>
            </w:pPr>
            <w:r>
              <w:rPr>
                <w:b/>
                <w:noProof/>
              </w:rPr>
              <w:t>Kojim se različitim opcijama mogu ostvariti ciljevi? Daje li se prednost određenoj opciji? Ako ne, zašto?</w:t>
            </w:r>
          </w:p>
        </w:tc>
      </w:tr>
      <w:tr>
        <w:tc>
          <w:tcPr>
            <w:tcW w:w="9889" w:type="dxa"/>
            <w:tcBorders>
              <w:right w:val="single" w:sz="4" w:space="0" w:color="auto"/>
            </w:tcBorders>
            <w:shd w:val="clear" w:color="auto" w:fill="auto"/>
            <w:vAlign w:val="center"/>
          </w:tcPr>
          <w:p>
            <w:pPr>
              <w:spacing w:after="120"/>
              <w:jc w:val="both"/>
              <w:rPr>
                <w:rFonts w:eastAsia="Times New Roman"/>
                <w:bCs/>
                <w:noProof/>
                <w:color w:val="000000"/>
              </w:rPr>
            </w:pPr>
            <w:r>
              <w:rPr>
                <w:noProof/>
                <w:color w:val="000000"/>
              </w:rPr>
              <w:t>Opcije su grupirane prema posebnom problemu koji se njima želi riješiti. Za svaki odjeljak označena je opcija kojoj se daje prednost.</w:t>
            </w:r>
          </w:p>
          <w:p>
            <w:pPr>
              <w:pStyle w:val="ListParagraph"/>
              <w:numPr>
                <w:ilvl w:val="0"/>
                <w:numId w:val="8"/>
              </w:numPr>
              <w:spacing w:after="0"/>
              <w:jc w:val="both"/>
              <w:rPr>
                <w:rFonts w:ascii="Times New Roman" w:hAnsi="Times New Roman" w:cs="Times New Roman"/>
                <w:b/>
                <w:noProof/>
                <w:sz w:val="24"/>
                <w:szCs w:val="24"/>
              </w:rPr>
            </w:pPr>
            <w:r>
              <w:rPr>
                <w:rFonts w:ascii="Times New Roman" w:hAnsi="Times New Roman"/>
                <w:b/>
                <w:noProof/>
                <w:sz w:val="24"/>
              </w:rPr>
              <w:t>Opcije za rješavanje problema nedovoljne zaštite maloljetnika i potrošača u platformama za razmjenjivanje videozapisa</w:t>
            </w:r>
          </w:p>
          <w:p>
            <w:pPr>
              <w:jc w:val="both"/>
              <w:rPr>
                <w:rFonts w:eastAsia="Times New Roman"/>
                <w:bCs/>
                <w:noProof/>
                <w:color w:val="000000"/>
              </w:rPr>
            </w:pPr>
            <w:r>
              <w:rPr>
                <w:noProof/>
                <w:color w:val="000000"/>
                <w:u w:val="single"/>
              </w:rPr>
              <w:t>Opcijom A</w:t>
            </w:r>
            <w:r>
              <w:rPr>
                <w:noProof/>
                <w:color w:val="000000"/>
              </w:rPr>
              <w:t xml:space="preserve"> potiče se samoregulacija zaštite maloljetnika i potrošača na platformama za razmjenu video sadržaja</w:t>
            </w:r>
          </w:p>
          <w:p>
            <w:pPr>
              <w:jc w:val="both"/>
              <w:rPr>
                <w:rFonts w:eastAsia="Times New Roman"/>
                <w:bCs/>
                <w:noProof/>
                <w:color w:val="000000"/>
              </w:rPr>
            </w:pPr>
            <w:r>
              <w:rPr>
                <w:noProof/>
                <w:color w:val="000000"/>
                <w:u w:val="single"/>
                <w:shd w:val="clear" w:color="auto" w:fill="D9D9D9" w:themeFill="background1" w:themeFillShade="D9"/>
              </w:rPr>
              <w:t xml:space="preserve">Opcijom </w:t>
            </w:r>
            <w:r>
              <w:rPr>
                <w:noProof/>
                <w:color w:val="000000"/>
                <w:highlight w:val="lightGray"/>
                <w:u w:val="single"/>
                <w:shd w:val="clear" w:color="auto" w:fill="D9D9D9" w:themeFill="background1" w:themeFillShade="D9"/>
              </w:rPr>
              <w:t>B</w:t>
            </w:r>
            <w:r>
              <w:rPr>
                <w:noProof/>
                <w:color w:val="000000"/>
                <w:highlight w:val="lightGray"/>
                <w:shd w:val="clear" w:color="auto" w:fill="D9D9D9" w:themeFill="background1" w:themeFillShade="D9"/>
              </w:rPr>
              <w:t xml:space="preserve"> </w:t>
            </w:r>
            <w:r>
              <w:rPr>
                <w:noProof/>
                <w:color w:val="000000"/>
                <w:shd w:val="clear" w:color="auto" w:fill="D9D9D9" w:themeFill="background1" w:themeFillShade="D9"/>
              </w:rPr>
              <w:t>platformama za razmjenjivanje videozapisa određuje se obveza uspostave sredstava za zaštitu maloljetnika i govora mržnje koja se provode zajedničkom regulacijom</w:t>
            </w:r>
            <w:r>
              <w:rPr>
                <w:noProof/>
                <w:color w:val="000000"/>
                <w:highlight w:val="lightGray"/>
                <w:shd w:val="clear" w:color="auto" w:fill="D9D9D9" w:themeFill="background1" w:themeFillShade="D9"/>
              </w:rPr>
              <w:t>.</w:t>
            </w:r>
            <w:r>
              <w:rPr>
                <w:noProof/>
                <w:color w:val="000000"/>
              </w:rPr>
              <w:t xml:space="preserve"> </w:t>
            </w:r>
          </w:p>
          <w:p>
            <w:pPr>
              <w:jc w:val="both"/>
              <w:rPr>
                <w:rFonts w:eastAsia="Times New Roman"/>
                <w:bCs/>
                <w:noProof/>
                <w:color w:val="000000"/>
                <w:sz w:val="12"/>
                <w:szCs w:val="12"/>
              </w:rPr>
            </w:pPr>
          </w:p>
          <w:p>
            <w:pPr>
              <w:pStyle w:val="ListParagraph"/>
              <w:numPr>
                <w:ilvl w:val="0"/>
                <w:numId w:val="8"/>
              </w:numPr>
              <w:spacing w:after="0"/>
              <w:jc w:val="both"/>
              <w:rPr>
                <w:rFonts w:ascii="Times New Roman" w:hAnsi="Times New Roman" w:cs="Times New Roman"/>
                <w:b/>
                <w:noProof/>
                <w:sz w:val="24"/>
                <w:szCs w:val="24"/>
              </w:rPr>
            </w:pPr>
            <w:r>
              <w:rPr>
                <w:rFonts w:ascii="Times New Roman" w:hAnsi="Times New Roman"/>
                <w:b/>
                <w:noProof/>
                <w:sz w:val="24"/>
              </w:rPr>
              <w:t>Opcije kojima se rješava problem nejednakih uvjeta i nedostataka na unutarnjem tržištu</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a) Promidžba europskih djela</w:t>
            </w:r>
          </w:p>
          <w:p>
            <w:pPr>
              <w:jc w:val="both"/>
              <w:rPr>
                <w:rFonts w:eastAsia="Times New Roman"/>
                <w:bCs/>
                <w:noProof/>
                <w:color w:val="000000"/>
              </w:rPr>
            </w:pPr>
            <w:r>
              <w:rPr>
                <w:noProof/>
                <w:color w:val="000000"/>
                <w:u w:val="single"/>
              </w:rPr>
              <w:t>Opcijom A</w:t>
            </w:r>
            <w:r>
              <w:rPr>
                <w:noProof/>
                <w:color w:val="000000"/>
              </w:rPr>
              <w:t xml:space="preserve"> daje se uslugama televizijskog emitiranja i uslugama na zahtjev više fleksibilnosti u pogledu provedbe obveze promicanja europskih djela. </w:t>
            </w:r>
          </w:p>
          <w:p>
            <w:pPr>
              <w:jc w:val="both"/>
              <w:rPr>
                <w:rFonts w:eastAsia="Times New Roman"/>
                <w:bCs/>
                <w:noProof/>
                <w:color w:val="000000"/>
              </w:rPr>
            </w:pPr>
            <w:r>
              <w:rPr>
                <w:noProof/>
              </w:rPr>
              <w:t xml:space="preserve">Opcijom B zadržava se </w:t>
            </w:r>
            <w:r>
              <w:rPr>
                <w:i/>
                <w:noProof/>
              </w:rPr>
              <w:t>status quo</w:t>
            </w:r>
            <w:r>
              <w:rPr>
                <w:noProof/>
              </w:rPr>
              <w:t xml:space="preserve"> za televizijsko emitiranje i pojačavaju se propisi za pružatelje usluga na zahtjev.</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b) Zaštita maloljetnika kod pružanja usluga na zahtjev</w:t>
            </w:r>
          </w:p>
          <w:p>
            <w:pPr>
              <w:pStyle w:val="ListParagraph"/>
              <w:spacing w:after="0"/>
              <w:ind w:left="0"/>
              <w:jc w:val="both"/>
              <w:rPr>
                <w:rFonts w:ascii="Times New Roman" w:hAnsi="Times New Roman" w:cs="Times New Roman"/>
                <w:bCs/>
                <w:noProof/>
                <w:sz w:val="24"/>
                <w:szCs w:val="24"/>
                <w:shd w:val="clear" w:color="auto" w:fill="D9D9D9" w:themeFill="background1" w:themeFillShade="D9"/>
              </w:rPr>
            </w:pPr>
            <w:r>
              <w:rPr>
                <w:rFonts w:ascii="Times New Roman" w:hAnsi="Times New Roman"/>
                <w:noProof/>
                <w:sz w:val="24"/>
                <w:u w:val="single"/>
                <w:shd w:val="clear" w:color="auto" w:fill="D9D9D9" w:themeFill="background1" w:themeFillShade="D9"/>
              </w:rPr>
              <w:t>Opcijom A</w:t>
            </w:r>
            <w:r>
              <w:rPr>
                <w:noProof/>
              </w:rPr>
              <w:t xml:space="preserve"> </w:t>
            </w:r>
            <w:r>
              <w:rPr>
                <w:rFonts w:ascii="Times New Roman" w:hAnsi="Times New Roman"/>
                <w:noProof/>
                <w:sz w:val="24"/>
                <w:shd w:val="clear" w:color="auto" w:fill="D9D9D9" w:themeFill="background1" w:themeFillShade="D9"/>
              </w:rPr>
              <w:t>povećava se razina zaštite maloljetnika u vezi s audiovizualnim medijskim uslugama na zahtjev, pojednostavnjuje se pojam štetnog sadržaja i potiče se zajednička regulacija EU-a u pogledu opisa sadržaja.</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c) Načelo države porijekla</w:t>
            </w:r>
          </w:p>
          <w:p>
            <w:pPr>
              <w:pStyle w:val="ListParagraph"/>
              <w:spacing w:after="0"/>
              <w:ind w:left="0"/>
              <w:jc w:val="both"/>
              <w:rPr>
                <w:rFonts w:ascii="Times New Roman" w:hAnsi="Times New Roman" w:cs="Times New Roman"/>
                <w:bCs/>
                <w:noProof/>
                <w:sz w:val="24"/>
                <w:szCs w:val="24"/>
                <w:u w:val="single"/>
                <w:shd w:val="clear" w:color="auto" w:fill="D9D9D9" w:themeFill="background1" w:themeFillShade="D9"/>
              </w:rPr>
            </w:pPr>
            <w:r>
              <w:rPr>
                <w:rFonts w:ascii="Times New Roman" w:hAnsi="Times New Roman"/>
                <w:noProof/>
                <w:sz w:val="24"/>
                <w:u w:val="single"/>
                <w:shd w:val="clear" w:color="auto" w:fill="D9D9D9" w:themeFill="background1" w:themeFillShade="D9"/>
              </w:rPr>
              <w:t xml:space="preserve">Opcijom A </w:t>
            </w:r>
            <w:r>
              <w:rPr>
                <w:rFonts w:ascii="Times New Roman" w:hAnsi="Times New Roman"/>
                <w:noProof/>
                <w:sz w:val="24"/>
                <w:shd w:val="clear" w:color="auto" w:fill="D9D9D9" w:themeFill="background1" w:themeFillShade="D9"/>
              </w:rPr>
              <w:t>pojednostavnjuju se i unaprjeđuju propisi o nadležnosti i postupci suradnje</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d) Neovisnost regulatora</w:t>
            </w:r>
          </w:p>
          <w:p>
            <w:pPr>
              <w:pStyle w:val="ListParagraph"/>
              <w:spacing w:after="0"/>
              <w:ind w:left="0"/>
              <w:jc w:val="both"/>
              <w:rPr>
                <w:rFonts w:ascii="Times New Roman" w:hAnsi="Times New Roman" w:cs="Times New Roman"/>
                <w:noProof/>
                <w:sz w:val="24"/>
                <w:szCs w:val="24"/>
                <w:shd w:val="clear" w:color="auto" w:fill="D9D9D9" w:themeFill="background1" w:themeFillShade="D9"/>
              </w:rPr>
            </w:pPr>
            <w:r>
              <w:rPr>
                <w:rFonts w:ascii="Times New Roman" w:hAnsi="Times New Roman"/>
                <w:noProof/>
                <w:sz w:val="24"/>
                <w:u w:val="single"/>
                <w:shd w:val="clear" w:color="auto" w:fill="D9D9D9" w:themeFill="background1" w:themeFillShade="D9"/>
              </w:rPr>
              <w:t>Opcijom A</w:t>
            </w:r>
            <w:r>
              <w:rPr>
                <w:noProof/>
              </w:rPr>
              <w:t xml:space="preserve"> </w:t>
            </w:r>
            <w:r>
              <w:rPr>
                <w:rFonts w:ascii="Times New Roman" w:hAnsi="Times New Roman"/>
                <w:noProof/>
                <w:sz w:val="24"/>
                <w:shd w:val="clear" w:color="auto" w:fill="D9D9D9" w:themeFill="background1" w:themeFillShade="D9"/>
              </w:rPr>
              <w:t>zahtijeva se od država članica da imaju neovisno regulatorno tijelo i utvrđuje se niz zahtjeva za podupiranje njihove neovisnosti i učinkovitosti. Potiče se koordinacijska i savjetodavna uloga ERGA-a i ugrađuje u Direktivu o audiovizualnim medijskim uslugama.</w:t>
            </w:r>
          </w:p>
          <w:p>
            <w:pPr>
              <w:pStyle w:val="ListParagraph"/>
              <w:numPr>
                <w:ilvl w:val="0"/>
                <w:numId w:val="8"/>
              </w:numPr>
              <w:spacing w:after="0"/>
              <w:jc w:val="both"/>
              <w:rPr>
                <w:b/>
                <w:noProof/>
                <w:sz w:val="24"/>
                <w:szCs w:val="24"/>
              </w:rPr>
            </w:pPr>
            <w:r>
              <w:rPr>
                <w:rFonts w:ascii="Times New Roman" w:hAnsi="Times New Roman"/>
                <w:b/>
                <w:noProof/>
                <w:sz w:val="24"/>
              </w:rPr>
              <w:t>Opcija kojom se rješava problem propisa o komercijalnim komunikacijama koje više ne odgovaraju svrsi</w:t>
            </w:r>
          </w:p>
          <w:p>
            <w:pPr>
              <w:pStyle w:val="Body"/>
              <w:rPr>
                <w:b/>
                <w:noProof/>
              </w:rPr>
            </w:pPr>
            <w:r>
              <w:rPr>
                <w:rStyle w:val="None"/>
                <w:noProof/>
                <w:u w:val="single"/>
              </w:rPr>
              <w:t xml:space="preserve">Opcijom </w:t>
            </w:r>
            <w:r>
              <w:rPr>
                <w:rStyle w:val="None"/>
                <w:noProof/>
                <w:highlight w:val="lightGray"/>
                <w:u w:val="single"/>
              </w:rPr>
              <w:t>A</w:t>
            </w:r>
            <w:r>
              <w:rPr>
                <w:rStyle w:val="None"/>
                <w:noProof/>
                <w:highlight w:val="lightGray"/>
              </w:rPr>
              <w:t xml:space="preserve"> povećava se fleksibilnost nekih propisa o audiovizualnim komercijalnim komunikacijama.</w:t>
            </w:r>
          </w:p>
        </w:tc>
      </w:tr>
      <w:tr>
        <w:tc>
          <w:tcPr>
            <w:tcW w:w="9889" w:type="dxa"/>
            <w:tcBorders>
              <w:right w:val="single" w:sz="4" w:space="0" w:color="auto"/>
            </w:tcBorders>
            <w:shd w:val="clear" w:color="auto" w:fill="F2F2F2" w:themeFill="background1" w:themeFillShade="F2"/>
            <w:vAlign w:val="center"/>
          </w:tcPr>
          <w:p>
            <w:pPr>
              <w:rPr>
                <w:b/>
                <w:noProof/>
              </w:rPr>
            </w:pPr>
            <w:r>
              <w:rPr>
                <w:b/>
                <w:noProof/>
              </w:rPr>
              <w:t>Koji su različiti dionici? Tko podržava koju opciju?</w:t>
            </w:r>
          </w:p>
        </w:tc>
      </w:tr>
      <w:tr>
        <w:tc>
          <w:tcPr>
            <w:tcW w:w="9889" w:type="dxa"/>
            <w:tcBorders>
              <w:right w:val="single" w:sz="4" w:space="0" w:color="auto"/>
            </w:tcBorders>
            <w:shd w:val="clear" w:color="auto" w:fill="auto"/>
            <w:vAlign w:val="center"/>
          </w:tcPr>
          <w:p>
            <w:pPr>
              <w:jc w:val="both"/>
              <w:rPr>
                <w:rFonts w:eastAsia="Times New Roman"/>
                <w:bCs/>
                <w:noProof/>
                <w:color w:val="000000"/>
              </w:rPr>
            </w:pPr>
            <w:r>
              <w:rPr>
                <w:noProof/>
                <w:color w:val="000000"/>
              </w:rPr>
              <w:t xml:space="preserve">Moguće promjene u Direktivi o audiovizualnim medijskim uslugama najviše utječu na sljedeće dionike: nacionalne regulatore, javne televizijske kuće, usluge na zahtjev (usluga </w:t>
            </w:r>
            <w:r>
              <w:rPr>
                <w:i/>
                <w:noProof/>
                <w:color w:val="000000"/>
              </w:rPr>
              <w:t>Catch- up TV</w:t>
            </w:r>
            <w:r>
              <w:rPr>
                <w:noProof/>
                <w:color w:val="000000"/>
              </w:rPr>
              <w:t xml:space="preserve"> , usluge gledanja na zahtjev, vijesti/portali), platforme za razmjenjivanje videozapisa (trenutačno nisu obuhvaćene područjem primjene Direktive o audiovizualnim medijskim uslugama), samoregulacijske organizacije, potrošače, uključujući maloljetnike, oglašivače i agencije za oglašavanje (posebno u pogledu komercijalnih komunikacija) i proizvođače i distributere neovisnog sadržaja (posebno u odnosu na promicanje europskih djela).</w:t>
            </w:r>
          </w:p>
          <w:p>
            <w:pPr>
              <w:spacing w:after="120"/>
              <w:jc w:val="both"/>
              <w:rPr>
                <w:noProof/>
              </w:rPr>
            </w:pPr>
            <w:r>
              <w:rPr>
                <w:noProof/>
              </w:rPr>
              <w:t>Glavni elementi koji su uočeni u svim kategorijama dionika u pogledu budućih mogućnosti politika sljedeći su:</w:t>
            </w:r>
          </w:p>
          <w:p>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noProof/>
              </w:rPr>
              <w:t>približavanje stajališta dionika u pogledu potrebe za mogućim promjenama propisima o području primjene Direktive, iako ne postoji zajednički uzorak ili jasna stajališta među dionicima u vezi s time kako dalje te u pogledu neovisnosti nacoinalnih regulatora,</w:t>
            </w:r>
          </w:p>
          <w:p>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jc w:val="both"/>
              <w:rPr>
                <w:noProof/>
              </w:rPr>
            </w:pPr>
            <w:r>
              <w:rPr>
                <w:noProof/>
              </w:rPr>
              <w:t xml:space="preserve">potpora dionika za zadržavanje </w:t>
            </w:r>
            <w:r>
              <w:rPr>
                <w:i/>
                <w:noProof/>
              </w:rPr>
              <w:t>statusa quo</w:t>
            </w:r>
            <w:r>
              <w:rPr>
                <w:noProof/>
              </w:rPr>
              <w:t xml:space="preserve"> u pogledu načela države podrijetla; prenosivost / mogućnost pronalaženja; pristupačnost za osobe s invaliditetom; glavni događaji u društvu, kratke vijesti i pravo odgovora,</w:t>
            </w:r>
          </w:p>
          <w:p>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b/>
                <w:i/>
                <w:noProof/>
              </w:rPr>
            </w:pPr>
            <w:r>
              <w:rPr>
                <w:noProof/>
              </w:rPr>
              <w:t>ne postoji jasan dogovor među dionicima o komercijalnim komunikacijama, zaštiti maloljetnika i promidžbi europskih djela.</w:t>
            </w:r>
          </w:p>
        </w:tc>
      </w:tr>
      <w:tr>
        <w:trPr>
          <w:trHeight w:val="338"/>
        </w:trPr>
        <w:tc>
          <w:tcPr>
            <w:tcW w:w="9889" w:type="dxa"/>
            <w:tcBorders>
              <w:right w:val="single" w:sz="4" w:space="0" w:color="auto"/>
            </w:tcBorders>
            <w:shd w:val="clear" w:color="auto" w:fill="0000FF"/>
            <w:vAlign w:val="center"/>
          </w:tcPr>
          <w:p>
            <w:pPr>
              <w:jc w:val="center"/>
              <w:rPr>
                <w:b/>
                <w:noProof/>
              </w:rPr>
            </w:pPr>
            <w:r>
              <w:rPr>
                <w:b/>
                <w:noProof/>
              </w:rPr>
              <w:t>C. Učinci opcije kojoj se daje prednost</w:t>
            </w:r>
          </w:p>
        </w:tc>
      </w:tr>
      <w:tr>
        <w:tc>
          <w:tcPr>
            <w:tcW w:w="9889" w:type="dxa"/>
            <w:tcBorders>
              <w:right w:val="single" w:sz="4" w:space="0" w:color="auto"/>
            </w:tcBorders>
            <w:shd w:val="clear" w:color="auto" w:fill="E6E6E6"/>
            <w:vAlign w:val="center"/>
          </w:tcPr>
          <w:p>
            <w:pPr>
              <w:rPr>
                <w:b/>
                <w:noProof/>
              </w:rPr>
            </w:pPr>
            <w:r>
              <w:rPr>
                <w:b/>
                <w:noProof/>
              </w:rPr>
              <w:t xml:space="preserve">Koje su koristi opcije kojoj se daje prednost (uz one glavne)? </w:t>
            </w:r>
          </w:p>
        </w:tc>
      </w:tr>
      <w:tr>
        <w:tc>
          <w:tcPr>
            <w:tcW w:w="9889" w:type="dxa"/>
            <w:tcBorders>
              <w:right w:val="single" w:sz="4" w:space="0" w:color="auto"/>
            </w:tcBorders>
            <w:shd w:val="clear" w:color="auto" w:fill="auto"/>
            <w:vAlign w:val="center"/>
          </w:tcPr>
          <w:p>
            <w:pPr>
              <w:jc w:val="both"/>
              <w:rPr>
                <w:noProof/>
              </w:rPr>
            </w:pPr>
            <w:r>
              <w:rPr>
                <w:noProof/>
              </w:rPr>
              <w:t>Opcija kojoj se daje prednost kombinacija je istaknutih opcija u odjeljku B. Glavne su koristi sljedeće:</w:t>
            </w:r>
          </w:p>
          <w:p>
            <w:pPr>
              <w:numPr>
                <w:ilvl w:val="0"/>
                <w:numId w:val="13"/>
              </w:numPr>
              <w:jc w:val="both"/>
              <w:rPr>
                <w:noProof/>
              </w:rPr>
            </w:pPr>
            <w:r>
              <w:rPr>
                <w:noProof/>
              </w:rPr>
              <w:t>jačanje zaštite maloljetnika, među ostalim utvrđivanjem obveze za zaštitu od sadržaja koji je šteta na maloljetnike i govora mržnje na platformama za razmjenjivanje videozapisa,</w:t>
            </w:r>
          </w:p>
          <w:p>
            <w:pPr>
              <w:numPr>
                <w:ilvl w:val="0"/>
                <w:numId w:val="13"/>
              </w:numPr>
              <w:jc w:val="both"/>
              <w:rPr>
                <w:noProof/>
              </w:rPr>
            </w:pPr>
            <w:r>
              <w:rPr>
                <w:noProof/>
              </w:rPr>
              <w:t>osiguravanje doprinosa medijskih usluga kulturnoj različitosti prilagođenog različitim poslovnim modelima,</w:t>
            </w:r>
          </w:p>
          <w:p>
            <w:pPr>
              <w:numPr>
                <w:ilvl w:val="0"/>
                <w:numId w:val="13"/>
              </w:numPr>
              <w:jc w:val="both"/>
              <w:rPr>
                <w:noProof/>
              </w:rPr>
            </w:pPr>
            <w:r>
              <w:rPr>
                <w:noProof/>
              </w:rPr>
              <w:t>rješavanje problema nepostojanja poštenog postupanja između televizijskog emitiranja i usluga na zahtjev uključujući u područjima zaštite maloljetnika, promicanja europskih djela i komercijalnih komunikacija,</w:t>
            </w:r>
          </w:p>
          <w:p>
            <w:pPr>
              <w:numPr>
                <w:ilvl w:val="0"/>
                <w:numId w:val="13"/>
              </w:numPr>
              <w:jc w:val="both"/>
              <w:rPr>
                <w:noProof/>
              </w:rPr>
            </w:pPr>
            <w:r>
              <w:rPr>
                <w:noProof/>
              </w:rPr>
              <w:t>očuvanje određene fleksibilnosti u pogledu načina na koji će države članice provoditi Direktivu o audiovizualnim medijskim uslugama i omogućiti razmatranja supsidijarnosti i nacionalne posebnosti.</w:t>
            </w:r>
          </w:p>
          <w:p>
            <w:pPr>
              <w:numPr>
                <w:ilvl w:val="0"/>
                <w:numId w:val="13"/>
              </w:numPr>
              <w:jc w:val="both"/>
              <w:rPr>
                <w:noProof/>
              </w:rPr>
            </w:pPr>
            <w:r>
              <w:rPr>
                <w:noProof/>
              </w:rPr>
              <w:t>Poboljšanje provedbe Direktive.</w:t>
            </w:r>
          </w:p>
        </w:tc>
      </w:tr>
      <w:tr>
        <w:tc>
          <w:tcPr>
            <w:tcW w:w="9889" w:type="dxa"/>
            <w:tcBorders>
              <w:right w:val="single" w:sz="4" w:space="0" w:color="auto"/>
            </w:tcBorders>
            <w:shd w:val="clear" w:color="auto" w:fill="E6E6E6"/>
            <w:vAlign w:val="center"/>
          </w:tcPr>
          <w:p>
            <w:pPr>
              <w:rPr>
                <w:b/>
                <w:noProof/>
              </w:rPr>
            </w:pPr>
            <w:r>
              <w:rPr>
                <w:b/>
                <w:noProof/>
              </w:rPr>
              <w:t>Koliki su troškovi opcije kojoj se daje prednost (uz one glavne)?</w:t>
            </w:r>
          </w:p>
        </w:tc>
      </w:tr>
      <w:tr>
        <w:tc>
          <w:tcPr>
            <w:tcW w:w="9889" w:type="dxa"/>
            <w:tcBorders>
              <w:right w:val="single" w:sz="4" w:space="0" w:color="auto"/>
            </w:tcBorders>
            <w:shd w:val="clear" w:color="auto" w:fill="auto"/>
            <w:vAlign w:val="center"/>
          </w:tcPr>
          <w:p>
            <w:pPr>
              <w:jc w:val="both"/>
              <w:rPr>
                <w:b/>
                <w:i/>
                <w:noProof/>
              </w:rPr>
            </w:pPr>
            <w:r>
              <w:rPr>
                <w:noProof/>
              </w:rPr>
              <w:t>Glavne troškove opcije kojoj se daje prednost snosit će usluge na zahtjev i platforme za razmjenjivanje videozapisa. Oni bi se uglavnom odnosili na provedbu odredaba namijenjenih za jačanje zaštite potrošača. Međutim, ti bi troškovi bili umanjeni jer su neke države članice već uspostavile strože propise, a velike platforme za razmjenjivanje videozapisa, u skladu s njihovim korporativnim politikama, već su dobrovoljno poduzele korake za zaštitu potrošača.</w:t>
            </w:r>
          </w:p>
        </w:tc>
      </w:tr>
      <w:tr>
        <w:tc>
          <w:tcPr>
            <w:tcW w:w="9889" w:type="dxa"/>
            <w:tcBorders>
              <w:right w:val="single" w:sz="4" w:space="0" w:color="auto"/>
            </w:tcBorders>
            <w:shd w:val="clear" w:color="auto" w:fill="E6E6E6"/>
            <w:vAlign w:val="center"/>
          </w:tcPr>
          <w:p>
            <w:pPr>
              <w:rPr>
                <w:b/>
                <w:noProof/>
              </w:rPr>
            </w:pPr>
            <w:r>
              <w:rPr>
                <w:b/>
                <w:noProof/>
              </w:rPr>
              <w:t>Hoće li to znatno utjecati na nacionalne proračune i uprave?</w:t>
            </w:r>
          </w:p>
        </w:tc>
      </w:tr>
      <w:tr>
        <w:tc>
          <w:tcPr>
            <w:tcW w:w="9889" w:type="dxa"/>
            <w:tcBorders>
              <w:right w:val="single" w:sz="4" w:space="0" w:color="auto"/>
            </w:tcBorders>
            <w:shd w:val="clear" w:color="auto" w:fill="auto"/>
            <w:vAlign w:val="center"/>
          </w:tcPr>
          <w:p>
            <w:pPr>
              <w:jc w:val="both"/>
              <w:rPr>
                <w:b/>
                <w:i/>
                <w:noProof/>
              </w:rPr>
            </w:pPr>
            <w:r>
              <w:rPr>
                <w:noProof/>
              </w:rPr>
              <w:t>Glavni učinci na nacionalne proračune i uprave proizlazili bi iz provedbe zajedničke regulacije za zaštitu maloljetnika na platformama za razmjenjivanje videozapisa i iz uvođenja pravnog zahtjeva neovisnosti nacionalnih regulatornih tijela i minimalnog skupa značajki koje moraju zadovoljiti regulatori. U potonjem će slučaju učinci ovisiti o postojećoj razini usklađenosti nacionalnih regulatornih tijela sa skupom značajki.</w:t>
            </w:r>
          </w:p>
        </w:tc>
      </w:tr>
      <w:tr>
        <w:tc>
          <w:tcPr>
            <w:tcW w:w="9889" w:type="dxa"/>
            <w:tcBorders>
              <w:right w:val="single" w:sz="4" w:space="0" w:color="auto"/>
            </w:tcBorders>
            <w:shd w:val="clear" w:color="auto" w:fill="E6E6E6"/>
            <w:vAlign w:val="center"/>
          </w:tcPr>
          <w:p>
            <w:pPr>
              <w:rPr>
                <w:b/>
                <w:noProof/>
              </w:rPr>
            </w:pPr>
            <w:r>
              <w:rPr>
                <w:b/>
                <w:noProof/>
              </w:rPr>
              <w:t>Hoće li biti drugih bitnih učinaka?</w:t>
            </w:r>
          </w:p>
        </w:tc>
      </w:tr>
      <w:tr>
        <w:tc>
          <w:tcPr>
            <w:tcW w:w="9889" w:type="dxa"/>
            <w:tcBorders>
              <w:right w:val="single" w:sz="4" w:space="0" w:color="auto"/>
            </w:tcBorders>
            <w:shd w:val="clear" w:color="auto" w:fill="auto"/>
            <w:vAlign w:val="center"/>
          </w:tcPr>
          <w:p>
            <w:pPr>
              <w:rPr>
                <w:b/>
                <w:noProof/>
              </w:rPr>
            </w:pPr>
            <w:r>
              <w:rPr>
                <w:b/>
                <w:noProof/>
              </w:rPr>
              <w:t>Ne</w:t>
            </w:r>
          </w:p>
        </w:tc>
      </w:tr>
      <w:tr>
        <w:tc>
          <w:tcPr>
            <w:tcW w:w="9889" w:type="dxa"/>
            <w:tcBorders>
              <w:right w:val="single" w:sz="4" w:space="0" w:color="auto"/>
            </w:tcBorders>
            <w:shd w:val="clear" w:color="auto" w:fill="F2F2F2" w:themeFill="background1" w:themeFillShade="F2"/>
            <w:vAlign w:val="center"/>
          </w:tcPr>
          <w:p>
            <w:pPr>
              <w:rPr>
                <w:b/>
                <w:noProof/>
              </w:rPr>
            </w:pPr>
            <w:r>
              <w:rPr>
                <w:b/>
                <w:noProof/>
              </w:rPr>
              <w:t>Proporcionalnost?</w:t>
            </w:r>
          </w:p>
        </w:tc>
      </w:tr>
      <w:tr>
        <w:tc>
          <w:tcPr>
            <w:tcW w:w="9889" w:type="dxa"/>
            <w:tcBorders>
              <w:right w:val="single" w:sz="4" w:space="0" w:color="auto"/>
            </w:tcBorders>
            <w:shd w:val="clear" w:color="auto" w:fill="auto"/>
            <w:vAlign w:val="center"/>
          </w:tcPr>
          <w:p>
            <w:pPr>
              <w:rPr>
                <w:noProof/>
              </w:rPr>
            </w:pPr>
            <w:r>
              <w:rPr>
                <w:noProof/>
              </w:rPr>
              <w:t>Obilježjem minimalnog usklađivanja u Direktivi osigurat će se proporcionalnost djelovanja EU-a.</w:t>
            </w:r>
          </w:p>
        </w:tc>
      </w:tr>
      <w:tr>
        <w:trPr>
          <w:trHeight w:val="338"/>
        </w:trPr>
        <w:tc>
          <w:tcPr>
            <w:tcW w:w="9889" w:type="dxa"/>
            <w:tcBorders>
              <w:right w:val="single" w:sz="4" w:space="0" w:color="auto"/>
            </w:tcBorders>
            <w:shd w:val="clear" w:color="auto" w:fill="0000FF"/>
            <w:vAlign w:val="center"/>
          </w:tcPr>
          <w:p>
            <w:pPr>
              <w:jc w:val="center"/>
              <w:rPr>
                <w:b/>
                <w:noProof/>
              </w:rPr>
            </w:pPr>
            <w:r>
              <w:rPr>
                <w:b/>
                <w:noProof/>
              </w:rPr>
              <w:t>D. Daljnje mjere</w:t>
            </w:r>
          </w:p>
        </w:tc>
      </w:tr>
      <w:tr>
        <w:tc>
          <w:tcPr>
            <w:tcW w:w="9889" w:type="dxa"/>
            <w:tcBorders>
              <w:right w:val="single" w:sz="4" w:space="0" w:color="auto"/>
            </w:tcBorders>
            <w:shd w:val="clear" w:color="auto" w:fill="E6E6E6"/>
            <w:vAlign w:val="center"/>
          </w:tcPr>
          <w:p>
            <w:pPr>
              <w:rPr>
                <w:b/>
                <w:noProof/>
              </w:rPr>
            </w:pPr>
            <w:r>
              <w:rPr>
                <w:b/>
                <w:noProof/>
              </w:rPr>
              <w:t>Kad će se politika preispitati?</w:t>
            </w:r>
          </w:p>
        </w:tc>
      </w:tr>
      <w:tr>
        <w:tc>
          <w:tcPr>
            <w:tcW w:w="9889" w:type="dxa"/>
            <w:tcBorders>
              <w:right w:val="single" w:sz="4" w:space="0" w:color="auto"/>
            </w:tcBorders>
            <w:shd w:val="clear" w:color="auto" w:fill="auto"/>
            <w:vAlign w:val="center"/>
          </w:tcPr>
          <w:p>
            <w:pPr>
              <w:jc w:val="both"/>
              <w:rPr>
                <w:noProof/>
              </w:rPr>
            </w:pPr>
            <w:r>
              <w:rPr>
                <w:noProof/>
              </w:rPr>
              <w:t>Trajno praćenje osigurat će izvješćivanjem Komisije koje obavljaju države članice, a koja potom izvješćuje Europski parlament, Vijeće i Europski gospodarski i socijalni odbor.</w:t>
            </w:r>
          </w:p>
        </w:tc>
      </w:tr>
    </w:tbl>
    <w:p>
      <w:pPr>
        <w:jc w:val="cente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D6"/>
    <w:multiLevelType w:val="hybridMultilevel"/>
    <w:tmpl w:val="B4EC6802"/>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0CCF"/>
    <w:multiLevelType w:val="hybridMultilevel"/>
    <w:tmpl w:val="5AF8765A"/>
    <w:lvl w:ilvl="0" w:tplc="0B063B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E4226"/>
    <w:multiLevelType w:val="hybridMultilevel"/>
    <w:tmpl w:val="D680A046"/>
    <w:lvl w:ilvl="0" w:tplc="4412C5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73241"/>
    <w:multiLevelType w:val="hybridMultilevel"/>
    <w:tmpl w:val="3C304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11969"/>
    <w:multiLevelType w:val="hybridMultilevel"/>
    <w:tmpl w:val="5AF8765A"/>
    <w:lvl w:ilvl="0" w:tplc="0B063B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94ACC"/>
    <w:multiLevelType w:val="hybridMultilevel"/>
    <w:tmpl w:val="6F72F900"/>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23C0F"/>
    <w:multiLevelType w:val="hybridMultilevel"/>
    <w:tmpl w:val="7A64AF26"/>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F3B3C"/>
    <w:multiLevelType w:val="hybridMultilevel"/>
    <w:tmpl w:val="6A8A8CB0"/>
    <w:lvl w:ilvl="0" w:tplc="CB5864D6">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2D16975"/>
    <w:multiLevelType w:val="hybridMultilevel"/>
    <w:tmpl w:val="00E81232"/>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94A5D"/>
    <w:multiLevelType w:val="multilevel"/>
    <w:tmpl w:val="259A0B20"/>
    <w:styleLink w:val="List0"/>
    <w:lvl w:ilvl="0">
      <w:start w:val="1"/>
      <w:numFmt w:val="decimal"/>
      <w:lvlText w:val="%1."/>
      <w:lvlJc w:val="left"/>
      <w:pPr>
        <w:tabs>
          <w:tab w:val="num" w:pos="360"/>
        </w:tabs>
        <w:ind w:left="360" w:hanging="36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54672B2F"/>
    <w:multiLevelType w:val="hybridMultilevel"/>
    <w:tmpl w:val="CE96FC44"/>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50AE3"/>
    <w:multiLevelType w:val="multilevel"/>
    <w:tmpl w:val="A33A5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8C132BC"/>
    <w:multiLevelType w:val="hybridMultilevel"/>
    <w:tmpl w:val="44665F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3863789"/>
    <w:multiLevelType w:val="multilevel"/>
    <w:tmpl w:val="A57E5CD4"/>
    <w:lvl w:ilvl="0">
      <w:numFmt w:val="bullet"/>
      <w:lvlText w:val="-"/>
      <w:lvlJc w:val="left"/>
      <w:pPr>
        <w:tabs>
          <w:tab w:val="num" w:pos="360"/>
        </w:tabs>
        <w:ind w:left="360" w:hanging="360"/>
      </w:pPr>
      <w:rPr>
        <w:rFonts w:ascii="Calibri" w:eastAsiaTheme="minorHAnsi" w:hAnsi="Calibri"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8702F7B"/>
    <w:multiLevelType w:val="hybridMultilevel"/>
    <w:tmpl w:val="9D066F42"/>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6"/>
  </w:num>
  <w:num w:numId="6">
    <w:abstractNumId w:val="1"/>
  </w:num>
  <w:num w:numId="7">
    <w:abstractNumId w:val="3"/>
  </w:num>
  <w:num w:numId="8">
    <w:abstractNumId w:val="2"/>
  </w:num>
  <w:num w:numId="9">
    <w:abstractNumId w:val="4"/>
  </w:num>
  <w:num w:numId="10">
    <w:abstractNumId w:val="14"/>
  </w:num>
  <w:num w:numId="11">
    <w:abstractNumId w:val="10"/>
  </w:num>
  <w:num w:numId="12">
    <w:abstractNumId w:val="11"/>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rilo\u382?en dokumentu"/>
    <w:docVar w:name="LW_CONFIDENCE" w:val=" "/>
    <w:docVar w:name="LW_CONST_RESTREINT_UE" w:val="RESTREINT UE"/>
    <w:docVar w:name="LW_CORRIGENDUM" w:val="&lt;UNUSED&gt;"/>
    <w:docVar w:name="LW_COVERPAGE_GUID" w:val="27E6AD7EA5854F608F86BC8FAABE2378"/>
    <w:docVar w:name="LW_CROSSREFERENCE" w:val="{COM(2016) 287 final}_x000b_{SWD(2016) 168 final}_x000b_{SWD(2016) 170 final}_x000b_{SWD(2016) 171 final}"/>
    <w:docVar w:name="LW_DocType" w:val="NORMAL"/>
    <w:docVar w:name="LW_EMISSION" w:val="25.5.2016."/>
    <w:docVar w:name="LW_EMISSION_ISODATE" w:val="2016-05-25"/>
    <w:docVar w:name="LW_EMISSION_LOCATION" w:val="BRX"/>
    <w:docVar w:name="LW_EMISSION_PREFIX" w:val="Bruxelles, "/>
    <w:docVar w:name="LW_EMISSION_SUFFIX" w:val="&lt;EMPTY&gt;"/>
    <w:docVar w:name="LW_ID_DOCTYPE_NONLW" w:val="CP-027"/>
    <w:docVar w:name="LW_LANGUE" w:val="HR"/>
    <w:docVar w:name="LW_MARKING" w:val="&lt;UNUSED&gt;"/>
    <w:docVar w:name="LW_NOM.INST" w:val="EUROPSKA KOMISIJA"/>
    <w:docVar w:name="LW_NOM.INST_JOINTDOC" w:val="&lt;EMPTY&gt;"/>
    <w:docVar w:name="LW_OBJETACTEPRINCIPAL.CP" w:val="o izmjeni Direktive 2010/13/EU o koordinaciji odre\u273?enih odredaba utvr\u273?enih zakonima i drugim propisima u dr\u382?avama \u269?lanicama o pru\u382?anju audiovizualnih medijskih usluga u pogledu promjenjivog stanja na tr\u382?i\u353?tu"/>
    <w:docVar w:name="LW_PART_NBR" w:val="1"/>
    <w:docVar w:name="LW_PART_NBR_TOTAL" w:val="1"/>
    <w:docVar w:name="LW_REF.INST.NEW" w:val="SWD"/>
    <w:docVar w:name="LW_REF.INST.NEW_ADOPTED" w:val="final"/>
    <w:docVar w:name="LW_REF.INST.NEW_TEXT" w:val="(2016) 169"/>
    <w:docVar w:name="LW_REF.INTERNE" w:val="&lt;UNUSED&gt;"/>
    <w:docVar w:name="LW_SUPERTITRE" w:val="&lt;UNUSED&gt;"/>
    <w:docVar w:name="LW_TITRE.OBJ.CP" w:val="&lt;UNUSED&gt;"/>
    <w:docVar w:name="LW_TYPE.DOC.CP" w:val="RADNI DOKUMENT SLU\u381?BI KOMISIJE_x000b__x000b_SA\u381?ETAK PROCJENE U\u268?INKA_x000b_"/>
    <w:docVar w:name="LW_TYPEACTEPRINCIPAL.CP" w:val=" PRIJEDLOG DIREKTIV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next w:val="ZDGName"/>
    <w:uiPriority w:val="99"/>
    <w:pPr>
      <w:widowControl w:val="0"/>
      <w:pBdr>
        <w:top w:val="nil"/>
        <w:left w:val="nil"/>
        <w:bottom w:val="nil"/>
        <w:right w:val="nil"/>
        <w:between w:val="nil"/>
        <w:bar w:val="nil"/>
      </w:pBdr>
      <w:spacing w:after="0" w:line="240" w:lineRule="auto"/>
      <w:ind w:right="85"/>
      <w:jc w:val="both"/>
    </w:pPr>
    <w:rPr>
      <w:rFonts w:ascii="Arial" w:eastAsia="Arial Unicode MS" w:hAnsi="Arial Unicode MS" w:cs="Arial Unicode MS"/>
      <w:color w:val="000000"/>
      <w:sz w:val="24"/>
      <w:szCs w:val="24"/>
      <w:u w:color="000000"/>
      <w:bdr w:val="nil"/>
    </w:rPr>
  </w:style>
  <w:style w:type="paragraph" w:customStyle="1" w:styleId="ZDGName">
    <w:name w:val="Z_DGName"/>
    <w:uiPriority w:val="99"/>
    <w:pPr>
      <w:widowControl w:val="0"/>
      <w:pBdr>
        <w:top w:val="nil"/>
        <w:left w:val="nil"/>
        <w:bottom w:val="nil"/>
        <w:right w:val="nil"/>
        <w:between w:val="nil"/>
        <w:bar w:val="nil"/>
      </w:pBdr>
      <w:spacing w:after="0" w:line="240" w:lineRule="auto"/>
      <w:ind w:right="85"/>
    </w:pPr>
    <w:rPr>
      <w:rFonts w:ascii="Arial" w:eastAsia="Arial Unicode MS" w:hAnsi="Arial Unicode MS" w:cs="Arial Unicode MS"/>
      <w:color w:val="000000"/>
      <w:sz w:val="16"/>
      <w:szCs w:val="16"/>
      <w:u w:color="000000"/>
      <w:bdr w:val="n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hr-HR"/>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color w:val="000000"/>
      <w:sz w:val="20"/>
      <w:szCs w:val="20"/>
      <w:u w:color="000000"/>
      <w:bdr w:val="nil"/>
      <w:lang w:val="hr-HR" w:eastAsia="hr-HR"/>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ReferenceCharCarCharCharCarCharCarCharCarCharCarCharCharCarCarCharCharCharCharCharCarCharCarCharCharCarCharCar"/>
    <w:uiPriority w:val="99"/>
    <w:unhideWhenUsed/>
    <w:qFormat/>
    <w:rPr>
      <w:vertAlign w:val="superscript"/>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Calibri" w:eastAsia="Calibri" w:hAnsi="Calibri" w:cs="Calibri"/>
      <w:color w:val="000000"/>
      <w:u w:color="000000"/>
      <w:bdr w:val="nil"/>
      <w:lang w:val="hr-HR" w:eastAsia="hr-HR"/>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lang w:val="hr-HR"/>
    </w:rPr>
  </w:style>
  <w:style w:type="paragraph" w:styleId="TOCHeading">
    <w:name w:val="TOC Heading"/>
    <w:next w:val="Normal"/>
    <w:uiPriority w:val="39"/>
    <w:qFormat/>
    <w:pPr>
      <w:keepNext/>
      <w:pBdr>
        <w:top w:val="nil"/>
        <w:left w:val="nil"/>
        <w:bottom w:val="nil"/>
        <w:right w:val="nil"/>
        <w:between w:val="nil"/>
        <w:bar w:val="nil"/>
      </w:pBdr>
      <w:spacing w:before="240" w:after="240" w:line="240" w:lineRule="auto"/>
      <w:jc w:val="center"/>
    </w:pPr>
    <w:rPr>
      <w:rFonts w:ascii="Times New Roman" w:eastAsia="Arial Unicode MS" w:hAnsi="Arial Unicode MS" w:cs="Arial Unicode MS"/>
      <w:b/>
      <w:bCs/>
      <w:color w:val="000000"/>
      <w:sz w:val="24"/>
      <w:szCs w:val="24"/>
      <w:u w:color="000000"/>
      <w:bdr w:val="nil"/>
    </w:rPr>
  </w:style>
  <w:style w:type="numbering" w:customStyle="1" w:styleId="List0">
    <w:name w:val="List 0"/>
    <w:basedOn w:val="NoList"/>
    <w:pPr>
      <w:numPr>
        <w:numId w:val="14"/>
      </w:numPr>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None">
    <w:name w:val="Non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hr-H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hr-H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Arial Unicode MS" w:hAnsi="Times New Roman" w:cs="Times New Roman"/>
      <w:sz w:val="24"/>
      <w:szCs w:val="24"/>
      <w:bdr w:val="nil"/>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Arial Unicode MS" w:hAnsi="Times New Roman" w:cs="Times New Roman"/>
      <w:sz w:val="24"/>
      <w:szCs w:val="24"/>
      <w:bdr w:val="nil"/>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next w:val="ZDGName"/>
    <w:uiPriority w:val="99"/>
    <w:pPr>
      <w:widowControl w:val="0"/>
      <w:pBdr>
        <w:top w:val="nil"/>
        <w:left w:val="nil"/>
        <w:bottom w:val="nil"/>
        <w:right w:val="nil"/>
        <w:between w:val="nil"/>
        <w:bar w:val="nil"/>
      </w:pBdr>
      <w:spacing w:after="0" w:line="240" w:lineRule="auto"/>
      <w:ind w:right="85"/>
      <w:jc w:val="both"/>
    </w:pPr>
    <w:rPr>
      <w:rFonts w:ascii="Arial" w:eastAsia="Arial Unicode MS" w:hAnsi="Arial Unicode MS" w:cs="Arial Unicode MS"/>
      <w:color w:val="000000"/>
      <w:sz w:val="24"/>
      <w:szCs w:val="24"/>
      <w:u w:color="000000"/>
      <w:bdr w:val="nil"/>
    </w:rPr>
  </w:style>
  <w:style w:type="paragraph" w:customStyle="1" w:styleId="ZDGName">
    <w:name w:val="Z_DGName"/>
    <w:uiPriority w:val="99"/>
    <w:pPr>
      <w:widowControl w:val="0"/>
      <w:pBdr>
        <w:top w:val="nil"/>
        <w:left w:val="nil"/>
        <w:bottom w:val="nil"/>
        <w:right w:val="nil"/>
        <w:between w:val="nil"/>
        <w:bar w:val="nil"/>
      </w:pBdr>
      <w:spacing w:after="0" w:line="240" w:lineRule="auto"/>
      <w:ind w:right="85"/>
    </w:pPr>
    <w:rPr>
      <w:rFonts w:ascii="Arial" w:eastAsia="Arial Unicode MS" w:hAnsi="Arial Unicode MS" w:cs="Arial Unicode MS"/>
      <w:color w:val="000000"/>
      <w:sz w:val="16"/>
      <w:szCs w:val="16"/>
      <w:u w:color="000000"/>
      <w:bdr w:val="n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hr-HR"/>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color w:val="000000"/>
      <w:sz w:val="20"/>
      <w:szCs w:val="20"/>
      <w:u w:color="000000"/>
      <w:bdr w:val="nil"/>
      <w:lang w:val="hr-HR" w:eastAsia="hr-HR"/>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ReferenceCharCarCharCharCarCharCarCharCarCharCarCharCharCarCarCharCharCharCharCharCarCharCarCharCharCarCharCar"/>
    <w:uiPriority w:val="99"/>
    <w:unhideWhenUsed/>
    <w:qFormat/>
    <w:rPr>
      <w:vertAlign w:val="superscript"/>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Calibri" w:eastAsia="Calibri" w:hAnsi="Calibri" w:cs="Calibri"/>
      <w:color w:val="000000"/>
      <w:u w:color="000000"/>
      <w:bdr w:val="nil"/>
      <w:lang w:val="hr-HR" w:eastAsia="hr-HR"/>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lang w:val="hr-HR"/>
    </w:rPr>
  </w:style>
  <w:style w:type="paragraph" w:styleId="TOCHeading">
    <w:name w:val="TOC Heading"/>
    <w:next w:val="Normal"/>
    <w:uiPriority w:val="39"/>
    <w:qFormat/>
    <w:pPr>
      <w:keepNext/>
      <w:pBdr>
        <w:top w:val="nil"/>
        <w:left w:val="nil"/>
        <w:bottom w:val="nil"/>
        <w:right w:val="nil"/>
        <w:between w:val="nil"/>
        <w:bar w:val="nil"/>
      </w:pBdr>
      <w:spacing w:before="240" w:after="240" w:line="240" w:lineRule="auto"/>
      <w:jc w:val="center"/>
    </w:pPr>
    <w:rPr>
      <w:rFonts w:ascii="Times New Roman" w:eastAsia="Arial Unicode MS" w:hAnsi="Arial Unicode MS" w:cs="Arial Unicode MS"/>
      <w:b/>
      <w:bCs/>
      <w:color w:val="000000"/>
      <w:sz w:val="24"/>
      <w:szCs w:val="24"/>
      <w:u w:color="000000"/>
      <w:bdr w:val="nil"/>
    </w:rPr>
  </w:style>
  <w:style w:type="numbering" w:customStyle="1" w:styleId="List0">
    <w:name w:val="List 0"/>
    <w:basedOn w:val="NoList"/>
    <w:pPr>
      <w:numPr>
        <w:numId w:val="14"/>
      </w:numPr>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None">
    <w:name w:val="Non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hr-HR"/>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hr-HR"/>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Arial Unicode MS" w:hAnsi="Times New Roman" w:cs="Times New Roman"/>
      <w:sz w:val="24"/>
      <w:szCs w:val="24"/>
      <w:bdr w:val="nil"/>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Arial Unicode MS" w:hAnsi="Times New Roman" w:cs="Times New Roman"/>
      <w:sz w:val="24"/>
      <w:szCs w:val="24"/>
      <w:bdr w:val="nil"/>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2204">
      <w:bodyDiv w:val="1"/>
      <w:marLeft w:val="0"/>
      <w:marRight w:val="0"/>
      <w:marTop w:val="0"/>
      <w:marBottom w:val="0"/>
      <w:divBdr>
        <w:top w:val="none" w:sz="0" w:space="0" w:color="auto"/>
        <w:left w:val="none" w:sz="0" w:space="0" w:color="auto"/>
        <w:bottom w:val="none" w:sz="0" w:space="0" w:color="auto"/>
        <w:right w:val="none" w:sz="0" w:space="0" w:color="auto"/>
      </w:divBdr>
    </w:div>
    <w:div w:id="540089815">
      <w:bodyDiv w:val="1"/>
      <w:marLeft w:val="0"/>
      <w:marRight w:val="0"/>
      <w:marTop w:val="0"/>
      <w:marBottom w:val="0"/>
      <w:divBdr>
        <w:top w:val="none" w:sz="0" w:space="0" w:color="auto"/>
        <w:left w:val="none" w:sz="0" w:space="0" w:color="auto"/>
        <w:bottom w:val="none" w:sz="0" w:space="0" w:color="auto"/>
        <w:right w:val="none" w:sz="0" w:space="0" w:color="auto"/>
      </w:divBdr>
    </w:div>
    <w:div w:id="575018908">
      <w:bodyDiv w:val="1"/>
      <w:marLeft w:val="0"/>
      <w:marRight w:val="0"/>
      <w:marTop w:val="0"/>
      <w:marBottom w:val="0"/>
      <w:divBdr>
        <w:top w:val="none" w:sz="0" w:space="0" w:color="auto"/>
        <w:left w:val="none" w:sz="0" w:space="0" w:color="auto"/>
        <w:bottom w:val="none" w:sz="0" w:space="0" w:color="auto"/>
        <w:right w:val="none" w:sz="0" w:space="0" w:color="auto"/>
      </w:divBdr>
    </w:div>
    <w:div w:id="695887559">
      <w:bodyDiv w:val="1"/>
      <w:marLeft w:val="0"/>
      <w:marRight w:val="0"/>
      <w:marTop w:val="0"/>
      <w:marBottom w:val="0"/>
      <w:divBdr>
        <w:top w:val="none" w:sz="0" w:space="0" w:color="auto"/>
        <w:left w:val="none" w:sz="0" w:space="0" w:color="auto"/>
        <w:bottom w:val="none" w:sz="0" w:space="0" w:color="auto"/>
        <w:right w:val="none" w:sz="0" w:space="0" w:color="auto"/>
      </w:divBdr>
    </w:div>
    <w:div w:id="741871096">
      <w:bodyDiv w:val="1"/>
      <w:marLeft w:val="0"/>
      <w:marRight w:val="0"/>
      <w:marTop w:val="0"/>
      <w:marBottom w:val="0"/>
      <w:divBdr>
        <w:top w:val="none" w:sz="0" w:space="0" w:color="auto"/>
        <w:left w:val="none" w:sz="0" w:space="0" w:color="auto"/>
        <w:bottom w:val="none" w:sz="0" w:space="0" w:color="auto"/>
        <w:right w:val="none" w:sz="0" w:space="0" w:color="auto"/>
      </w:divBdr>
    </w:div>
    <w:div w:id="14106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1017</Words>
  <Characters>6480</Characters>
  <Application>Microsoft Office Word</Application>
  <DocSecurity>0</DocSecurity>
  <Lines>117</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dcterms:created xsi:type="dcterms:W3CDTF">2016-05-24T07:18:00Z</dcterms:created>
  <dcterms:modified xsi:type="dcterms:W3CDTF">2016-05-30T07:39:00Z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