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65714BEA3BC241A5A71C4F5BE5F26035" style="width:450.75pt;height:46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bookmarkStart w:id="1" w:name="_GoBack"/>
            <w:bookmarkEnd w:id="1"/>
            <w:r>
              <w:rPr>
                <w:b/>
                <w:noProof/>
              </w:rPr>
              <w:lastRenderedPageBreak/>
              <w:t>А. Необходимост от действия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Какъв е проблемът и какво е неговото естество?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Оценката на въздействието е извършена успоредно с последващата оценка на Директивата за аудиовизуалните медийни услуги (ДАВМУ) в рамките на Програмата за пригодност и резултатност на регулаторната рамка (REFIT). </w:t>
            </w:r>
          </w:p>
          <w:p>
            <w:pPr>
              <w:spacing w:after="120"/>
              <w:jc w:val="both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>Цялостното заключение е, че целите на ДАВМУ продължават да са валидни.</w:t>
            </w:r>
            <w:r>
              <w:rPr>
                <w:noProof/>
                <w:color w:val="000000"/>
              </w:rPr>
              <w:t xml:space="preserve"> </w:t>
            </w:r>
          </w:p>
          <w:p>
            <w:pPr>
              <w:jc w:val="both"/>
              <w:rPr>
                <w:noProof/>
              </w:rPr>
            </w:pPr>
            <w:r>
              <w:rPr>
                <w:noProof/>
              </w:rPr>
              <w:t>При оценката по REFIT бяха установени три основни групи проблеми: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недостатъчна защита на непълнолетни лица и потребители при гледане на видеоклипове чрез платформи за споделяне на видеоклипове;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липса на равнопоставеност между традиционните телевизионни услуги и услугите по заявка, както и слабости на вътрешния пазар, произтичащи от факта, че някои правила на ДАВМУ не са достатъчно точни; 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правила за търговските съобщения, които вече не съответстват на предназначението си.</w:t>
            </w:r>
          </w:p>
          <w:p>
            <w:pPr>
              <w:spacing w:after="120"/>
              <w:jc w:val="both"/>
              <w:rPr>
                <w:b/>
                <w:i/>
                <w:noProof/>
              </w:rPr>
            </w:pPr>
            <w:r>
              <w:rPr>
                <w:noProof/>
                <w:color w:val="000000"/>
              </w:rPr>
              <w:t>Оценката по REFIT стигна до заключението, че съществуват възможности за опростяване, по-специално на процедурите, подпомагащи прилагането на принципа „страна на произход“, както и на някои правила за търговските съобщения.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Какво следва да бъде постигнато?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bCs/>
                <w:noProof/>
              </w:rPr>
            </w:pPr>
            <w:r>
              <w:rPr>
                <w:noProof/>
              </w:rPr>
              <w:t>Основните цели са: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Подобряване на защитата на потребителите и непълнолетните лица. 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Гарантиране на условия на равнопоставеност, съхраняване на целостта на вътрешния пазар и засилване на правната сигурност.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Опростяване на законодателната рамка.</w:t>
            </w:r>
          </w:p>
        </w:tc>
      </w:tr>
      <w:tr>
        <w:trPr>
          <w:trHeight w:val="351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Каква е добавената стойност от предприемането на действия на равнището на ЕС?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ДАВМУ е регулаторната рамка, която е в основата на европейския единен аудиовизуален пазар. Развитието на услугите по заявка и на платформите за споделяне на видеоклипове, както и съответната промяна на зрителските модели и свързаните с това рискове е явление, което засяга всички държави членки.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jc w:val="both"/>
              <w:rPr>
                <w:b/>
                <w:i/>
                <w:noProof/>
              </w:rPr>
            </w:pPr>
            <w:r>
              <w:rPr>
                <w:noProof/>
                <w:color w:val="000000"/>
              </w:rPr>
              <w:t xml:space="preserve">Предстоящото преразглеждане на ДАВМУ се счита за съответстващо както на принципа на субсидиарност, така и на принципа на пропорционалност, като запазва подхода за хармонизация и механизмите за сътрудничество и позволява на държавите членки да вземат под внимание националните особености. </w:t>
            </w:r>
          </w:p>
        </w:tc>
      </w:tr>
      <w:tr>
        <w:trPr>
          <w:trHeight w:val="338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Б. Решения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Какви са различните варианти за постигане на целите? Има ли предпочитан вариант? Ако няма такъв, защо?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/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Вариантите са групирани според конкретния проблем, за чието преодоляване основно са предназначени. За всеки раздел предпочитаният вариант е маркиран.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Варианти за преодоляване на проблема с недостатъчната защита на непълнолетни лица и потребители в платформите за споделяне на видеоклипове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  <w:u w:val="single"/>
              </w:rPr>
              <w:t>Вариант А</w:t>
            </w:r>
            <w:r>
              <w:rPr>
                <w:noProof/>
              </w:rPr>
              <w:t xml:space="preserve"> насърчава саморегулирането с цел защита на непълнолетни лица и потребители в платформите за споделяне на видеоклипове.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  <w:highlight w:val="lightGray"/>
                <w:u w:val="single"/>
                <w:shd w:val="clear" w:color="auto" w:fill="D9D9D9" w:themeFill="background1" w:themeFillShade="D9"/>
              </w:rPr>
              <w:t>Вариант Б</w:t>
            </w:r>
            <w:r>
              <w:rPr>
                <w:noProof/>
                <w:color w:val="000000"/>
                <w:highlight w:val="lightGray"/>
                <w:shd w:val="clear" w:color="auto" w:fill="D9D9D9" w:themeFill="background1" w:themeFillShade="D9"/>
              </w:rPr>
              <w:t xml:space="preserve"> </w:t>
            </w:r>
            <w:r>
              <w:rPr>
                <w:noProof/>
                <w:color w:val="000000"/>
                <w:shd w:val="clear" w:color="auto" w:fill="D9D9D9" w:themeFill="background1" w:themeFillShade="D9"/>
              </w:rPr>
              <w:t xml:space="preserve">налага на платформите за споделяне на видеоклипове задължение за използване на определени средства с цел защита на непълнолетни лица и защита от изказвания, </w:t>
            </w:r>
            <w:r>
              <w:rPr>
                <w:noProof/>
                <w:color w:val="000000"/>
                <w:shd w:val="clear" w:color="auto" w:fill="D9D9D9" w:themeFill="background1" w:themeFillShade="D9"/>
              </w:rPr>
              <w:lastRenderedPageBreak/>
              <w:t>подбуждащи към омраза, което задължение се прилага посредством съвместно регулиране.</w:t>
            </w:r>
            <w:r>
              <w:rPr>
                <w:noProof/>
                <w:color w:val="000000"/>
              </w:rPr>
              <w:t xml:space="preserve"> 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  <w:sz w:val="12"/>
                <w:szCs w:val="12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Варианти за преодоляване на проблема с липсата на равнопоставеност и слабите места на вътрешния пазар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а) насърчаване на европейските произведения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  <w:u w:val="single"/>
              </w:rPr>
              <w:t>Вариант А</w:t>
            </w:r>
            <w:r>
              <w:rPr>
                <w:noProof/>
              </w:rPr>
              <w:t xml:space="preserve"> осигурява повече гъвкавост както за телевизионното излъчване, така и за услугите по заявка по отношение на начина, по който при тях се изпълняват задълженията за насърчаване на европейските произведения.</w:t>
            </w:r>
            <w:r>
              <w:rPr>
                <w:noProof/>
                <w:color w:val="000000"/>
              </w:rPr>
              <w:t xml:space="preserve"> 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  <w:highlight w:val="lightGray"/>
                <w:u w:val="single"/>
              </w:rPr>
              <w:t>Вариант Б</w:t>
            </w:r>
            <w:r>
              <w:rPr>
                <w:noProof/>
                <w:color w:val="000000"/>
                <w:highlight w:val="lightGray"/>
              </w:rPr>
              <w:t xml:space="preserve"> запазва статуквото при телевизионното излъчване и укрепва правилата за доставчиците на услуги по заявка</w:t>
            </w:r>
            <w:r>
              <w:rPr>
                <w:noProof/>
              </w:rPr>
              <w:t>.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б) защита на децата при услуги по заявка</w:t>
            </w:r>
          </w:p>
          <w:p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noProof/>
                <w:sz w:val="24"/>
                <w:u w:val="single"/>
                <w:shd w:val="clear" w:color="auto" w:fill="D9D9D9" w:themeFill="background1" w:themeFillShade="D9"/>
              </w:rPr>
              <w:t>Вариант А</w:t>
            </w:r>
            <w:r>
              <w:rPr>
                <w:rFonts w:ascii="Times New Roman" w:hAnsi="Times New Roman"/>
                <w:noProof/>
                <w:sz w:val="24"/>
                <w:shd w:val="clear" w:color="auto" w:fill="D9D9D9" w:themeFill="background1" w:themeFillShade="D9"/>
              </w:rPr>
              <w:t xml:space="preserve"> увеличава нивото на защита на непълнолетни лица при аудиовизуалните медийни услуги по заявка, опростява понятието за вредно съдържание и насърчава съвместното регулиране в ЕС на дескрипторите на съдържание.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в) принцип на страна на произход</w:t>
            </w:r>
          </w:p>
          <w:p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noProof/>
                <w:sz w:val="24"/>
                <w:u w:val="single"/>
                <w:shd w:val="clear" w:color="auto" w:fill="D9D9D9" w:themeFill="background1" w:themeFillShade="D9"/>
              </w:rPr>
              <w:t xml:space="preserve">Вариант А </w:t>
            </w:r>
            <w:r>
              <w:rPr>
                <w:rFonts w:ascii="Times New Roman" w:hAnsi="Times New Roman"/>
                <w:noProof/>
                <w:sz w:val="24"/>
                <w:shd w:val="clear" w:color="auto" w:fill="D9D9D9" w:themeFill="background1" w:themeFillShade="D9"/>
              </w:rPr>
              <w:t>опростява и подобрява правилата относно компетентността и процедурите за сътрудничество.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г) независимост на регулаторните органи</w:t>
            </w:r>
          </w:p>
          <w:p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noProof/>
                <w:sz w:val="24"/>
                <w:u w:val="single"/>
                <w:shd w:val="clear" w:color="auto" w:fill="D9D9D9" w:themeFill="background1" w:themeFillShade="D9"/>
              </w:rPr>
              <w:t>Вариант А</w:t>
            </w:r>
            <w:r>
              <w:rPr>
                <w:rFonts w:ascii="Times New Roman" w:hAnsi="Times New Roman"/>
                <w:noProof/>
                <w:sz w:val="24"/>
                <w:shd w:val="clear" w:color="auto" w:fill="D9D9D9" w:themeFill="background1" w:themeFillShade="D9"/>
              </w:rPr>
              <w:t xml:space="preserve"> задължава държавите членки да имат независим регулаторен орган и определя редица изисквания, които да подкрепят неговата независимост и ефективност. Координационната и консултативната роля на групата на европейските регулатори за аудиовизуални медийни услуги (ERGA) е подсилена и интегрирана в ДАВМУ.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Вариант за преодоляване на проблема с правилата относно търговските съобщения, които вече не съответстват на предназначението си</w:t>
            </w:r>
          </w:p>
          <w:p>
            <w:pPr>
              <w:pStyle w:val="Body"/>
              <w:rPr>
                <w:b/>
                <w:noProof/>
              </w:rPr>
            </w:pPr>
            <w:r>
              <w:rPr>
                <w:rStyle w:val="None"/>
                <w:noProof/>
                <w:highlight w:val="lightGray"/>
                <w:u w:val="single"/>
              </w:rPr>
              <w:t>Вариант А</w:t>
            </w:r>
            <w:r>
              <w:rPr>
                <w:rStyle w:val="None"/>
                <w:noProof/>
                <w:highlight w:val="lightGray"/>
              </w:rPr>
              <w:t xml:space="preserve"> подобрява гъвкавостта на някои от правилата относно аудиовизуалните търговски съобщения.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Кои са различните заинтересовани страни? Кой подкрепя отделните варианти?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Най-силно засегнатите от потенциални промени в ДАВМУ заинтересовани страни са: националните регулаторни органи, публичните излъчващи оператори, търговските излъчващи оператори, доставчиците на услуги по заявка (услуга за гледане на запис на вече излъчени телевизионни предавания, услуги за видео по заявка, новини/портали), платформите за споделяне на видеоклипове (понастоящем извън обхвата на ДАВМУ), саморегулиращите се организации, потребителите, включително непълнолетните лица, рекламодателите, рекламните агенции (особено по отношение на търговските съобщения) и независимите продуценти и разпространителите на съдържание (особено във връзка с насърчаването на европейски произведения).</w:t>
            </w:r>
          </w:p>
          <w:p>
            <w:p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Основните елементи, които се наблюдават независимо от категорията на заинтересованите страни по отношение на вариантите на политиката за в бъдеще, са:</w:t>
            </w:r>
          </w:p>
          <w:p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noProof/>
              </w:rPr>
            </w:pPr>
            <w:r>
              <w:rPr>
                <w:noProof/>
              </w:rPr>
              <w:t>сближаване на възгледите на заинтересованите страни по отношение на нуждата от възможни промени в правилата относно приложното поле на директивата, въпреки че не съществува общ модел или яснота между заинтересованите страни относно пътя напред, както и относно независимостта на националните регулаторни органи;</w:t>
            </w:r>
          </w:p>
          <w:p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95"/>
              </w:tabs>
              <w:jc w:val="both"/>
              <w:rPr>
                <w:noProof/>
              </w:rPr>
            </w:pPr>
            <w:r>
              <w:rPr>
                <w:noProof/>
              </w:rPr>
              <w:t>подкрепа от заинтересованите страни за запазването на статуквото по отношение на принципа на страна на произход; задължение за пренос/възможност за лесно намиране; достъп за лица с увреждания; основни събития за обществото, кратки новинарски репортажи и право на отговор;</w:t>
            </w:r>
          </w:p>
          <w:p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i/>
                <w:noProof/>
              </w:rPr>
            </w:pPr>
            <w:r>
              <w:rPr>
                <w:noProof/>
              </w:rPr>
              <w:t>липса на ясен консенсус между заинтересованите страни относно търговските съобщения, защитата на непълнолетните лица и популяризирането на европейски произведения.</w:t>
            </w:r>
          </w:p>
        </w:tc>
      </w:tr>
      <w:tr>
        <w:trPr>
          <w:trHeight w:val="338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Въздействие на предпочитания вариант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Какви са предимствата на предпочитания вариант (ако има такъв, в противен случай — на основните варианти)? 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noProof/>
              </w:rPr>
            </w:pPr>
            <w:r>
              <w:rPr>
                <w:noProof/>
              </w:rPr>
              <w:t>Предпочитаният вариант е комбинацията между маркираните варианти в раздел Б. Основните предимства са: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засилване на защитата на непълнолетни лица, включително чрез определяне на задължение за защита от вредно за непълнолетни лица съдържание и от изказвания, подбуждащи към омраза, в платформи за споделяне на видеоклипове;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гарантиране на принос на медийните услуги към културното многообразие, съобразен с различните стопански модели;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преодоляване на липсата на справедливо третиране на услугите за телевизионно излъчване и услугите по заявка, включително в областите на защитата на непълнолетни лица, насърчаването на европейските произведения и търговските съобщения;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запазване на известна гъвкавост в начина, по който държавите членки ще прилагат ДАВМУ, и допускане на съображения във връзка със субсидиарността и националните особености;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подобряване на изпълнението на директивата.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Какви са разходите за предпочитания вариант (ако има такъв, в противен случай — за основните варианти)?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i/>
                <w:noProof/>
              </w:rPr>
            </w:pPr>
            <w:r>
              <w:rPr>
                <w:noProof/>
              </w:rPr>
              <w:t>Основните разходи за предпочитания вариант ще бъдат понесени от услугите по заявка и платформите за споделяне на видеоклипове. Те ще бъдат свързани предимно с прилагането на разпоредбите, чието предназначение е да подобрят защитата на потребителите. Тези разходи обаче могат да бъдат смекчени от факта, че някои държави членки вече са въвели по-строги правила, а някои големи платформи за споделяне на видеоклипове вече са предприели доброволни стъпки за защита на потребителите в съответствие със своите корпоративни политики.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Ще има ли значително отражение върху националните бюджети и администрации?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i/>
                <w:noProof/>
              </w:rPr>
            </w:pPr>
            <w:r>
              <w:rPr>
                <w:noProof/>
              </w:rPr>
              <w:t>Основното въздействие върху националните бюджети и администрации би се дължало на прилагането на съвместно регулиране с цел защита на непълнолетни лица в платформите за споделяне на видеоклипове и на въвеждането на правното изискване за независимост на националните регулаторни органи, както и на минимален набор от характеристики, на които регулаторите трябва да отговарят. В последния случай въздействието ще зависи от това до каква степен националните регулаторни органи вече отговарят на набора от характеристики.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Ще има ли други значими въздействия?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Не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Налице ли е пропорционалност?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Фактът, че директивата осигурява минимална хармонизация, ще гарантира пропорционалността на действията на ЕС.</w:t>
            </w:r>
          </w:p>
        </w:tc>
      </w:tr>
      <w:tr>
        <w:trPr>
          <w:trHeight w:val="338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Г. Последващи действия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Кога ще бъде следващото преразглеждане на политиката?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noProof/>
              </w:rPr>
            </w:pPr>
            <w:r>
              <w:rPr>
                <w:noProof/>
              </w:rPr>
              <w:t>Ще бъде осигурен непрекъснат мониторинг посредством докладване от държавите членки на Комисията и от Комисията на Европейския парламент, Съвета и Европейския икономически и социален комитет.</w:t>
            </w:r>
          </w:p>
        </w:tc>
      </w:tr>
    </w:tbl>
    <w:p>
      <w:pPr>
        <w:jc w:val="center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D6"/>
    <w:multiLevelType w:val="hybridMultilevel"/>
    <w:tmpl w:val="B4EC6802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0CCF"/>
    <w:multiLevelType w:val="hybridMultilevel"/>
    <w:tmpl w:val="5AF8765A"/>
    <w:lvl w:ilvl="0" w:tplc="0B06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4226"/>
    <w:multiLevelType w:val="hybridMultilevel"/>
    <w:tmpl w:val="D680A046"/>
    <w:lvl w:ilvl="0" w:tplc="4412C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3241"/>
    <w:multiLevelType w:val="hybridMultilevel"/>
    <w:tmpl w:val="3C30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1969"/>
    <w:multiLevelType w:val="hybridMultilevel"/>
    <w:tmpl w:val="5AF8765A"/>
    <w:lvl w:ilvl="0" w:tplc="0B06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4ACC"/>
    <w:multiLevelType w:val="hybridMultilevel"/>
    <w:tmpl w:val="6F72F900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23C0F"/>
    <w:multiLevelType w:val="hybridMultilevel"/>
    <w:tmpl w:val="7A64AF26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F3B3C"/>
    <w:multiLevelType w:val="hybridMultilevel"/>
    <w:tmpl w:val="6A8A8CB0"/>
    <w:lvl w:ilvl="0" w:tplc="CB5864D6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D16975"/>
    <w:multiLevelType w:val="hybridMultilevel"/>
    <w:tmpl w:val="00E81232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94A5D"/>
    <w:multiLevelType w:val="multilevel"/>
    <w:tmpl w:val="259A0B2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54672B2F"/>
    <w:multiLevelType w:val="hybridMultilevel"/>
    <w:tmpl w:val="CE96FC44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50AE3"/>
    <w:multiLevelType w:val="multilevel"/>
    <w:tmpl w:val="A33A5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8C132BC"/>
    <w:multiLevelType w:val="hybridMultilevel"/>
    <w:tmpl w:val="44665F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863789"/>
    <w:multiLevelType w:val="multilevel"/>
    <w:tmpl w:val="A57E5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8702F7B"/>
    <w:multiLevelType w:val="hybridMultilevel"/>
    <w:tmpl w:val="9D066F42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\u1087?\u1088?\u1080?\u1076?\u1088?\u1091?\u1078?\u1072?\u1074?\u1072?\u1097?"/>
    <w:docVar w:name="LW_CONFIDENCE" w:val=" "/>
    <w:docVar w:name="LW_CONST_RESTREINT_UE" w:val="RESTREINT UE"/>
    <w:docVar w:name="LW_CORRIGENDUM" w:val="&lt;UNUSED&gt;"/>
    <w:docVar w:name="LW_COVERPAGE_GUID" w:val="65714BEA3BC241A5A71C4F5BE5F26035"/>
    <w:docVar w:name="LW_CROSSREFERENCE" w:val="{COM(2016) 287 final}_x000b_{SWD(2016) 168 final}_x000b_{SWD(2016) 170 final}_x000b_{SWD(2016) 171 final}"/>
    <w:docVar w:name="LW_DocType" w:val="NORMAL"/>
    <w:docVar w:name="LW_EMISSION" w:val="25.5.2016"/>
    <w:docVar w:name="LW_EMISSION_ISODATE" w:val="2016-05-25"/>
    <w:docVar w:name="LW_EMISSION_LOCATION" w:val="BRX"/>
    <w:docVar w:name="LW_EMISSION_PREFIX" w:val="Брюксел, "/>
    <w:docVar w:name="LW_EMISSION_SUFFIX" w:val=" \u1075?."/>
    <w:docVar w:name="LW_ID_DOCTYPE_NONLW" w:val="CP-02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55?\u1088?\u1077?\u1076?\u1083?\u1086?\u1078?\u1077?\u1085?\u1080?\u1077? \u1079?\u1072? \u1044?\u1080?\u1088?\u1077?\u1082?\u1090?\u1080?\u1074?\u1072? \u1085?\u1072? \u1045?\u1074?\u1088?\u1086?\u1087?\u1077?\u1081?\u1089?\u1082?\u1080?\u1103? \u1087?\u1072?\u1088?\u1083?\u1072?\u1084?\u1077?\u1085?\u1090? \u1080? \u1085?\u1072? \u1057?\u1098?\u1074?\u1077?\u1090?\u1072? \u1079?\u1072? \u1080?\u1079?\u1084?\u1077?\u1085?\u1077?\u1085?\u1080?\u1077? \u1085?\u1072? \u1044?\u1080?\u1088?\u1077?\u1082?\u1090?\u1080?\u1074?\u1072? 2010/13/\u1045?\u1057? \u1079?\u1072? \u1082?\u1086?\u1086?\u1088?\u1076?\u1080?\u1085?\u1080?\u1088?\u1072?\u1085?\u1077?\u1090?\u1086? \u1085?\u1072? \u1085?\u1103?\u1082?\u1086?\u1080? \u1088?\u1072?\u1079?\u1087?\u1086?\u1088?\u1077?\u1076?\u1073?\u1080?, \u1091?\u1089?\u1090?\u1072?\u1085?\u1086?\u1074?\u1077?\u1085?\u1080? \u1074? \u1079?\u1072?\u1082?\u1086?\u1085?\u1080?, \u1087?\u1086?\u1076?\u1079?\u1072?\u1082?\u1086?\u1085?\u1086?\u1074?\u1080? \u1080? \u1072?\u1076?\u1084?\u1080?\u1085?\u1080?\u1089?\u1090?\u1088?\u1072?\u1090?\u1080?\u1074?\u1085?\u1080? \u1072?\u1082?\u1090?\u1086?\u1074?\u1077? \u1085?\u1072? \u1076?\u1098?\u1088?\u1078?\u1072?\u1074?\u1080?\u1090?\u1077? \u1095?\u1083?\u1077?\u1085?\u1082?\u1080?, \u1086?\u1090?\u1085?\u1072?\u1089?\u1103?\u1097?\u1080? \u1089?\u1077? \u1076?\u1086? \u1087?\u1088?\u1077?\u1076?\u1086?\u1089?\u1090?\u1072?\u1074?\u1103?\u1085?\u1077?\u1090?\u1086? \u1085?\u1072? \u1072?\u1091?\u1076?\u1080?\u1086?\u1074?\u1080?\u1079?\u1091?\u1072?\u1083?\u1085?\u1080? \u1084?\u1077?\u1076?\u1080?\u1081?\u1085?\u1080? \u1091?\u1089?\u1083?\u1091?\u1075?\u1080?, \u1089? \u1086?\u1075?\u1083?\u1077?\u1076? \u1085?\u1072? \u1087?\u1088?\u1086?\u1084?\u1077?\u1085?\u1103?\u1097?\u1080?\u1090?\u1077? \u1089?\u1077? \u1087?\u1072?\u1079?\u1072?\u1088?\u1085?\u1080? \u1091?\u1089?\u1083?\u1086?\u1074?\u1080?\u1103?_x000b_"/>
    <w:docVar w:name="LW_PART_NBR" w:val="1"/>
    <w:docVar w:name="LW_PART_NBR_TOTAL" w:val="1"/>
    <w:docVar w:name="LW_REF.INST.NEW" w:val="SWD"/>
    <w:docVar w:name="LW_REF.INST.NEW_ADOPTED" w:val="final"/>
    <w:docVar w:name="LW_REF.INST.NEW_TEXT" w:val="(2016) 169"/>
    <w:docVar w:name="LW_REF.INTERNE" w:val="&lt;UNUSED&gt;"/>
    <w:docVar w:name="LW_SUPERTITRE" w:val="&lt;UNUSED&gt;"/>
    <w:docVar w:name="LW_TITRE.OBJ.CP" w:val="&lt;UNUSED&gt;"/>
    <w:docVar w:name="LW_TYPE.DOC.CP" w:val="\u1056?\u1040?\u1041?\u1054?\u1058?\u1045?\u1053? \u1044?\u1054?\u1050?\u1059?\u1052?\u1045?\u1053?\u1058? \u1053?\u1040? \u1057?\u1051?\u1059?\u1046?\u1041?\u1048?\u1058?\u1045? \u1053?\u1040? \u1050?\u1054?\u1052?\u1048?\u1057?\u1048?\u1071?\u1058?\u1040?_x000b__x000b_\u1054?\u1041?\u1054?\u1041?\u1065?\u1045?\u1053?\u1040? \u1054?\u1062?\u1045?\u1053?\u1050?\u1040? \u1053?\u1040? \u1042?\u1066?\u1047?\u1044?\u1045?\u1049?\u1057?\u1058?\u1042?\u1048?\u1045?\u1058?\u1054?_x000b_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next w:val="Z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ZDGName">
    <w:name w:val="Z_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</w:pPr>
    <w:rPr>
      <w:rFonts w:ascii="Arial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Unicode MS" w:hAnsi="Tahoma" w:cs="Tahoma"/>
      <w:sz w:val="16"/>
      <w:szCs w:val="16"/>
      <w:bdr w:val="nil"/>
      <w:lang w:val="bg-BG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link w:val="FootnoteTextChar"/>
    <w:uiPriority w:val="99"/>
    <w:qFormat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bg-BG" w:eastAsia="bg-BG"/>
    </w:rPr>
  </w:style>
  <w:style w:type="paragraph" w:styleId="ListParagraph">
    <w:name w:val="List Paragraph"/>
    <w:aliases w:val="Paragraphe de liste 2,Reference list,Normal bullet 2,Bullet list,Numbered List,List Paragraph1,1st level - Bullet List Paragraph,Lettre d'introduction,Paragrafo elenco,Paragraph,Bullet EY,List Paragraph11,Normal bullet 21,O-1 List bullets"/>
    <w:link w:val="ListParagraphChar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styli,fr"/>
    <w:basedOn w:val="DefaultParagraphFont"/>
    <w:link w:val="FootnoteReferenceCharCarCharCharCarCharCarCharCarCharCarCharCharCarCarCharCharCharCharCharCarCharCarCharCharCarCharCar"/>
    <w:uiPriority w:val="99"/>
    <w:unhideWhenUsed/>
    <w:qFormat/>
    <w:rPr>
      <w:vertAlign w:val="superscript"/>
    </w:rPr>
  </w:style>
  <w:style w:type="character" w:customStyle="1" w:styleId="ListParagraphChar">
    <w:name w:val="List Paragraph Char"/>
    <w:aliases w:val="Paragraphe de liste 2 Char,Reference list Char,Normal bullet 2 Char,Bullet list Char,Numbered List Char,List Paragraph1 Char,1st level - Bullet List Paragraph Char,Lettre d'introduction Char,Paragrafo elenco Char,Paragraph Char"/>
    <w:basedOn w:val="DefaultParagraphFont"/>
    <w:link w:val="ListParagraph"/>
    <w:uiPriority w:val="34"/>
    <w:qFormat/>
    <w:locked/>
    <w:rPr>
      <w:rFonts w:ascii="Calibri" w:eastAsia="Calibri" w:hAnsi="Calibri" w:cs="Calibri"/>
      <w:color w:val="000000"/>
      <w:u w:color="000000"/>
      <w:bdr w:val="nil"/>
      <w:lang w:val="bg-BG" w:eastAsia="bg-BG"/>
    </w:rPr>
  </w:style>
  <w:style w:type="paragraph" w:customStyle="1" w:styleId="FootnoteReferenceCharCarCharCharCarCharCarCharCarCharCarCharCharCarCarCharCharCharCharCharCarCharCarCharCharCarCharCar">
    <w:name w:val="Footnote Reference Char Car Char Char Car Char Car Char Car Char Car Char Char Car Car Char Char Char Char Char Car Char Car Char Char Car Char Car"/>
    <w:aliases w:val="Footnotes refss Car Char Car,callout Car Car Char Char Car,Footnotes refss Car1"/>
    <w:basedOn w:val="Normal"/>
    <w:link w:val="FootnoteReference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Theme="minorHAnsi" w:eastAsiaTheme="minorHAnsi" w:hAnsiTheme="minorHAnsi" w:cstheme="minorBidi"/>
      <w:sz w:val="22"/>
      <w:szCs w:val="22"/>
      <w:bdr w:val="none" w:sz="0" w:space="0" w:color="auto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bg-BG"/>
    </w:rPr>
  </w:style>
  <w:style w:type="paragraph" w:styleId="TOCHeading">
    <w:name w:val="TOC Heading"/>
    <w:next w:val="Normal"/>
    <w:uiPriority w:val="39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pPr>
      <w:numPr>
        <w:numId w:val="14"/>
      </w:numPr>
    </w:p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None">
    <w:name w:val="None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sz w:val="24"/>
      <w:szCs w:val="24"/>
      <w:bdr w:val="nil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sz w:val="24"/>
      <w:szCs w:val="24"/>
      <w:bdr w:val="nil"/>
      <w:lang w:val="bg-BG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next w:val="Z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ZDGName">
    <w:name w:val="Z_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</w:pPr>
    <w:rPr>
      <w:rFonts w:ascii="Arial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Unicode MS" w:hAnsi="Tahoma" w:cs="Tahoma"/>
      <w:sz w:val="16"/>
      <w:szCs w:val="16"/>
      <w:bdr w:val="nil"/>
      <w:lang w:val="bg-BG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link w:val="FootnoteTextChar"/>
    <w:uiPriority w:val="99"/>
    <w:qFormat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bg-BG" w:eastAsia="bg-BG"/>
    </w:rPr>
  </w:style>
  <w:style w:type="paragraph" w:styleId="ListParagraph">
    <w:name w:val="List Paragraph"/>
    <w:aliases w:val="Paragraphe de liste 2,Reference list,Normal bullet 2,Bullet list,Numbered List,List Paragraph1,1st level - Bullet List Paragraph,Lettre d'introduction,Paragrafo elenco,Paragraph,Bullet EY,List Paragraph11,Normal bullet 21,O-1 List bullets"/>
    <w:link w:val="ListParagraphChar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styli,fr"/>
    <w:basedOn w:val="DefaultParagraphFont"/>
    <w:link w:val="FootnoteReferenceCharCarCharCharCarCharCarCharCarCharCarCharCharCarCarCharCharCharCharCharCarCharCarCharCharCarCharCar"/>
    <w:uiPriority w:val="99"/>
    <w:unhideWhenUsed/>
    <w:qFormat/>
    <w:rPr>
      <w:vertAlign w:val="superscript"/>
    </w:rPr>
  </w:style>
  <w:style w:type="character" w:customStyle="1" w:styleId="ListParagraphChar">
    <w:name w:val="List Paragraph Char"/>
    <w:aliases w:val="Paragraphe de liste 2 Char,Reference list Char,Normal bullet 2 Char,Bullet list Char,Numbered List Char,List Paragraph1 Char,1st level - Bullet List Paragraph Char,Lettre d'introduction Char,Paragrafo elenco Char,Paragraph Char"/>
    <w:basedOn w:val="DefaultParagraphFont"/>
    <w:link w:val="ListParagraph"/>
    <w:uiPriority w:val="34"/>
    <w:qFormat/>
    <w:locked/>
    <w:rPr>
      <w:rFonts w:ascii="Calibri" w:eastAsia="Calibri" w:hAnsi="Calibri" w:cs="Calibri"/>
      <w:color w:val="000000"/>
      <w:u w:color="000000"/>
      <w:bdr w:val="nil"/>
      <w:lang w:val="bg-BG" w:eastAsia="bg-BG"/>
    </w:rPr>
  </w:style>
  <w:style w:type="paragraph" w:customStyle="1" w:styleId="FootnoteReferenceCharCarCharCharCarCharCarCharCarCharCarCharCharCarCarCharCharCharCharCharCarCharCarCharCharCarCharCar">
    <w:name w:val="Footnote Reference Char Car Char Char Car Char Car Char Car Char Car Char Char Car Car Char Char Char Char Char Car Char Car Char Char Car Char Car"/>
    <w:aliases w:val="Footnotes refss Car Char Car,callout Car Car Char Char Car,Footnotes refss Car1"/>
    <w:basedOn w:val="Normal"/>
    <w:link w:val="FootnoteReference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Theme="minorHAnsi" w:eastAsiaTheme="minorHAnsi" w:hAnsiTheme="minorHAnsi" w:cstheme="minorBidi"/>
      <w:sz w:val="22"/>
      <w:szCs w:val="22"/>
      <w:bdr w:val="none" w:sz="0" w:space="0" w:color="auto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bg-BG"/>
    </w:rPr>
  </w:style>
  <w:style w:type="paragraph" w:styleId="TOCHeading">
    <w:name w:val="TOC Heading"/>
    <w:next w:val="Normal"/>
    <w:uiPriority w:val="39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pPr>
      <w:numPr>
        <w:numId w:val="14"/>
      </w:numPr>
    </w:p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None">
    <w:name w:val="None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sz w:val="24"/>
      <w:szCs w:val="24"/>
      <w:bdr w:val="nil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sz w:val="24"/>
      <w:szCs w:val="24"/>
      <w:bdr w:val="nil"/>
      <w:lang w:val="bg-BG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1181</Words>
  <Characters>7453</Characters>
  <Application>Microsoft Office Word</Application>
  <DocSecurity>0</DocSecurity>
  <Lines>138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21</cp:revision>
  <cp:lastPrinted>2016-05-13T16:02:00Z</cp:lastPrinted>
  <dcterms:created xsi:type="dcterms:W3CDTF">2016-05-13T13:57:00Z</dcterms:created>
  <dcterms:modified xsi:type="dcterms:W3CDTF">2016-05-30T07:38:00Z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