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1B1A676E5D36428DB8C701A1E38B42EB" style="width:450.75pt;height:420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pStyle w:val="Annexetitre"/>
        <w:rPr>
          <w:bCs/>
          <w:noProof/>
        </w:rPr>
      </w:pPr>
      <w:bookmarkStart w:id="1" w:name="_GoBack"/>
      <w:bookmarkEnd w:id="1"/>
      <w:r>
        <w:rPr>
          <w:noProof/>
        </w:rPr>
        <w:lastRenderedPageBreak/>
        <w:t>BILAG</w:t>
      </w:r>
      <w:r>
        <w:rPr>
          <w:noProof/>
        </w:rPr>
        <w:br/>
      </w:r>
    </w:p>
    <w:p>
      <w:pPr>
        <w:pStyle w:val="Annexetitre"/>
        <w:rPr>
          <w:bCs/>
          <w:noProof/>
        </w:rPr>
      </w:pPr>
      <w:r>
        <w:rPr>
          <w:noProof/>
        </w:rPr>
        <w:t>Direktiver og forordninger, der er nævnt i artikel 3, litra a)</w:t>
      </w:r>
    </w:p>
    <w:p>
      <w:pPr>
        <w:pStyle w:val="ListNumber1"/>
        <w:rPr>
          <w:noProof/>
        </w:rPr>
      </w:pPr>
      <w:r>
        <w:rPr>
          <w:noProof/>
        </w:rPr>
        <w:t>1. Rådets direktiv 93/13/EØF af 5. april 1993 om urimelige kontraktvilkår i forbrugeraftaler (EFT L 95 af 21.4.1993, s. 29).</w:t>
      </w:r>
    </w:p>
    <w:p>
      <w:pPr>
        <w:pStyle w:val="ListNumber1"/>
        <w:rPr>
          <w:noProof/>
        </w:rPr>
      </w:pPr>
      <w:r>
        <w:rPr>
          <w:noProof/>
        </w:rPr>
        <w:t>2. Europa-Parlamentets og Rådets direktiv 98/6/EF af 16. februar 1998 om forbrugerbeskyttelse i forbindelse med angivelse af priser på forbrugsvarer (EFT L 80 af 18.3.1998, s. 27).</w:t>
      </w:r>
    </w:p>
    <w:p>
      <w:pPr>
        <w:pStyle w:val="ListNumber1"/>
        <w:rPr>
          <w:noProof/>
        </w:rPr>
      </w:pPr>
      <w:r>
        <w:rPr>
          <w:noProof/>
        </w:rPr>
        <w:t>3. Europa-Parlamentets og Rådets direktiv 1999/44/EF af 25. maj 1999 om visse aspekter af forbrugerkøb og garantier i forbindelse hermed (EFT L 171 af 7.7.1999, s. 12).</w:t>
      </w:r>
    </w:p>
    <w:p>
      <w:pPr>
        <w:pStyle w:val="ListNumber1"/>
        <w:rPr>
          <w:noProof/>
        </w:rPr>
      </w:pPr>
      <w:r>
        <w:rPr>
          <w:noProof/>
        </w:rPr>
        <w:t>4. Europa-Parlamentets og Rådets direktiv 2000/31/EF af 8. juni 2000 om visse retlige aspekter af informationssamfundstjenester, navnlig elektronisk handel, i det indre marked ("Direktivet om elektronisk handel") (EFT L 178 af 17.7.2000, s. 1).</w:t>
      </w:r>
    </w:p>
    <w:p>
      <w:pPr>
        <w:pStyle w:val="ListNumber1"/>
        <w:rPr>
          <w:noProof/>
        </w:rPr>
      </w:pPr>
      <w:r>
        <w:rPr>
          <w:noProof/>
        </w:rPr>
        <w:t xml:space="preserve">5. Europa-Parlamentets og Rådets direktiv 2001/83/EF af 6. november 2001 om oprettelse af en fællesskabskodeks for humanmedicinske lægemidler: artikel 86-100 (EFT L 311 af 28.11.2001, s. 67). </w:t>
      </w:r>
    </w:p>
    <w:p>
      <w:pPr>
        <w:pStyle w:val="ListNumber1"/>
        <w:rPr>
          <w:noProof/>
        </w:rPr>
      </w:pPr>
      <w:r>
        <w:rPr>
          <w:noProof/>
        </w:rPr>
        <w:t>6. Europa-Parlamentets og Rådets direktiv 2002/58/EF af 12. juli 2002 om behandling af personoplysninger og beskyttelse af privatlivets fred i den elektroniske kommunikationssektor (Direktiv om databeskyttelse inden for elektronisk kommunikation): artikel 13 (EFT L 201 af 31.7.2002, s. 37).</w:t>
      </w:r>
    </w:p>
    <w:p>
      <w:pPr>
        <w:pStyle w:val="ListNumber1"/>
        <w:rPr>
          <w:noProof/>
        </w:rPr>
      </w:pPr>
      <w:r>
        <w:rPr>
          <w:noProof/>
        </w:rPr>
        <w:t>7. Europa-Parlamentets og Rådets direktiv 2002/65/EF af 23. september 2002 om fjernsalg af finansielle tjenesteydelser til forbrugerne og om ændring af Rådets direktiv 90/619/EØF samt direktiv 97/7/EF og 98/27/EF (EFT L 271 af 9.10.2002, s. 16).</w:t>
      </w:r>
    </w:p>
    <w:p>
      <w:pPr>
        <w:pStyle w:val="ListNumber1"/>
        <w:rPr>
          <w:noProof/>
        </w:rPr>
      </w:pPr>
      <w:r>
        <w:rPr>
          <w:noProof/>
        </w:rPr>
        <w:t>8. Europa-Parlamentets og Rådets forordning (EF) nr. 261/2004 af 11. februar 2004 om fælles bestemmelser om kompensation og bistand til luftfartspassagerer ved boardingafvisning og ved aflysning eller lange forsinkelser og om ophævelse af forordning (EØF) nr. 295/91 (EUT L 46 af 17.2.2004, s. 1).</w:t>
      </w:r>
    </w:p>
    <w:p>
      <w:pPr>
        <w:pStyle w:val="ListNumber1"/>
        <w:rPr>
          <w:noProof/>
        </w:rPr>
      </w:pPr>
      <w:r>
        <w:rPr>
          <w:noProof/>
        </w:rPr>
        <w:t>9. Europa-Parlamentets og Rådets direktiv 2005/29/EF af 11. maj 2005 om virksomheders urimelige handelspraksis over for forbrugerne på det indre marked og om ændring af Rådets direktiv 84/450/EØF og Europa-Parlamentets og Rådets direktiv 97/7/EF, 98/27/EF og 2002/65/EF og Europa-Parlamentets og Rådets forordning (EF) nr. 2006/2004 (direktivet om urimelig handelspraksis) (EUT L 149 af 11.6.2005, s. 22).</w:t>
      </w:r>
    </w:p>
    <w:p>
      <w:pPr>
        <w:pStyle w:val="ListNumber1"/>
        <w:rPr>
          <w:noProof/>
        </w:rPr>
      </w:pPr>
      <w:r>
        <w:rPr>
          <w:noProof/>
        </w:rPr>
        <w:t>10. Europa-Parlamentets og Rådets forordning (EF) nr. 1107/2006 af 5. juli 2006 om handicappede og bevægelseshæmmede personers rettigheder, når de rejser med fly (EUT L 204 af 26.7.2006, s. 1).</w:t>
      </w:r>
    </w:p>
    <w:p>
      <w:pPr>
        <w:pStyle w:val="ListNumber1"/>
        <w:rPr>
          <w:noProof/>
        </w:rPr>
      </w:pPr>
      <w:r>
        <w:rPr>
          <w:noProof/>
        </w:rPr>
        <w:t>11. Europa-Parlamentets og Rådets direktiv 2006/114/EF af 12. december 2006 om vildledende og sammenlignende reklame (EUT L 376 af 27.12.2006, s. 21): artikel 1, artikel 2, stk. 2, litra c), og artikel 4-8.</w:t>
      </w:r>
    </w:p>
    <w:p>
      <w:pPr>
        <w:pStyle w:val="ListNumber1"/>
        <w:rPr>
          <w:noProof/>
        </w:rPr>
      </w:pPr>
      <w:r>
        <w:rPr>
          <w:noProof/>
        </w:rPr>
        <w:t>12. Europa-Parlamentets og Rådets direktiv 2006/123/EF af 12. december 2006 om tjenesteydelser i det indre marked (EUT L 376 af 27.12. 2006, s. 36): artikel 20.</w:t>
      </w:r>
    </w:p>
    <w:p>
      <w:pPr>
        <w:pStyle w:val="ListNumber1"/>
        <w:rPr>
          <w:noProof/>
        </w:rPr>
      </w:pPr>
      <w:r>
        <w:rPr>
          <w:noProof/>
        </w:rPr>
        <w:lastRenderedPageBreak/>
        <w:t xml:space="preserve">13. Europa-Parlamentets og Rådets forordning (EF) nr. 1371/2007 af 23. oktober 2007 om jernbanepassagerers rettigheder og forpligtelser (EUT L 315 af 3.12. 2007, s. 14).  </w:t>
      </w:r>
    </w:p>
    <w:p>
      <w:pPr>
        <w:pStyle w:val="ListNumber1"/>
        <w:rPr>
          <w:noProof/>
        </w:rPr>
      </w:pPr>
      <w:r>
        <w:rPr>
          <w:noProof/>
        </w:rPr>
        <w:t>14. Europa-Parlamentets og Rådets direktiv 2008/48/EF af 23. april 2008 om forbrugerkreditaftaler og om ophævelse af Rådets direktiv 87/102/EØF (EUT L 133 af 22.5.2008, s. 66).</w:t>
      </w:r>
    </w:p>
    <w:p>
      <w:pPr>
        <w:pStyle w:val="ListNumber1"/>
        <w:rPr>
          <w:noProof/>
        </w:rPr>
      </w:pPr>
      <w:r>
        <w:rPr>
          <w:noProof/>
        </w:rPr>
        <w:t xml:space="preserve">15. Europa-Parlamentets og Rådets forordning (EF) nr. 1008/2008 af 24. september 2008 om fælles regler for driften af lufttrafiktjenester i Fællesskabet (EUT L 293 af 31.10.2008, s. 3): artikel 22, 23 og 24. </w:t>
      </w:r>
    </w:p>
    <w:p>
      <w:pPr>
        <w:pStyle w:val="ListNumber1"/>
        <w:rPr>
          <w:noProof/>
        </w:rPr>
      </w:pPr>
      <w:r>
        <w:rPr>
          <w:noProof/>
        </w:rPr>
        <w:t>16. Europa-Parlamentets og Rådets direktiv 2008/122/EF af 14. januar 2009 om beskyttelse af forbrugerne i forbindelse med visse aspekter ved timeshareaftaler, aftaler om længerevarende ferieprodukter, videresalgs- og bytteaftaler (EUT L 33 af 3.2.2009, s. 10).</w:t>
      </w:r>
    </w:p>
    <w:p>
      <w:pPr>
        <w:pStyle w:val="ListNumber1"/>
        <w:rPr>
          <w:noProof/>
        </w:rPr>
      </w:pPr>
      <w:r>
        <w:rPr>
          <w:noProof/>
        </w:rPr>
        <w:t>17. Europa-Parlamentets og Rådets direktiv 2010/13/EU af 10. marts 2010 om samordning af visse love og administrative bestemmelser i medlemsstaterne om udbud af audiovisuelle medietjenester (direktiv om audiovisuelle medietjenester) (EUT L 95 af 15.4.2010, s. 1): artikel 9, 10 og 11 og artikel 19-26.</w:t>
      </w:r>
    </w:p>
    <w:p>
      <w:pPr>
        <w:pStyle w:val="ListNumber1"/>
        <w:rPr>
          <w:noProof/>
        </w:rPr>
      </w:pPr>
      <w:r>
        <w:rPr>
          <w:noProof/>
        </w:rPr>
        <w:t>18. Europa-Parlamentets og Rådets forordning (EU) nr. 1177/2010 af 24. november 2010 om passagerers rettigheder ved sørejser og rejser på indre vandveje og om ændring af forordning (EF) nr. 2006/2004 (EUT L 334 af 17.12.2010, s. 1).</w:t>
      </w:r>
    </w:p>
    <w:p>
      <w:pPr>
        <w:pStyle w:val="ListNumber1"/>
        <w:rPr>
          <w:noProof/>
        </w:rPr>
      </w:pPr>
      <w:r>
        <w:rPr>
          <w:noProof/>
        </w:rPr>
        <w:t>19. Europa-Parlamentets og Rådets forordning (EU) nr. 181/2011 af 16. februar 2011 om buspassagerers rettigheder og om ændring af forordning (EF) nr. 2006/2004 (EUT L 55 af 28.2.2011, s. 1).</w:t>
      </w:r>
    </w:p>
    <w:p>
      <w:pPr>
        <w:pStyle w:val="ListNumber1"/>
        <w:rPr>
          <w:noProof/>
        </w:rPr>
      </w:pPr>
      <w:r>
        <w:rPr>
          <w:noProof/>
        </w:rPr>
        <w:t xml:space="preserve">20. Europa-Parlamentets og Rådets direktiv 2011/83/EU af 25. oktober 2011 om forbrugerrettigheder, om ændring af Rådets direktiv 93/13/EØF og Europa-Parlamentets og Rådets direktiv 1999/44/EF samt om ophævelse af Rådets direktiv 85/577/EØF og Europa-Parlamentets og Rådets direktiv 97/7/EF (EUT L 304 af 22.11.2011, s. 64). </w:t>
      </w:r>
    </w:p>
    <w:p>
      <w:pPr>
        <w:pStyle w:val="ListNumber1"/>
        <w:rPr>
          <w:noProof/>
        </w:rPr>
      </w:pPr>
      <w:r>
        <w:rPr>
          <w:noProof/>
        </w:rPr>
        <w:t>21. Europa-Parlamentets og Rådets direktiv 2013/11/EU af 21. maj 2013 om alternativ tvistbilæggelse i forbindelse med tvister på forbrugerområdet og om ændring af forordning (EF) nr. 2006/2004 og direktiv 2009/22/EF (direktiv om ATB på forbrugerområdet) (EUT L 165 af 18.6.2013, s. 63): artikel 13.</w:t>
      </w:r>
    </w:p>
    <w:p>
      <w:pPr>
        <w:pStyle w:val="ListNumber1"/>
        <w:rPr>
          <w:noProof/>
        </w:rPr>
      </w:pPr>
      <w:r>
        <w:rPr>
          <w:noProof/>
        </w:rPr>
        <w:t>22. Europa-Parlamentets og Rådets direktiv 2014/17/ЕU af 4. februar 2014 om forbrugerkreditaftaler i forbindelse med fast ejendom til beboelse og om ændring af direktiv 2008/48/EF og 2013/36/EU og forordning (EU) nr. 1093/2010 (EUT L 60 af 28.2.2014, s. 34): artikel 10, 11, 13, 14, 15, 16, 17, 18, 21, 22, 23, kapitel 10 og bilag I og II.</w:t>
      </w:r>
    </w:p>
    <w:p>
      <w:pPr>
        <w:pStyle w:val="ListNumber1"/>
        <w:rPr>
          <w:noProof/>
        </w:rPr>
      </w:pPr>
      <w:r>
        <w:rPr>
          <w:noProof/>
        </w:rPr>
        <w:t>23. Europa-Parlamentets og Rådets direktiv 2014/92/EU af 23. juli 2014 om sammenlignelighed af gebyrer i forbindelse med betalingskonti, flytning af betalingskonti og adgang til betalingskonti med basale funktioner (EUT L 257 af 28.8.2014, s. 214): artikel 3-18 og artikel 20, stk. 2.</w:t>
      </w:r>
    </w:p>
    <w:p>
      <w:pPr>
        <w:pStyle w:val="ListNumber1"/>
        <w:rPr>
          <w:noProof/>
        </w:rPr>
      </w:pPr>
      <w:r>
        <w:rPr>
          <w:noProof/>
        </w:rPr>
        <w:t>24. Europa-Parlamentets og Rådets direktiv (EU) 2015/2302 af 25. november 2015 om pakkerejser og sammensatte rejsearrangementer samt om ændring af forordning (EF) nr. 2006/2004 og Europa-Parlamentets og Rådets direktiv 2011/83/EU og om ophævelse af Rådets direktiv 90/314/EØF (EUT L 326 af 11.12.2015, s. 1).</w:t>
      </w:r>
      <w:bookmarkStart w:id="2" w:name="_CopyToNewDocument_"/>
      <w:bookmarkEnd w:id="2"/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134" w:right="1418" w:bottom="1134" w:left="1418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il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B1A676E5D36428DB8C701A1E38B42EB"/>
    <w:docVar w:name="LW_CROSSREFERENCE" w:val="{SWD(2016) 164 final}_x000b_{SWD(2016) 165 final}"/>
    <w:docVar w:name="LW_DATE.ADOPT.CP_ISODATE" w:val="&lt;EMPTY&gt;"/>
    <w:docVar w:name="LW_DocType" w:val="NORMAL"/>
    <w:docVar w:name="LW_EMISSION" w:val="25.5.2016"/>
    <w:docVar w:name="LW_EMISSION_ISODATE" w:val="2016-05-25"/>
    <w:docVar w:name="LW_EMISSION_LOCATION" w:val="BRX"/>
    <w:docVar w:name="LW_EMISSION_PREFIX" w:val="Bruxelles, den "/>
    <w:docVar w:name="LW_EMISSION_SUFFIX" w:val=" "/>
    <w:docVar w:name="LW_ID_DOCTYPE_NONLW" w:val="CP-036"/>
    <w:docVar w:name="LW_INTERETEEE.CP" w:val="&lt;UNUSED&gt;"/>
    <w:docVar w:name="LW_LANGUE" w:val="DA"/>
    <w:docVar w:name="LW_LANGUESFAISANTFOI.CP" w:val="&lt;UNUSED&gt;"/>
    <w:docVar w:name="LW_MARKING" w:val="&lt;UNUSED&gt;"/>
    <w:docVar w:name="LW_NOM.INST" w:val="EUROPA-KOMMISSIONEN"/>
    <w:docVar w:name="LW_NOM.INST_JOINTDOC" w:val="&lt;EMPTY&gt;"/>
    <w:docVar w:name="LW_OBJETACTEPRINCIPAL.CP" w:val="om samarbejde mellem nationale myndigheder med ansvar for håndhævelse af lovgivning om forbrugerbeskyttelse _x000b_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283"/>
    <w:docVar w:name="LW_REF.INTERNE" w:val="&lt;UNUSED&gt;"/>
    <w:docVar w:name="LW_SOUS.TITRE.OBJ.CP" w:val="&lt;UNUSED&gt;"/>
    <w:docVar w:name="LW_SUPERTITRE" w:val="&lt;UNUSED&gt;"/>
    <w:docVar w:name="LW_TITRE.OBJ.CP" w:val="&lt;UNUSED&gt;"/>
    <w:docVar w:name="LW_TYPE.DOC.CP" w:val="BILAG_x000b_"/>
    <w:docVar w:name="LW_TYPEACTEPRINCIPAL.CP" w:val="Forslag til Europa-Parlamentets og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pPr>
      <w:spacing w:after="240"/>
      <w:jc w:val="both"/>
    </w:pPr>
    <w:rPr>
      <w:szCs w:val="20"/>
    </w:rPr>
  </w:style>
  <w:style w:type="paragraph" w:customStyle="1" w:styleId="Annexetitre">
    <w:name w:val="Annexe titre"/>
    <w:basedOn w:val="Normal"/>
    <w:next w:val="Normal"/>
    <w:link w:val="AnnexetitreChar"/>
    <w:pPr>
      <w:spacing w:before="120" w:after="120"/>
      <w:jc w:val="center"/>
    </w:pPr>
    <w:rPr>
      <w:b/>
      <w:szCs w:val="22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bCs/>
    </w:rPr>
  </w:style>
  <w:style w:type="character" w:customStyle="1" w:styleId="AnnexetitreChar">
    <w:name w:val="Annexe titre Char"/>
    <w:basedOn w:val="DefaultParagraphFont"/>
    <w:link w:val="Annexetitre"/>
    <w:rPr>
      <w:b/>
      <w:sz w:val="24"/>
      <w:szCs w:val="22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b w:val="0"/>
      <w:bCs/>
      <w:sz w:val="24"/>
      <w:szCs w:val="24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bCs/>
    </w:rPr>
  </w:style>
  <w:style w:type="character" w:customStyle="1" w:styleId="HeaderCoverPageChar">
    <w:name w:val="Header Cover Page Char"/>
    <w:basedOn w:val="AnnexetitreChar"/>
    <w:link w:val="HeaderCoverPage"/>
    <w:rPr>
      <w:b w:val="0"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pPr>
      <w:spacing w:after="240"/>
      <w:jc w:val="both"/>
    </w:pPr>
    <w:rPr>
      <w:szCs w:val="20"/>
    </w:rPr>
  </w:style>
  <w:style w:type="paragraph" w:customStyle="1" w:styleId="Annexetitre">
    <w:name w:val="Annexe titre"/>
    <w:basedOn w:val="Normal"/>
    <w:next w:val="Normal"/>
    <w:link w:val="AnnexetitreChar"/>
    <w:pPr>
      <w:spacing w:before="120" w:after="120"/>
      <w:jc w:val="center"/>
    </w:pPr>
    <w:rPr>
      <w:b/>
      <w:szCs w:val="22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bCs/>
    </w:rPr>
  </w:style>
  <w:style w:type="character" w:customStyle="1" w:styleId="AnnexetitreChar">
    <w:name w:val="Annexe titre Char"/>
    <w:basedOn w:val="DefaultParagraphFont"/>
    <w:link w:val="Annexetitre"/>
    <w:rPr>
      <w:b/>
      <w:sz w:val="24"/>
      <w:szCs w:val="22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b w:val="0"/>
      <w:bCs/>
      <w:sz w:val="24"/>
      <w:szCs w:val="24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bCs/>
    </w:rPr>
  </w:style>
  <w:style w:type="character" w:customStyle="1" w:styleId="HeaderCoverPageChar">
    <w:name w:val="Header Cover Page Char"/>
    <w:basedOn w:val="AnnexetitreChar"/>
    <w:link w:val="HeaderCoverPage"/>
    <w:rPr>
      <w:b w:val="0"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875</Words>
  <Characters>5018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ALELUIA Lucia Maria (JUST)</dc:creator>
  <cp:lastModifiedBy>DIGIT/A3</cp:lastModifiedBy>
  <cp:revision>12</cp:revision>
  <cp:lastPrinted>2016-05-25T11:23:00Z</cp:lastPrinted>
  <dcterms:created xsi:type="dcterms:W3CDTF">2016-04-27T15:37:00Z</dcterms:created>
  <dcterms:modified xsi:type="dcterms:W3CDTF">2016-06-03T18:16:00Z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