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D1" w:rsidRDefault="00946959" w:rsidP="0094695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C7A9249536C44EAB932CE382ABD37A7" style="width:450.75pt;height:407.25pt">
            <v:imagedata r:id="rId9" o:title=""/>
          </v:shape>
        </w:pict>
      </w:r>
    </w:p>
    <w:p w:rsidR="00A625D1" w:rsidRDefault="00A625D1">
      <w:pPr>
        <w:rPr>
          <w:noProof/>
        </w:rPr>
        <w:sectPr w:rsidR="00A625D1" w:rsidSect="0094695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625D1" w:rsidRDefault="00946959">
      <w:pPr>
        <w:pStyle w:val="Exposdesmotifstitre"/>
        <w:rPr>
          <w:noProof/>
        </w:rPr>
      </w:pPr>
      <w:bookmarkStart w:id="0" w:name="_GoBack"/>
      <w:bookmarkEnd w:id="0"/>
      <w:r>
        <w:rPr>
          <w:noProof/>
        </w:rPr>
        <w:lastRenderedPageBreak/>
        <w:t>OBRAZLOŽITVENI MEMORANDUM</w:t>
      </w:r>
    </w:p>
    <w:p w:rsidR="00A625D1" w:rsidRDefault="00946959">
      <w:pPr>
        <w:pStyle w:val="ManualHeading1"/>
        <w:rPr>
          <w:noProof/>
        </w:rPr>
      </w:pPr>
      <w:r>
        <w:rPr>
          <w:noProof/>
        </w:rPr>
        <w:t>1.</w:t>
      </w:r>
      <w:r>
        <w:rPr>
          <w:noProof/>
        </w:rPr>
        <w:tab/>
        <w:t>OZADJE PREDLOGA</w:t>
      </w:r>
    </w:p>
    <w:p w:rsidR="00A625D1" w:rsidRDefault="00946959">
      <w:pPr>
        <w:pStyle w:val="ManualHeading2"/>
        <w:rPr>
          <w:rFonts w:eastAsia="Arial Unicode MS"/>
          <w:noProof/>
        </w:rPr>
      </w:pPr>
      <w:r>
        <w:rPr>
          <w:noProof/>
          <w:color w:val="000000"/>
          <w:u w:color="000000"/>
          <w:bdr w:val="nil"/>
        </w:rPr>
        <w:t>1.1</w:t>
      </w:r>
      <w:r>
        <w:rPr>
          <w:noProof/>
        </w:rPr>
        <w:tab/>
        <w:t>Razlogi za predlog in njegovi cilji</w:t>
      </w:r>
    </w:p>
    <w:p w:rsidR="00A625D1" w:rsidRDefault="00946959">
      <w:pPr>
        <w:pBdr>
          <w:top w:val="nil"/>
          <w:left w:val="nil"/>
          <w:bottom w:val="nil"/>
          <w:right w:val="nil"/>
          <w:between w:val="nil"/>
          <w:bar w:val="nil"/>
        </w:pBdr>
        <w:spacing w:before="0" w:after="240"/>
        <w:rPr>
          <w:rFonts w:eastAsia="Arial Unicode MS"/>
          <w:noProof/>
        </w:rPr>
      </w:pPr>
      <w:r>
        <w:rPr>
          <w:noProof/>
        </w:rPr>
        <w:t xml:space="preserve">Komisija v duhu </w:t>
      </w:r>
      <w:r>
        <w:rPr>
          <w:noProof/>
        </w:rPr>
        <w:t>programa REFIT in agende za boljše pravno urejanje ter kot neposreden odziv na preverjanje ustreznosti zakonodaje EU o varnosti potniških ladij</w:t>
      </w:r>
      <w:r>
        <w:rPr>
          <w:rStyle w:val="FootnoteReference"/>
          <w:noProof/>
        </w:rPr>
        <w:footnoteReference w:id="2"/>
      </w:r>
      <w:r>
        <w:rPr>
          <w:noProof/>
        </w:rPr>
        <w:t xml:space="preserve"> predstavlja niz predlogov za izkoriščanje ugotovljenih možnosti poenostavitve. </w:t>
      </w:r>
    </w:p>
    <w:p w:rsidR="00A625D1" w:rsidRDefault="00946959">
      <w:pPr>
        <w:pBdr>
          <w:top w:val="nil"/>
          <w:left w:val="nil"/>
          <w:bottom w:val="nil"/>
          <w:right w:val="nil"/>
          <w:between w:val="nil"/>
          <w:bar w:val="nil"/>
        </w:pBdr>
        <w:spacing w:before="0" w:after="240"/>
        <w:rPr>
          <w:rFonts w:eastAsia="Arial Unicode MS"/>
          <w:noProof/>
        </w:rPr>
      </w:pPr>
      <w:r>
        <w:rPr>
          <w:noProof/>
        </w:rPr>
        <w:t>Cilja te revizije sta poenostav</w:t>
      </w:r>
      <w:r>
        <w:rPr>
          <w:noProof/>
        </w:rPr>
        <w:t xml:space="preserve">itev in racionalizacija obstoječega regulativnega okvira EU za varnost potniških ladij, da bi se (i) ohranila pravila EU, kjer je to potrebno in sorazmerno; (ii) zagotovilo njihovo pravilno izvajanje ter (iii) odpravilo morebitno prekrivanje obveznosti in </w:t>
      </w:r>
      <w:r>
        <w:rPr>
          <w:noProof/>
        </w:rPr>
        <w:t>nedoslednosti med povezanimi zakonodajnimi akti. Glavni cilj je zagotoviti jasen, enostaven in sodoben pravni okvir, ki bi ga bilo lažje izvajati, spremljati in uveljavljati, s čimer bi se povečala splošna raven varnosti.</w:t>
      </w:r>
    </w:p>
    <w:p w:rsidR="00A625D1" w:rsidRDefault="00946959">
      <w:pPr>
        <w:pBdr>
          <w:top w:val="nil"/>
          <w:left w:val="nil"/>
          <w:bottom w:val="nil"/>
          <w:right w:val="nil"/>
          <w:between w:val="nil"/>
          <w:bar w:val="nil"/>
        </w:pBdr>
        <w:spacing w:before="0" w:after="240"/>
        <w:rPr>
          <w:rFonts w:eastAsia="Arial Unicode MS"/>
          <w:noProof/>
        </w:rPr>
      </w:pPr>
      <w:r>
        <w:rPr>
          <w:noProof/>
        </w:rPr>
        <w:t>Direktiva Sveta 98/41/ES</w:t>
      </w:r>
      <w:r>
        <w:rPr>
          <w:rStyle w:val="FootnoteReference"/>
          <w:noProof/>
        </w:rPr>
        <w:footnoteReference w:id="3"/>
      </w:r>
      <w:r>
        <w:rPr>
          <w:noProof/>
        </w:rPr>
        <w:t xml:space="preserve"> predvide</w:t>
      </w:r>
      <w:r>
        <w:rPr>
          <w:noProof/>
        </w:rPr>
        <w:t>va štetje in registracijo potnikov in posadke na potniških ladjah, ki plujejo v pristanišča EU ali iz njih. Njen cilj je zagotoviti, da varnost potnikov ni ogrožena s preseganjem največjega dovoljenega števila oseb na ladji ter da se lahko iskanje in rešev</w:t>
      </w:r>
      <w:r>
        <w:rPr>
          <w:noProof/>
        </w:rPr>
        <w:t xml:space="preserve">anje pri odpravljanju posledic morebitne nesreče učinkovito izvajata. </w:t>
      </w:r>
    </w:p>
    <w:p w:rsidR="00A625D1" w:rsidRDefault="00946959">
      <w:pPr>
        <w:pBdr>
          <w:top w:val="nil"/>
          <w:left w:val="nil"/>
          <w:bottom w:val="nil"/>
          <w:right w:val="nil"/>
          <w:between w:val="nil"/>
          <w:bar w:val="nil"/>
        </w:pBdr>
        <w:spacing w:before="0" w:after="240"/>
        <w:rPr>
          <w:rFonts w:eastAsia="Arial Unicode MS"/>
          <w:noProof/>
        </w:rPr>
      </w:pPr>
      <w:r>
        <w:rPr>
          <w:noProof/>
        </w:rPr>
        <w:t>Direktiva 98/41/ES je bila prvi zakonodajni akt EU, ki je obravnaval podatke o osebah na ladji. Vendar so od leta 1998 začeli veljati tudi drugi zakonodajni akti EU in mednarodne konven</w:t>
      </w:r>
      <w:r>
        <w:rPr>
          <w:noProof/>
        </w:rPr>
        <w:t xml:space="preserve">cije, ki obravnavajo povezana vprašanja, razviti pa so bili tudi novi tehnološki sistemi in rešitve. Rezultat tega so vedno bolj zapletene in prekrivajoče se pravne določbe, ki obravnavajo štetje in registracijo oseb na ladji ter poročanje o njih. </w:t>
      </w:r>
    </w:p>
    <w:p w:rsidR="00A625D1" w:rsidRDefault="00946959">
      <w:pPr>
        <w:pBdr>
          <w:top w:val="nil"/>
          <w:left w:val="nil"/>
          <w:bottom w:val="nil"/>
          <w:right w:val="nil"/>
          <w:between w:val="nil"/>
          <w:bar w:val="nil"/>
        </w:pBdr>
        <w:spacing w:before="0" w:after="240"/>
        <w:rPr>
          <w:rFonts w:eastAsia="Arial Unicode MS"/>
          <w:noProof/>
        </w:rPr>
      </w:pPr>
      <w:r>
        <w:rPr>
          <w:noProof/>
        </w:rPr>
        <w:t xml:space="preserve">Čeprav </w:t>
      </w:r>
      <w:r>
        <w:rPr>
          <w:noProof/>
        </w:rPr>
        <w:t>učinkovite iskalne in reševalne akcije zahtevajo takojšen dostop do točnih podatkov glede oseb na ladji, se je izkazalo, da v praksi to ne velja vedno. V skladu z veljavnimi zahtevami morajo biti ti podatki shranjeni v sistemu družbe in ves čas na voljo za</w:t>
      </w:r>
      <w:r>
        <w:rPr>
          <w:noProof/>
        </w:rPr>
        <w:t xml:space="preserve"> prenos pristojnemu organu, odgovornemu za iskanje in reševanje. Ta zahteva iz leta 1998 ne upošteva razvoja sistemov, kot sta SafeSeaNet</w:t>
      </w:r>
      <w:r>
        <w:rPr>
          <w:rStyle w:val="FootnoteReference"/>
          <w:noProof/>
        </w:rPr>
        <w:footnoteReference w:id="4"/>
      </w:r>
      <w:r>
        <w:rPr>
          <w:noProof/>
        </w:rPr>
        <w:t xml:space="preserve"> in nacionalno enotno okence</w:t>
      </w:r>
      <w:r>
        <w:rPr>
          <w:rStyle w:val="FootnoteReference"/>
          <w:noProof/>
        </w:rPr>
        <w:footnoteReference w:id="5"/>
      </w:r>
      <w:r>
        <w:rPr>
          <w:noProof/>
        </w:rPr>
        <w:t>, v skladu z njo pa mora nacionalni pristojni organ v nujnih primerih stopiti v stik z la</w:t>
      </w:r>
      <w:r>
        <w:rPr>
          <w:noProof/>
        </w:rPr>
        <w:t>dijsko družbo. Poleg tega zabeleženi podatki ne vključujejo vedno podatkov o državljanstvu (tj. poleg imena, starosti in spola), zato je pomoč žrtvam in njihovim sorodnikom otežena.</w:t>
      </w:r>
    </w:p>
    <w:p w:rsidR="00A625D1" w:rsidRDefault="00946959">
      <w:pPr>
        <w:pBdr>
          <w:top w:val="nil"/>
          <w:left w:val="nil"/>
          <w:bottom w:val="nil"/>
          <w:right w:val="nil"/>
          <w:between w:val="nil"/>
          <w:bar w:val="nil"/>
        </w:pBdr>
        <w:spacing w:before="0" w:after="240"/>
        <w:rPr>
          <w:rFonts w:eastAsia="Arial Unicode MS"/>
          <w:noProof/>
        </w:rPr>
      </w:pPr>
      <w:r>
        <w:rPr>
          <w:noProof/>
        </w:rPr>
        <w:t>Operaterji, ki že prenašajo take podatke v nacionalno enotno okence, moraj</w:t>
      </w:r>
      <w:r>
        <w:rPr>
          <w:noProof/>
        </w:rPr>
        <w:t>o podatke posredovati dvakrat. To so izpostavile države članice, ki v praksi že uporabljajo Direktivo 2002/59/ES za izpolnjevanje svojih obveznosti iz Direktive 98/41/ES. Poleg tega so izkušnje z izvajanjem razkrile nekaj nejasnih opredelitev in precej zap</w:t>
      </w:r>
      <w:r>
        <w:rPr>
          <w:noProof/>
        </w:rPr>
        <w:t xml:space="preserve">letenih zahtev, zaradi česar je nekatere določbe težko spremljati in uveljavljati. </w:t>
      </w:r>
    </w:p>
    <w:p w:rsidR="00A625D1" w:rsidRDefault="00946959">
      <w:pPr>
        <w:pBdr>
          <w:top w:val="nil"/>
          <w:left w:val="nil"/>
          <w:bottom w:val="nil"/>
          <w:right w:val="nil"/>
          <w:between w:val="nil"/>
          <w:bar w:val="nil"/>
        </w:pBdr>
        <w:spacing w:before="0" w:after="240"/>
        <w:rPr>
          <w:rFonts w:eastAsia="Arial Unicode MS"/>
          <w:noProof/>
        </w:rPr>
      </w:pPr>
      <w:r>
        <w:rPr>
          <w:noProof/>
        </w:rPr>
        <w:lastRenderedPageBreak/>
        <w:t xml:space="preserve">Zato se predlaga, da se obstoječe zahteve glede štetja in registracije potnikov in posadke na potniških ladjah posodobijo, pojasnijo in poenostavijo, hkrati pa se poveča </w:t>
      </w:r>
      <w:r>
        <w:rPr>
          <w:noProof/>
        </w:rPr>
        <w:t>raven varnosti, ki jo zagotavljajo. To je v celoti skladno s programom Komisije REFIT in cilji glede izkoriščanja možnosti digitalizacije pri beleženju, prenosu, in varstvu podatkov ter dostopanju do njih.</w:t>
      </w:r>
    </w:p>
    <w:p w:rsidR="00A625D1" w:rsidRDefault="00946959">
      <w:pPr>
        <w:pBdr>
          <w:top w:val="nil"/>
          <w:left w:val="nil"/>
          <w:bottom w:val="nil"/>
          <w:right w:val="nil"/>
          <w:between w:val="nil"/>
          <w:bar w:val="nil"/>
        </w:pBdr>
        <w:spacing w:before="0" w:after="240"/>
        <w:rPr>
          <w:rFonts w:eastAsia="Arial Unicode MS"/>
          <w:noProof/>
        </w:rPr>
      </w:pPr>
      <w:r>
        <w:rPr>
          <w:noProof/>
        </w:rPr>
        <w:t xml:space="preserve">Predlog spreminja ustrezne opredelitve in zahteve </w:t>
      </w:r>
      <w:r>
        <w:rPr>
          <w:noProof/>
        </w:rPr>
        <w:t>iz Direktive 98/41/ES.</w:t>
      </w:r>
    </w:p>
    <w:p w:rsidR="00A625D1" w:rsidRDefault="00946959">
      <w:pPr>
        <w:pStyle w:val="ManualHeading2"/>
        <w:rPr>
          <w:rFonts w:eastAsia="Arial Unicode MS"/>
          <w:noProof/>
          <w:color w:val="000000"/>
          <w:u w:color="000000"/>
          <w:bdr w:val="nil"/>
        </w:rPr>
      </w:pPr>
      <w:r>
        <w:rPr>
          <w:noProof/>
          <w:color w:val="000000"/>
          <w:u w:color="000000"/>
          <w:bdr w:val="nil"/>
        </w:rPr>
        <w:t>1.2</w:t>
      </w:r>
      <w:r>
        <w:rPr>
          <w:noProof/>
        </w:rPr>
        <w:tab/>
        <w:t>Skladnost z veljavnimi predpisi s področja zadevne politike</w:t>
      </w:r>
    </w:p>
    <w:p w:rsidR="00A625D1" w:rsidRDefault="00946959">
      <w:pPr>
        <w:pBdr>
          <w:top w:val="nil"/>
          <w:left w:val="nil"/>
          <w:bottom w:val="nil"/>
          <w:right w:val="nil"/>
          <w:between w:val="nil"/>
          <w:bar w:val="nil"/>
        </w:pBdr>
        <w:spacing w:before="0" w:after="240"/>
        <w:rPr>
          <w:rFonts w:eastAsia="Arial Unicode MS"/>
          <w:noProof/>
        </w:rPr>
      </w:pPr>
      <w:r>
        <w:rPr>
          <w:noProof/>
        </w:rPr>
        <w:t>Predlog je v celoti skladen s predlogi za poenostavitev za spremembo Direktive 2009/45/ES Evropskega parlamenta in Sveta</w:t>
      </w:r>
      <w:r>
        <w:rPr>
          <w:rStyle w:val="FootnoteReference"/>
          <w:noProof/>
        </w:rPr>
        <w:footnoteReference w:id="6"/>
      </w:r>
      <w:r>
        <w:rPr>
          <w:noProof/>
        </w:rPr>
        <w:t xml:space="preserve"> ter nove direktive, ki nadomešča Direktivo Svet</w:t>
      </w:r>
      <w:r>
        <w:rPr>
          <w:noProof/>
        </w:rPr>
        <w:t>a 1999/35/ES</w:t>
      </w:r>
      <w:r>
        <w:rPr>
          <w:rStyle w:val="FootnoteReference"/>
          <w:noProof/>
        </w:rPr>
        <w:footnoteReference w:id="7"/>
      </w:r>
      <w:r>
        <w:rPr>
          <w:noProof/>
        </w:rPr>
        <w:t>. Predlog je v celoti skladen s priporočili glede preverjanja ustreznosti in belo knjigo iz leta 2011 o prihodnosti prometa</w:t>
      </w:r>
      <w:r>
        <w:rPr>
          <w:rStyle w:val="FootnoteReference"/>
          <w:noProof/>
        </w:rPr>
        <w:footnoteReference w:id="8"/>
      </w:r>
      <w:r>
        <w:rPr>
          <w:noProof/>
        </w:rPr>
        <w:t>, v kateri je priznana potreba po posodobitvi veljavnega zakonodajnega okvira EU za varnost potniških ladij.</w:t>
      </w:r>
    </w:p>
    <w:p w:rsidR="00A625D1" w:rsidRDefault="00946959">
      <w:pPr>
        <w:pStyle w:val="ManualHeading2"/>
        <w:rPr>
          <w:rFonts w:eastAsia="Arial Unicode MS"/>
          <w:noProof/>
        </w:rPr>
      </w:pPr>
      <w:r>
        <w:rPr>
          <w:noProof/>
          <w:color w:val="000000"/>
          <w:u w:color="000000"/>
          <w:bdr w:val="nil"/>
        </w:rPr>
        <w:t>1.3</w:t>
      </w:r>
      <w:r>
        <w:rPr>
          <w:noProof/>
        </w:rPr>
        <w:tab/>
        <w:t>Skladn</w:t>
      </w:r>
      <w:r>
        <w:rPr>
          <w:noProof/>
        </w:rPr>
        <w:t>ost z drugimi politikami Unije</w:t>
      </w:r>
    </w:p>
    <w:p w:rsidR="00A625D1" w:rsidRDefault="00946959">
      <w:pPr>
        <w:pBdr>
          <w:top w:val="nil"/>
          <w:left w:val="nil"/>
          <w:bottom w:val="nil"/>
          <w:right w:val="nil"/>
          <w:between w:val="nil"/>
          <w:bar w:val="nil"/>
        </w:pBdr>
        <w:spacing w:before="0" w:after="240"/>
        <w:rPr>
          <w:rFonts w:eastAsia="Arial Unicode MS"/>
          <w:noProof/>
        </w:rPr>
      </w:pPr>
      <w:r>
        <w:rPr>
          <w:noProof/>
        </w:rPr>
        <w:t xml:space="preserve">Predlog prispeva k agendi Komisije za boljše pravno urejanje z zagotavljanjem, da je obstoječa zakonodaja enostavna in jasna, da ne ustvarja nepotrebnega bremena ter da sledi političnemu, družbenemu in tehnološkemu razvoju. </w:t>
      </w:r>
      <w:r>
        <w:rPr>
          <w:noProof/>
        </w:rPr>
        <w:t>Prispeva tudi k ciljem strategije za pomorski promet do leta 2018</w:t>
      </w:r>
      <w:r>
        <w:rPr>
          <w:rStyle w:val="FootnoteReference"/>
          <w:noProof/>
        </w:rPr>
        <w:footnoteReference w:id="9"/>
      </w:r>
      <w:r>
        <w:rPr>
          <w:noProof/>
        </w:rPr>
        <w:t xml:space="preserve"> z zagotavljanjem kakovostnih trajektnih storitev na področju linijskega potniškega prevoza v EU.</w:t>
      </w:r>
    </w:p>
    <w:p w:rsidR="00A625D1" w:rsidRDefault="00946959">
      <w:pPr>
        <w:pStyle w:val="ManualHeading1"/>
        <w:rPr>
          <w:noProof/>
        </w:rPr>
      </w:pPr>
      <w:r>
        <w:rPr>
          <w:noProof/>
        </w:rPr>
        <w:t>2.</w:t>
      </w:r>
      <w:r>
        <w:rPr>
          <w:noProof/>
        </w:rPr>
        <w:tab/>
        <w:t>PRAVNA PODLAGA, SUBSIDIARNOST IN SORAZMERNOST</w:t>
      </w:r>
    </w:p>
    <w:p w:rsidR="00A625D1" w:rsidRDefault="00946959">
      <w:pPr>
        <w:pStyle w:val="ManualHeading2"/>
        <w:rPr>
          <w:rFonts w:eastAsia="Arial Unicode MS"/>
          <w:noProof/>
          <w:u w:color="000000"/>
          <w:bdr w:val="nil"/>
        </w:rPr>
      </w:pPr>
      <w:r>
        <w:rPr>
          <w:noProof/>
        </w:rPr>
        <w:t>2.1</w:t>
      </w:r>
      <w:r>
        <w:rPr>
          <w:noProof/>
        </w:rPr>
        <w:tab/>
        <w:t>Pravna podlaga</w:t>
      </w:r>
    </w:p>
    <w:p w:rsidR="00A625D1" w:rsidRDefault="00946959">
      <w:pPr>
        <w:pBdr>
          <w:top w:val="nil"/>
          <w:left w:val="nil"/>
          <w:bottom w:val="nil"/>
          <w:right w:val="nil"/>
          <w:between w:val="nil"/>
          <w:bar w:val="nil"/>
        </w:pBdr>
        <w:spacing w:before="0" w:after="240"/>
        <w:rPr>
          <w:rFonts w:eastAsia="Arial Unicode MS"/>
          <w:noProof/>
        </w:rPr>
      </w:pPr>
      <w:r>
        <w:rPr>
          <w:noProof/>
        </w:rPr>
        <w:t>Ker predlog nadomešča ve</w:t>
      </w:r>
      <w:r>
        <w:rPr>
          <w:noProof/>
        </w:rPr>
        <w:t>ljavno Direktivo, pravna podlaga ostaja člen 100(2) PDEU (prejšnji člen 80(2) PES), ki določa ukrepe na področju pomorskega prometa.</w:t>
      </w:r>
    </w:p>
    <w:p w:rsidR="00A625D1" w:rsidRDefault="00946959">
      <w:pPr>
        <w:pStyle w:val="ManualHeading2"/>
        <w:rPr>
          <w:rFonts w:eastAsia="Arial Unicode MS"/>
          <w:noProof/>
          <w:u w:color="000000"/>
          <w:bdr w:val="nil"/>
        </w:rPr>
      </w:pPr>
      <w:r>
        <w:rPr>
          <w:noProof/>
        </w:rPr>
        <w:t>2.2</w:t>
      </w:r>
      <w:r>
        <w:rPr>
          <w:noProof/>
        </w:rPr>
        <w:tab/>
        <w:t xml:space="preserve">Subsidiarnost </w:t>
      </w:r>
    </w:p>
    <w:p w:rsidR="00A625D1" w:rsidRDefault="00946959">
      <w:pPr>
        <w:pBdr>
          <w:top w:val="nil"/>
          <w:left w:val="nil"/>
          <w:bottom w:val="nil"/>
          <w:right w:val="nil"/>
          <w:between w:val="nil"/>
          <w:bar w:val="nil"/>
        </w:pBdr>
        <w:spacing w:before="0" w:after="240"/>
        <w:rPr>
          <w:noProof/>
        </w:rPr>
      </w:pPr>
      <w:r>
        <w:rPr>
          <w:noProof/>
        </w:rPr>
        <w:t>Na zahtevo držav članic</w:t>
      </w:r>
      <w:r>
        <w:rPr>
          <w:rStyle w:val="FootnoteReference"/>
          <w:noProof/>
        </w:rPr>
        <w:footnoteReference w:id="10"/>
      </w:r>
      <w:r>
        <w:rPr>
          <w:noProof/>
        </w:rPr>
        <w:t xml:space="preserve"> je bila zakonodaja EU o varnosti potniških ladij večinoma oblikovana na podlagi</w:t>
      </w:r>
      <w:r>
        <w:rPr>
          <w:noProof/>
        </w:rPr>
        <w:t xml:space="preserve"> mednarodnih zahtev in kot odziv na nekatere večje nesreče. Čeprav so bile zahteve v zvezi s podatki o potnikih sprejete na mednarodni ravni, to ni veljalo za potniške ladje na notranji plovbi. </w:t>
      </w:r>
    </w:p>
    <w:p w:rsidR="00A625D1" w:rsidRDefault="00946959">
      <w:pPr>
        <w:pBdr>
          <w:top w:val="nil"/>
          <w:left w:val="nil"/>
          <w:bottom w:val="nil"/>
          <w:right w:val="nil"/>
          <w:between w:val="nil"/>
          <w:bar w:val="nil"/>
        </w:pBdr>
        <w:spacing w:before="0" w:after="240"/>
        <w:rPr>
          <w:noProof/>
        </w:rPr>
      </w:pPr>
      <w:r>
        <w:rPr>
          <w:noProof/>
        </w:rPr>
        <w:t>Predlog zagotavlja skupno in usklajeno uporabo zahtev glede r</w:t>
      </w:r>
      <w:r>
        <w:rPr>
          <w:noProof/>
        </w:rPr>
        <w:t>egistracije, določenih z Direktivo 98/41/ES za vse ladje, ki plujejo v pristanišča EU ali iz njih, ki je ne bi bilo mogoče doseči z enostranskim ukrepanjem na ravni držav članic. Zagotavlja, da Direktiva 98/41/ES sledi pravnemu in tehnološkemu razvoju in t</w:t>
      </w:r>
      <w:r>
        <w:rPr>
          <w:noProof/>
        </w:rPr>
        <w:t xml:space="preserve">ako še naprej povečuje varnost ter olajšuje iskalne in reševalne akcije v primeru nesreč. </w:t>
      </w:r>
    </w:p>
    <w:p w:rsidR="00A625D1" w:rsidRDefault="00946959">
      <w:pPr>
        <w:pBdr>
          <w:top w:val="nil"/>
          <w:left w:val="nil"/>
          <w:bottom w:val="nil"/>
          <w:right w:val="nil"/>
          <w:between w:val="nil"/>
          <w:bar w:val="nil"/>
        </w:pBdr>
        <w:spacing w:before="0" w:after="240"/>
        <w:rPr>
          <w:rFonts w:eastAsia="Arial Unicode MS"/>
          <w:noProof/>
        </w:rPr>
      </w:pPr>
      <w:r>
        <w:rPr>
          <w:noProof/>
        </w:rPr>
        <w:t>Predlog zagotavlja tudi enake konkurenčne pogoje v vodah EU za vse operaterje ne glede na njihovo državljanstvo ali zastavo, pod katero plujejo njihove ladje in plov</w:t>
      </w:r>
      <w:r>
        <w:rPr>
          <w:noProof/>
        </w:rPr>
        <w:t xml:space="preserve">ila, ter brez razlikovanja med mednarodnimi in notranjimi plovbami. Hkrati pojasnjuje pogoje za odstopanje od zahtev Direktive 98/41/ES, če to zahtevajo lokalni pogoji delovanja. </w:t>
      </w:r>
    </w:p>
    <w:p w:rsidR="00A625D1" w:rsidRDefault="00946959">
      <w:pPr>
        <w:pStyle w:val="ManualHeading2"/>
        <w:rPr>
          <w:rFonts w:eastAsia="Arial Unicode MS"/>
          <w:noProof/>
          <w:u w:color="000000"/>
          <w:bdr w:val="nil"/>
        </w:rPr>
      </w:pPr>
      <w:r>
        <w:rPr>
          <w:noProof/>
        </w:rPr>
        <w:t>2.3</w:t>
      </w:r>
      <w:r>
        <w:rPr>
          <w:noProof/>
        </w:rPr>
        <w:tab/>
        <w:t>Sorazmernost</w:t>
      </w:r>
    </w:p>
    <w:p w:rsidR="00A625D1" w:rsidRDefault="00946959">
      <w:pPr>
        <w:pBdr>
          <w:top w:val="nil"/>
          <w:left w:val="nil"/>
          <w:bottom w:val="nil"/>
          <w:right w:val="nil"/>
          <w:between w:val="nil"/>
          <w:bar w:val="nil"/>
        </w:pBdr>
        <w:spacing w:before="0" w:after="240"/>
        <w:rPr>
          <w:rFonts w:eastAsia="Arial Unicode MS"/>
          <w:noProof/>
        </w:rPr>
      </w:pPr>
      <w:r>
        <w:rPr>
          <w:noProof/>
        </w:rPr>
        <w:t>Ob upoštevanju najnovejšega tehnološkega in pravnega razvoj</w:t>
      </w:r>
      <w:r>
        <w:rPr>
          <w:noProof/>
        </w:rPr>
        <w:t>a se predlog za odpravo zastarelih zahtev in prekrivanj ter pojasnitev nejasnih zahtev šteje za edino sorazmerno in skladno možnost. Zagotavlja ohranjanje sedanje visoke ravni varnosti in njeno nadaljnje povečevanje z uporabo sredstev za elektronski prenos</w:t>
      </w:r>
      <w:r>
        <w:rPr>
          <w:noProof/>
        </w:rPr>
        <w:t xml:space="preserve"> podatkov. </w:t>
      </w:r>
    </w:p>
    <w:p w:rsidR="00A625D1" w:rsidRDefault="00946959">
      <w:pPr>
        <w:pBdr>
          <w:top w:val="nil"/>
          <w:left w:val="nil"/>
          <w:bottom w:val="nil"/>
          <w:right w:val="nil"/>
          <w:between w:val="nil"/>
          <w:bar w:val="nil"/>
        </w:pBdr>
        <w:spacing w:before="0" w:after="240"/>
        <w:rPr>
          <w:rFonts w:eastAsia="Arial Unicode MS"/>
          <w:noProof/>
        </w:rPr>
      </w:pPr>
      <w:r>
        <w:rPr>
          <w:noProof/>
        </w:rPr>
        <w:t>Natančneje, za zahtevo za beleženje podatkov o osebah na ladji v obstoječem elektronskem sistemu (ki v nujnih primerih pristojnemu organu omogoča takojšen dostop do podatkov) se šteje, da pomeni korak naprej v primerjavi s sedanjo ravnijo varno</w:t>
      </w:r>
      <w:r>
        <w:rPr>
          <w:noProof/>
        </w:rPr>
        <w:t xml:space="preserve">sti, ne da bi pri tem nastali znatni stroški za operaterje ali nacionalne uprave. </w:t>
      </w:r>
    </w:p>
    <w:p w:rsidR="00A625D1" w:rsidRDefault="00946959">
      <w:pPr>
        <w:pBdr>
          <w:top w:val="nil"/>
          <w:left w:val="nil"/>
          <w:bottom w:val="nil"/>
          <w:right w:val="nil"/>
          <w:between w:val="nil"/>
          <w:bar w:val="nil"/>
        </w:pBdr>
        <w:spacing w:before="0" w:after="240"/>
        <w:rPr>
          <w:rFonts w:eastAsia="Arial Unicode MS"/>
          <w:noProof/>
        </w:rPr>
      </w:pPr>
      <w:r>
        <w:rPr>
          <w:noProof/>
        </w:rPr>
        <w:t>V tem okviru se je izkazalo, da zahteva za odobritev sistemov registracije potnikov ustvarja veliko delovno obremenitev za nekatere nacionalne uprave. Taka delovna obremenit</w:t>
      </w:r>
      <w:r>
        <w:rPr>
          <w:noProof/>
        </w:rPr>
        <w:t>ev in s tem povezani stroški so bili ocenjeni kot očitno pretirani, in sicer glede na ozko področje uporabe zahteve, njeno delno prekrivanje s Kodeksom ISM in oteženo preverjanje odobritve v odsotnosti kakršnih koli potrdil. Zahtevo za sisteme družb za reg</w:t>
      </w:r>
      <w:r>
        <w:rPr>
          <w:noProof/>
        </w:rPr>
        <w:t>istracijo potnikov bi bilo treba odpraviti in se osredotočiti na izvajanje registracije, tj. na točnost in pravočasnost beleženja podatkov v obstoječih elektronskih sistemih.</w:t>
      </w:r>
    </w:p>
    <w:p w:rsidR="00A625D1" w:rsidRDefault="00946959">
      <w:pPr>
        <w:pBdr>
          <w:top w:val="nil"/>
          <w:left w:val="nil"/>
          <w:bottom w:val="nil"/>
          <w:right w:val="nil"/>
          <w:between w:val="nil"/>
          <w:bar w:val="nil"/>
        </w:pBdr>
        <w:spacing w:before="0" w:after="240"/>
        <w:rPr>
          <w:rFonts w:eastAsia="Arial Unicode MS"/>
          <w:noProof/>
        </w:rPr>
      </w:pPr>
      <w:r>
        <w:rPr>
          <w:noProof/>
        </w:rPr>
        <w:t>Izkušnje so tudi pokazale, da je izjemno pomembno, da so že od samega začetka faz</w:t>
      </w:r>
      <w:r>
        <w:rPr>
          <w:noProof/>
        </w:rPr>
        <w:t>e po nesreči na voljo ne le podatki o številu in seznam oseb na ladji, ampak tudi podatki o njihovem državljanstvu. Zato se predlaga, da se taki podatki registrirajo na podlagi lastne izjave potnikov, kot zdaj velja za druge podatke. S tem bo zagotovljeno,</w:t>
      </w:r>
      <w:r>
        <w:rPr>
          <w:noProof/>
        </w:rPr>
        <w:t xml:space="preserve"> da taki vnosi dodatnih podatkov operaterjem, ki zdaj ne beležijo takih informacij, ne bodo povzročali nobenih stroškov, ali pa bodo ti stroški zanemarljivi.</w:t>
      </w:r>
    </w:p>
    <w:p w:rsidR="00A625D1" w:rsidRDefault="00946959">
      <w:pPr>
        <w:pStyle w:val="ManualHeading2"/>
        <w:rPr>
          <w:rFonts w:eastAsia="Arial Unicode MS"/>
          <w:noProof/>
          <w:u w:color="000000"/>
          <w:bdr w:val="nil"/>
        </w:rPr>
      </w:pPr>
      <w:r>
        <w:rPr>
          <w:noProof/>
        </w:rPr>
        <w:t>2.4</w:t>
      </w:r>
      <w:r>
        <w:rPr>
          <w:noProof/>
        </w:rPr>
        <w:tab/>
        <w:t>Izbira instrumenta</w:t>
      </w:r>
    </w:p>
    <w:p w:rsidR="00A625D1" w:rsidRDefault="00946959">
      <w:pPr>
        <w:pBdr>
          <w:top w:val="nil"/>
          <w:left w:val="nil"/>
          <w:bottom w:val="nil"/>
          <w:right w:val="nil"/>
          <w:between w:val="nil"/>
          <w:bar w:val="nil"/>
        </w:pBdr>
        <w:spacing w:before="0" w:after="240"/>
        <w:rPr>
          <w:rFonts w:eastAsia="Arial Unicode MS"/>
          <w:noProof/>
        </w:rPr>
      </w:pPr>
      <w:r>
        <w:rPr>
          <w:noProof/>
        </w:rPr>
        <w:t>V skladu z načelom sorazmernosti se Direktiva še naprej šteje za najbolj pr</w:t>
      </w:r>
      <w:r>
        <w:rPr>
          <w:noProof/>
        </w:rPr>
        <w:t xml:space="preserve">imerno obliko za doseganje opredeljenih ciljev. Določa skupna načela in harmonizirano raven varnosti ter zagotavlja izvajanje pravil, vendar vsaki državi članici prepušča izbiro glede uporabe praktičnih in tehničnih postopkov. Pri tem vsaki državi članici </w:t>
      </w:r>
      <w:r>
        <w:rPr>
          <w:noProof/>
        </w:rPr>
        <w:t xml:space="preserve">prepušča odgovornost, da izbere izvedbena orodja, ki najbolj ustrezajo njenemu notranjemu sistemu. </w:t>
      </w:r>
    </w:p>
    <w:p w:rsidR="00A625D1" w:rsidRDefault="00946959">
      <w:pPr>
        <w:pBdr>
          <w:top w:val="nil"/>
          <w:left w:val="nil"/>
          <w:bottom w:val="nil"/>
          <w:right w:val="nil"/>
          <w:between w:val="nil"/>
          <w:bar w:val="nil"/>
        </w:pBdr>
        <w:spacing w:before="0" w:after="240"/>
        <w:rPr>
          <w:rFonts w:eastAsia="Arial Unicode MS"/>
          <w:noProof/>
        </w:rPr>
      </w:pPr>
      <w:r>
        <w:rPr>
          <w:noProof/>
        </w:rPr>
        <w:t>V zvezi s tem je bilo ugotovljeno, da je najustreznejša pravna rešitev predlog za spremembo Direktive 98/41/ES. Druga možnost, tj. predlaganje nove direktiv</w:t>
      </w:r>
      <w:r>
        <w:rPr>
          <w:noProof/>
        </w:rPr>
        <w:t>e, je bila zavrnjena zaradi omejenega števila jasno opredeljenih sprememb veljavne direktive.</w:t>
      </w:r>
    </w:p>
    <w:p w:rsidR="00A625D1" w:rsidRDefault="00946959">
      <w:pPr>
        <w:pStyle w:val="ManualHeading1"/>
        <w:rPr>
          <w:noProof/>
        </w:rPr>
      </w:pPr>
      <w:r>
        <w:rPr>
          <w:noProof/>
        </w:rPr>
        <w:t>3.</w:t>
      </w:r>
      <w:r>
        <w:rPr>
          <w:noProof/>
        </w:rPr>
        <w:tab/>
        <w:t>REZULTATI NAKNADNIH OCEN, POSVETOVANJ Z DELEŽNIKI IN OCEN UČINKA</w:t>
      </w:r>
    </w:p>
    <w:p w:rsidR="00A625D1" w:rsidRDefault="00946959">
      <w:pPr>
        <w:pStyle w:val="ManualHeading2"/>
        <w:rPr>
          <w:rFonts w:eastAsia="Arial Unicode MS"/>
          <w:noProof/>
          <w:u w:color="000000"/>
          <w:bdr w:val="nil"/>
        </w:rPr>
      </w:pPr>
      <w:r>
        <w:rPr>
          <w:noProof/>
        </w:rPr>
        <w:t>3.1</w:t>
      </w:r>
      <w:r>
        <w:rPr>
          <w:noProof/>
        </w:rPr>
        <w:tab/>
        <w:t>Naknadne ocene/preverjanja ustreznosti obstoječe zakonodaje</w:t>
      </w:r>
    </w:p>
    <w:p w:rsidR="00A625D1" w:rsidRDefault="00946959">
      <w:pPr>
        <w:pBdr>
          <w:top w:val="nil"/>
          <w:left w:val="nil"/>
          <w:bottom w:val="nil"/>
          <w:right w:val="nil"/>
          <w:between w:val="nil"/>
          <w:bar w:val="nil"/>
        </w:pBdr>
        <w:spacing w:before="0" w:after="240"/>
        <w:rPr>
          <w:rFonts w:eastAsia="Arial Unicode MS"/>
          <w:noProof/>
        </w:rPr>
      </w:pPr>
      <w:r>
        <w:rPr>
          <w:noProof/>
        </w:rPr>
        <w:t xml:space="preserve">Preverjanje ustreznosti je </w:t>
      </w:r>
      <w:r>
        <w:rPr>
          <w:noProof/>
        </w:rPr>
        <w:t>pokazalo, da so ključni cilji zakonodaje EU o varnosti potniških ladij, ki so povezani z varnostjo potnikov in notranjim trgom, na splošno izpolnjeni in še vedno zelo pomembni. Rezultat pravnega okvira EU za varnost potniških ladij so skupna raven varnosti</w:t>
      </w:r>
      <w:r>
        <w:rPr>
          <w:noProof/>
        </w:rPr>
        <w:t xml:space="preserve"> za potniške ladje v EU in enaki konkurenčni pogoji med operaterji, pa tudi večji prenos ladij med državami članicami. Preverjanje ustreznosti je tudi pokazalo, da obstajajo možnosti za nadaljnje povečanje ravni varnosti, pa tudi učinkovitosti in sorazmern</w:t>
      </w:r>
      <w:r>
        <w:rPr>
          <w:noProof/>
        </w:rPr>
        <w:t>osti nekaterih regulativnih zahtev. Na več področjih so bila podana priporočila za poenostavitev, pojasnitev in razveljavitev nekaterih nejasnih, zastarelih ali prekrivajočih se zahtev:</w:t>
      </w:r>
    </w:p>
    <w:p w:rsidR="00A625D1" w:rsidRDefault="00946959">
      <w:pPr>
        <w:pStyle w:val="Point0letter"/>
        <w:numPr>
          <w:ilvl w:val="1"/>
          <w:numId w:val="13"/>
        </w:numPr>
        <w:rPr>
          <w:noProof/>
        </w:rPr>
      </w:pPr>
      <w:r>
        <w:rPr>
          <w:noProof/>
        </w:rPr>
        <w:t xml:space="preserve">odprava zahtev za dvojno sporočanje podatkov o potnikih in uskladitev </w:t>
      </w:r>
      <w:r>
        <w:rPr>
          <w:noProof/>
        </w:rPr>
        <w:t>obstoječih zahtev za poročanje za vse operaterje z določitvijo:</w:t>
      </w:r>
    </w:p>
    <w:p w:rsidR="00A625D1" w:rsidRDefault="00946959">
      <w:pPr>
        <w:pStyle w:val="Bullet1"/>
        <w:numPr>
          <w:ilvl w:val="0"/>
          <w:numId w:val="12"/>
        </w:numPr>
        <w:rPr>
          <w:noProof/>
        </w:rPr>
      </w:pPr>
      <w:r>
        <w:rPr>
          <w:noProof/>
        </w:rPr>
        <w:t>beleženja podatkov o številu oseb na ladji v obstoječem elektronskem sistemu, ki v nujnih primerih ali v primeru nesreče omogoča takojšnjo posredovanje podatkov pristojnemu organu, namesto v s</w:t>
      </w:r>
      <w:r>
        <w:rPr>
          <w:noProof/>
        </w:rPr>
        <w:t xml:space="preserve">istemu družbe, pred izplutjem iz katerega koli pristanišča pristanka EU in pred prihodom vanj; </w:t>
      </w:r>
    </w:p>
    <w:p w:rsidR="00A625D1" w:rsidRDefault="00946959">
      <w:pPr>
        <w:pStyle w:val="Bullet1"/>
        <w:numPr>
          <w:ilvl w:val="0"/>
          <w:numId w:val="12"/>
        </w:numPr>
        <w:rPr>
          <w:noProof/>
        </w:rPr>
      </w:pPr>
      <w:r>
        <w:rPr>
          <w:noProof/>
        </w:rPr>
        <w:t xml:space="preserve">beleženja – za vsako plovbo, daljšo od 20 navtičnih milj – zahtevanih podatkov o posadki in potnikih v enakem sistemu, kot je naveden zgoraj, namesto v sistemu </w:t>
      </w:r>
      <w:r>
        <w:rPr>
          <w:noProof/>
        </w:rPr>
        <w:t>družbe, pred odhodom iz katerega koli pristanišča pristanka EU in pred prihodom vanj. pojasnitve opredelitev zahtev za registracijo potnikov iz Direktive 98/41/ES, kot je dolžina plovbe;</w:t>
      </w:r>
    </w:p>
    <w:p w:rsidR="00A625D1" w:rsidRDefault="00946959">
      <w:pPr>
        <w:pStyle w:val="Point0letter"/>
        <w:rPr>
          <w:noProof/>
        </w:rPr>
      </w:pPr>
      <w:r>
        <w:rPr>
          <w:noProof/>
        </w:rPr>
        <w:t>preprečevanja prekrivanj in zahteve – za vsako plovbo, daljšo od 20 n</w:t>
      </w:r>
      <w:r>
        <w:rPr>
          <w:noProof/>
        </w:rPr>
        <w:t>avtičnih milj –, da se državljanstvo potnikov zabeleži in sporoči pristojnemu organu z uporabo enakih sredstev in meril, kot so vzpostavljena za beleženje in pošiljanje že zahtevanih podatkov o imenu, starosti itd.;</w:t>
      </w:r>
    </w:p>
    <w:p w:rsidR="00A625D1" w:rsidRDefault="00946959">
      <w:pPr>
        <w:pStyle w:val="Point0letter"/>
        <w:rPr>
          <w:noProof/>
        </w:rPr>
      </w:pPr>
      <w:r>
        <w:rPr>
          <w:noProof/>
        </w:rPr>
        <w:t>pojasnitve opredelitev zahtev za registr</w:t>
      </w:r>
      <w:r>
        <w:rPr>
          <w:noProof/>
        </w:rPr>
        <w:t>acijo potnikov iz Direktive 98/41/ES, kot je dolžina plovbe;</w:t>
      </w:r>
    </w:p>
    <w:p w:rsidR="00A625D1" w:rsidRDefault="00946959">
      <w:pPr>
        <w:pStyle w:val="Point0letter"/>
        <w:rPr>
          <w:noProof/>
        </w:rPr>
      </w:pPr>
      <w:r>
        <w:rPr>
          <w:noProof/>
        </w:rPr>
        <w:t>odprave zahteve za odobritev sistemov registracije potnikov iz Direktive 98/41/ES;</w:t>
      </w:r>
    </w:p>
    <w:p w:rsidR="00A625D1" w:rsidRDefault="00946959">
      <w:pPr>
        <w:pStyle w:val="Point0letter"/>
        <w:rPr>
          <w:rFonts w:eastAsia="Arial Unicode MS"/>
          <w:noProof/>
        </w:rPr>
      </w:pPr>
      <w:r>
        <w:rPr>
          <w:noProof/>
        </w:rPr>
        <w:t>poenostavitve mehanizma poročanja o izjemah/enakovrednih nadomestitvah na podlagi Direktive 2009/45/ES in Direkt</w:t>
      </w:r>
      <w:r>
        <w:rPr>
          <w:noProof/>
        </w:rPr>
        <w:t>ive 98/41/ES.</w:t>
      </w:r>
    </w:p>
    <w:p w:rsidR="00A625D1" w:rsidRDefault="00946959">
      <w:pPr>
        <w:pStyle w:val="ManualHeading2"/>
        <w:rPr>
          <w:rFonts w:eastAsia="Arial Unicode MS"/>
          <w:noProof/>
          <w:u w:color="000000"/>
          <w:bdr w:val="nil"/>
        </w:rPr>
      </w:pPr>
      <w:r>
        <w:rPr>
          <w:noProof/>
        </w:rPr>
        <w:t>3.2</w:t>
      </w:r>
      <w:r>
        <w:rPr>
          <w:noProof/>
        </w:rPr>
        <w:tab/>
        <w:t>Posvetovanja z deležniki</w:t>
      </w:r>
    </w:p>
    <w:p w:rsidR="00A625D1" w:rsidRDefault="00946959">
      <w:pPr>
        <w:pBdr>
          <w:top w:val="nil"/>
          <w:left w:val="nil"/>
          <w:bottom w:val="nil"/>
          <w:right w:val="nil"/>
          <w:between w:val="nil"/>
          <w:bar w:val="nil"/>
        </w:pBdr>
        <w:spacing w:before="0" w:after="240"/>
        <w:rPr>
          <w:rFonts w:eastAsia="Arial Unicode MS"/>
          <w:noProof/>
        </w:rPr>
      </w:pPr>
      <w:r>
        <w:rPr>
          <w:noProof/>
        </w:rPr>
        <w:t>Ob upoštevanju tehnične narave predvidenih predlogov je bilo kot najprimernejše orodje izbrano ciljno posvetovanje. V okviru strokovne skupine za varnost potniških ladij so bila opravljena posvetovanja z nacionaln</w:t>
      </w:r>
      <w:r>
        <w:rPr>
          <w:noProof/>
        </w:rPr>
        <w:t>imi strokovnjaki. Organizirana je bila delavnica, pri čemer so bile k sodelovanju povabljene države članice, pa tudi industrijska združenja in združenja potnikov. Predvideni ukrepi so bili predstavljeni ob številnih priložnostih. Poleg tega je kažipot, obj</w:t>
      </w:r>
      <w:r>
        <w:rPr>
          <w:noProof/>
        </w:rPr>
        <w:t>avljen na spletišču Europa</w:t>
      </w:r>
      <w:r>
        <w:rPr>
          <w:rStyle w:val="FootnoteReference"/>
          <w:noProof/>
        </w:rPr>
        <w:footnoteReference w:id="11"/>
      </w:r>
      <w:r>
        <w:rPr>
          <w:noProof/>
        </w:rPr>
        <w:t>, omogočal vsem deležnikom, da so zagotovili povratne informacije z uporabo spletnega obrazca za odgovor.</w:t>
      </w:r>
    </w:p>
    <w:p w:rsidR="00A625D1" w:rsidRDefault="00946959">
      <w:pPr>
        <w:pBdr>
          <w:top w:val="nil"/>
          <w:left w:val="nil"/>
          <w:bottom w:val="nil"/>
          <w:right w:val="nil"/>
          <w:between w:val="nil"/>
          <w:bar w:val="nil"/>
        </w:pBdr>
        <w:spacing w:before="0" w:after="240"/>
        <w:rPr>
          <w:rFonts w:eastAsia="Arial Unicode MS"/>
          <w:noProof/>
        </w:rPr>
      </w:pPr>
      <w:r>
        <w:rPr>
          <w:noProof/>
        </w:rPr>
        <w:t>Povzetek posvetovanja in podrobne povratne informacije o pripombah, podanih med postopkom posvetovanja, so navedeni v delov</w:t>
      </w:r>
      <w:r>
        <w:rPr>
          <w:noProof/>
        </w:rPr>
        <w:t xml:space="preserve">nem dokumentu služb Komisije, priloženem predlogu. Predvidene ukrepe za poenostavitev je podprla velika večina nacionalnih strokovnjakov, čeprav so bile podane številne pripombe glede natančnega besedila nekaterih predlogov. Vse pobude so bile zato skrbno </w:t>
      </w:r>
      <w:r>
        <w:rPr>
          <w:noProof/>
        </w:rPr>
        <w:t>preučene, predlogi pa so bili ustrezno spremenjeni. Poleg tega so nekateri strokovnjaki zastavili vprašanja v zvezi z vidiki praktičnega in tehničnega izvajanja, ki so obravnavana v delovnem dokumentu služb Komisije, priloženem predlogu, in vključena v nač</w:t>
      </w:r>
      <w:r>
        <w:rPr>
          <w:noProof/>
        </w:rPr>
        <w:t>rt za izvedbo.</w:t>
      </w:r>
    </w:p>
    <w:p w:rsidR="00A625D1" w:rsidRDefault="00946959">
      <w:pPr>
        <w:pBdr>
          <w:top w:val="nil"/>
          <w:left w:val="nil"/>
          <w:bottom w:val="nil"/>
          <w:right w:val="nil"/>
          <w:between w:val="nil"/>
          <w:bar w:val="nil"/>
        </w:pBdr>
        <w:spacing w:before="0" w:after="240"/>
        <w:rPr>
          <w:rFonts w:eastAsia="Arial Unicode MS"/>
          <w:noProof/>
        </w:rPr>
      </w:pPr>
      <w:r>
        <w:rPr>
          <w:noProof/>
        </w:rPr>
        <w:t>Deležniki iz panoge so vztrajali, da ključna načela veljavnega pravnega okvira ostanejo nespremenjena (in sicer v zvezi z lastno izjavo glede podatkov o potnikih), medtem ko je združenje potnikov pozvalo k povečanju ravni varnosti in opozori</w:t>
      </w:r>
      <w:r>
        <w:rPr>
          <w:noProof/>
        </w:rPr>
        <w:t>lo na njeno zniževanje. Predlog zato zagotavlja ohranitev obstoječe ravni varnosti in, v obsegu, ki ga omogoča okvir poenostavitve, njeno povečevanje (npr. z izkoriščanjem obstoječih elektronskih sistemov in pojasnitvijo, kako bi bilo treba izračunati prag</w:t>
      </w:r>
      <w:r>
        <w:rPr>
          <w:noProof/>
        </w:rPr>
        <w:t xml:space="preserve"> 20 navtičnih milj).</w:t>
      </w:r>
    </w:p>
    <w:p w:rsidR="00A625D1" w:rsidRDefault="00946959">
      <w:pPr>
        <w:pStyle w:val="ManualHeading2"/>
        <w:rPr>
          <w:rFonts w:eastAsia="Arial Unicode MS"/>
          <w:noProof/>
          <w:u w:color="000000"/>
          <w:bdr w:val="nil"/>
        </w:rPr>
      </w:pPr>
      <w:r>
        <w:rPr>
          <w:noProof/>
        </w:rPr>
        <w:t>3.3</w:t>
      </w:r>
      <w:r>
        <w:rPr>
          <w:noProof/>
        </w:rPr>
        <w:tab/>
        <w:t>Zbiranje in uporaba strokovnih mnenj</w:t>
      </w:r>
    </w:p>
    <w:p w:rsidR="00A625D1" w:rsidRDefault="00946959">
      <w:pPr>
        <w:pBdr>
          <w:top w:val="nil"/>
          <w:left w:val="nil"/>
          <w:bottom w:val="nil"/>
          <w:right w:val="nil"/>
          <w:between w:val="nil"/>
          <w:bar w:val="nil"/>
        </w:pBdr>
        <w:spacing w:before="0" w:after="240"/>
        <w:rPr>
          <w:rFonts w:eastAsia="Arial Unicode MS"/>
          <w:noProof/>
        </w:rPr>
      </w:pPr>
      <w:r>
        <w:rPr>
          <w:noProof/>
        </w:rPr>
        <w:t>Ta pregled temelji predvsem na podatkih, zbranih med postopkom preverjanja ustreznosti, kot so navedeni v delovnem dokumentu služb Komisije „Nova usmeritev: Preverjanje ustreznosti zakonodaje EU</w:t>
      </w:r>
      <w:r>
        <w:rPr>
          <w:noProof/>
        </w:rPr>
        <w:t xml:space="preserve"> o varnosti potniških ladij“, sprejetem 16. oktobra 2015</w:t>
      </w:r>
      <w:r>
        <w:rPr>
          <w:rStyle w:val="FootnoteReference"/>
          <w:noProof/>
        </w:rPr>
        <w:footnoteReference w:id="12"/>
      </w:r>
      <w:r>
        <w:rPr>
          <w:noProof/>
        </w:rPr>
        <w:t>.</w:t>
      </w:r>
    </w:p>
    <w:p w:rsidR="00A625D1" w:rsidRDefault="00946959">
      <w:pPr>
        <w:pBdr>
          <w:top w:val="nil"/>
          <w:left w:val="nil"/>
          <w:bottom w:val="nil"/>
          <w:right w:val="nil"/>
          <w:between w:val="nil"/>
          <w:bar w:val="nil"/>
        </w:pBdr>
        <w:spacing w:before="0" w:after="240"/>
        <w:rPr>
          <w:rFonts w:eastAsia="Arial Unicode MS"/>
          <w:noProof/>
        </w:rPr>
      </w:pPr>
      <w:r>
        <w:rPr>
          <w:noProof/>
        </w:rPr>
        <w:t>Poleg podatkov in posvetovanj, opravljenih v okviru preverjanja ustreznosti, so bile za pripravo tega predloga za poenostavitev potrebne informacije tehničnih in pravnih strokovnjakov v zvezi s kon</w:t>
      </w:r>
      <w:r>
        <w:rPr>
          <w:noProof/>
        </w:rPr>
        <w:t>kretnim oblikovanjem tehničnih opredelitev in pripravo jasnih osnutkov pravnih aktov. To strokovno znanje je bilo zbrano interno, v sodelovanju z Evropsko agencijo za varnost v pomorskem prometu in strokovno skupino za varnost potniških ladij. Predstavljen</w:t>
      </w:r>
      <w:r>
        <w:rPr>
          <w:noProof/>
        </w:rPr>
        <w:t>o je v delovnem dokumentu služb Komisije, priloženem predlogu.</w:t>
      </w:r>
    </w:p>
    <w:p w:rsidR="00A625D1" w:rsidRDefault="00946959">
      <w:pPr>
        <w:pStyle w:val="ManualHeading2"/>
        <w:rPr>
          <w:rFonts w:eastAsia="Arial Unicode MS"/>
          <w:noProof/>
          <w:u w:color="000000"/>
          <w:bdr w:val="nil"/>
        </w:rPr>
      </w:pPr>
      <w:r>
        <w:rPr>
          <w:noProof/>
        </w:rPr>
        <w:t>3.4</w:t>
      </w:r>
      <w:r>
        <w:rPr>
          <w:noProof/>
        </w:rPr>
        <w:tab/>
        <w:t>Ocena učinka</w:t>
      </w:r>
    </w:p>
    <w:p w:rsidR="00A625D1" w:rsidRDefault="00946959">
      <w:pPr>
        <w:pBdr>
          <w:top w:val="nil"/>
          <w:left w:val="nil"/>
          <w:bottom w:val="nil"/>
          <w:right w:val="nil"/>
          <w:between w:val="nil"/>
          <w:bar w:val="nil"/>
        </w:pBdr>
        <w:spacing w:before="0" w:after="240"/>
        <w:rPr>
          <w:rFonts w:eastAsia="Arial Unicode MS"/>
          <w:noProof/>
        </w:rPr>
      </w:pPr>
      <w:r>
        <w:rPr>
          <w:noProof/>
        </w:rPr>
        <w:t>Predlog je neposreden odziv na preverjanje ustreznosti, s katerim so bila podrobno opredeljena vprašanja glede poenostavitve in ocenjene možnosti poenostavitve. Kot je poudarje</w:t>
      </w:r>
      <w:r>
        <w:rPr>
          <w:noProof/>
        </w:rPr>
        <w:t>no v kažipotu, se za predvidene ukrepe ne pričakuje, da bodo ustvarili kakršne koli bistvene učinke (tj. poleg tistih, ki niso merljivi, kot so pravna jasnost, varnost ali enostavnost), ali pa niso bile opredeljene bistveno drugačne rešitve. V skladu s sme</w:t>
      </w:r>
      <w:r>
        <w:rPr>
          <w:noProof/>
        </w:rPr>
        <w:t>rnicami Komisije za boljše pravno urejanje ni bila izvedena celovita ocena učinka.</w:t>
      </w:r>
    </w:p>
    <w:p w:rsidR="00A625D1" w:rsidRDefault="00946959">
      <w:pPr>
        <w:pBdr>
          <w:top w:val="nil"/>
          <w:left w:val="nil"/>
          <w:bottom w:val="nil"/>
          <w:right w:val="nil"/>
          <w:between w:val="nil"/>
          <w:bar w:val="nil"/>
        </w:pBdr>
        <w:spacing w:before="0" w:after="240"/>
        <w:rPr>
          <w:rFonts w:eastAsia="Arial Unicode MS"/>
          <w:noProof/>
        </w:rPr>
      </w:pPr>
      <w:r>
        <w:rPr>
          <w:noProof/>
        </w:rPr>
        <w:t>Vendar je predlogu za poenostavitev priložen delovni dokument služb Komisije, ki opozarja na priporočila na podlagi preverjanja ustreznosti ter pojasnjuje razloge za predlag</w:t>
      </w:r>
      <w:r>
        <w:rPr>
          <w:noProof/>
        </w:rPr>
        <w:t xml:space="preserve">ane rešitve s tehničnega in pravnega vidika. Vključuje povzetek in povratne informacije o posvetovanju z deležniki, izvedenem v podporo tej pobudi. Priložen je tudi načrt za izvedbo. </w:t>
      </w:r>
    </w:p>
    <w:p w:rsidR="00A625D1" w:rsidRDefault="00946959">
      <w:pPr>
        <w:pStyle w:val="ManualHeading2"/>
        <w:rPr>
          <w:rFonts w:eastAsia="Arial Unicode MS"/>
          <w:noProof/>
          <w:u w:color="000000"/>
          <w:bdr w:val="nil"/>
        </w:rPr>
      </w:pPr>
      <w:r>
        <w:rPr>
          <w:noProof/>
        </w:rPr>
        <w:t>3.5</w:t>
      </w:r>
      <w:r>
        <w:rPr>
          <w:noProof/>
        </w:rPr>
        <w:tab/>
        <w:t>Ustreznost in poenostavitev ureditve</w:t>
      </w:r>
    </w:p>
    <w:p w:rsidR="00A625D1" w:rsidRDefault="00946959">
      <w:pPr>
        <w:pBdr>
          <w:top w:val="nil"/>
          <w:left w:val="nil"/>
          <w:bottom w:val="nil"/>
          <w:right w:val="nil"/>
          <w:between w:val="nil"/>
          <w:bar w:val="nil"/>
        </w:pBdr>
        <w:spacing w:before="0" w:after="240"/>
        <w:rPr>
          <w:rFonts w:eastAsia="Arial Unicode MS"/>
          <w:noProof/>
        </w:rPr>
      </w:pPr>
      <w:r>
        <w:rPr>
          <w:noProof/>
        </w:rPr>
        <w:t>Glavni cilj tega predloga je zagotoviti, da veljavna zakonodaja ustreza svojemu namenu. Uporaba razpoložljivih načinov elektronske komunikacije bo omogočila učinkovitejše in uspešnejše doseganje ciljev politike. Možnost poenostavitve vključuje predvsem odp</w:t>
      </w:r>
      <w:r>
        <w:rPr>
          <w:noProof/>
        </w:rPr>
        <w:t xml:space="preserve">ravo prekrivanj obveznosti poročanja, nesorazmernih zahtev in nemerljivih učinkov, kot so pravna jasnost, varnost in enostavnost. </w:t>
      </w:r>
    </w:p>
    <w:p w:rsidR="00A625D1" w:rsidRDefault="00946959">
      <w:pPr>
        <w:pBdr>
          <w:top w:val="nil"/>
          <w:left w:val="nil"/>
          <w:bottom w:val="nil"/>
          <w:right w:val="nil"/>
          <w:between w:val="nil"/>
          <w:bar w:val="nil"/>
        </w:pBdr>
        <w:spacing w:before="0" w:after="240"/>
        <w:rPr>
          <w:rFonts w:eastAsia="Arial Unicode MS"/>
          <w:noProof/>
        </w:rPr>
      </w:pPr>
      <w:r>
        <w:rPr>
          <w:noProof/>
        </w:rPr>
        <w:t>Zahteve za dvojno poročanje za operaterje, ki že prenašajo podatke o potnikih in posadki v nacionalno enotno okence, ustvarjajo dodatno in nepotrebno breme za panogo. Predviden je manj strog režim za (načeloma manjše) operaterje, ki še ne uporabljajo naved</w:t>
      </w:r>
      <w:r>
        <w:rPr>
          <w:noProof/>
        </w:rPr>
        <w:t xml:space="preserve">enih sistemov. Te družbe večinoma opravljajo zelo kratke notranje plovbe (tj. beležijo samo podatke o številu oseb na ladji) in nimajo računalniških sistemov ali internetne povezave. </w:t>
      </w:r>
    </w:p>
    <w:p w:rsidR="00A625D1" w:rsidRDefault="00946959">
      <w:pPr>
        <w:pBdr>
          <w:top w:val="nil"/>
          <w:left w:val="nil"/>
          <w:bottom w:val="nil"/>
          <w:right w:val="nil"/>
          <w:between w:val="nil"/>
          <w:bar w:val="nil"/>
        </w:pBdr>
        <w:spacing w:before="0" w:after="240"/>
        <w:rPr>
          <w:rFonts w:eastAsia="Arial Unicode MS"/>
          <w:noProof/>
        </w:rPr>
      </w:pPr>
      <w:r>
        <w:rPr>
          <w:noProof/>
        </w:rPr>
        <w:t>Za preprečitev morebitnega zvišanja stroškov za te operaterje se zanje p</w:t>
      </w:r>
      <w:r>
        <w:rPr>
          <w:noProof/>
        </w:rPr>
        <w:t>redvideva možnost prenosa podatkov o številu oseb na ladji prek sistema samodejnega obveščanja, tj. pomorskega sistema za prenos sporočil, ki temelji na prenosu radijskih signalov zelo visokih frekvenc. To bi lokalnim iskalnim in reševalnim centrom omogoči</w:t>
      </w:r>
      <w:r>
        <w:rPr>
          <w:noProof/>
        </w:rPr>
        <w:t xml:space="preserve">lo, da bi lahko kadar koli enostavno pridobili podatke o številu oseb na ladji, ne glede na razpoložljivost kontaktne osebe. </w:t>
      </w:r>
    </w:p>
    <w:p w:rsidR="00A625D1" w:rsidRDefault="00946959">
      <w:pPr>
        <w:pBdr>
          <w:top w:val="nil"/>
          <w:left w:val="nil"/>
          <w:bottom w:val="nil"/>
          <w:right w:val="nil"/>
          <w:between w:val="nil"/>
          <w:bar w:val="nil"/>
        </w:pBdr>
        <w:spacing w:before="0" w:after="240"/>
        <w:rPr>
          <w:rFonts w:eastAsia="Arial Unicode MS"/>
          <w:noProof/>
        </w:rPr>
      </w:pPr>
      <w:r>
        <w:rPr>
          <w:noProof/>
        </w:rPr>
        <w:t>Državam članicam ne bo več treba potrjevati sistemov družb za registracijo potnikov, čeprav bodo še naprej pristojne za zagotavlja</w:t>
      </w:r>
      <w:r>
        <w:rPr>
          <w:noProof/>
        </w:rPr>
        <w:t>nje, da se informacije natančno in pravočasno zbirajo in beležijo elektronsko.</w:t>
      </w:r>
    </w:p>
    <w:p w:rsidR="00A625D1" w:rsidRDefault="00946959">
      <w:pPr>
        <w:pStyle w:val="ManualHeading2"/>
        <w:rPr>
          <w:rFonts w:eastAsia="Arial Unicode MS"/>
          <w:noProof/>
          <w:u w:color="000000"/>
          <w:bdr w:val="nil"/>
        </w:rPr>
      </w:pPr>
      <w:r>
        <w:rPr>
          <w:noProof/>
        </w:rPr>
        <w:t>3.6</w:t>
      </w:r>
      <w:r>
        <w:rPr>
          <w:noProof/>
        </w:rPr>
        <w:tab/>
        <w:t>Temeljne pravice</w:t>
      </w:r>
    </w:p>
    <w:p w:rsidR="00A625D1" w:rsidRDefault="00946959">
      <w:pPr>
        <w:pBdr>
          <w:top w:val="nil"/>
          <w:left w:val="nil"/>
          <w:bottom w:val="nil"/>
          <w:right w:val="nil"/>
          <w:between w:val="nil"/>
          <w:bar w:val="nil"/>
        </w:pBdr>
        <w:spacing w:before="0" w:after="240"/>
        <w:rPr>
          <w:noProof/>
        </w:rPr>
      </w:pPr>
      <w:r>
        <w:rPr>
          <w:noProof/>
        </w:rPr>
        <w:t>Predlog ne dodaja dodatnih kategorij ali spreminja kategorij osebnih podatkov, ki jih je treba zbirati in beležiti v skladu z veljavnimi zahtevami Direktive</w:t>
      </w:r>
      <w:r>
        <w:rPr>
          <w:noProof/>
        </w:rPr>
        <w:t> 98/41/ES. Edina izjema v zvezi s tem so podatki o državljanstvu oseb na ladji, za katere se zaradi zgoraj pojasnjenih razlogov predlaga, da se dodajo podatkom, ki se že beležijo (tj. priimki oseb na ladji, njihova imena ali začetnice, spol, navedba staros</w:t>
      </w:r>
      <w:r>
        <w:rPr>
          <w:noProof/>
        </w:rPr>
        <w:t>tne skupine oseb ali starost oziroma leto rojstva in podatki o posebni negi ali pomoči v sili, kadar jih potnik navede prostovoljno).</w:t>
      </w:r>
    </w:p>
    <w:p w:rsidR="00A625D1" w:rsidRDefault="00946959">
      <w:pPr>
        <w:pBdr>
          <w:top w:val="nil"/>
          <w:left w:val="nil"/>
          <w:bottom w:val="nil"/>
          <w:right w:val="nil"/>
          <w:between w:val="nil"/>
          <w:bar w:val="nil"/>
        </w:pBdr>
        <w:spacing w:before="0" w:after="240"/>
        <w:rPr>
          <w:rFonts w:eastAsia="Arial Unicode MS"/>
          <w:noProof/>
        </w:rPr>
      </w:pPr>
      <w:r>
        <w:rPr>
          <w:noProof/>
        </w:rPr>
        <w:t xml:space="preserve">Vendar pa je treba Direktivo 98/41/ES posodobiti v skladu s pravnim razvojem na področju varstva osebnih podatkov, zlasti </w:t>
      </w:r>
      <w:r>
        <w:rPr>
          <w:noProof/>
        </w:rPr>
        <w:t>Uredbo (EU) št. XXX/2016</w:t>
      </w:r>
      <w:r>
        <w:rPr>
          <w:rStyle w:val="FootnoteReference"/>
          <w:noProof/>
        </w:rPr>
        <w:footnoteReference w:id="13"/>
      </w:r>
      <w:r>
        <w:rPr>
          <w:noProof/>
        </w:rPr>
        <w:t>. Čeprav so v zvezi s tem kategorije podatkov, namen in prejemniki jasno opredeljeni, pa to ne velja za obdobje hrambe podatkov. Direktiva 98/41/ES določa, da družba ne sme hraniti osebnih podatkov dlje kot je potrebno za namene te</w:t>
      </w:r>
      <w:r>
        <w:rPr>
          <w:noProof/>
        </w:rPr>
        <w:t xml:space="preserve"> direktive, vendar ne navaja, kako dolgo bi moralo biti to obdobje. Izkušnje z izvajanjem so pokazale, da se obdobje hrambe podatkov med državami članicami zelo razlikuje – lahko traja nekaj ur, tednov ali mesecev po (uspešnem) zaključku plovbe. Zato se pr</w:t>
      </w:r>
      <w:r>
        <w:rPr>
          <w:noProof/>
        </w:rPr>
        <w:t>edlaga, da se v tej direktivi določi obdobje hrambe (brez poseganja v druge pravne zahteve, če se taki podatki zbirajo za drugačne namene z drugačnim obdobjem hrambe).</w:t>
      </w:r>
    </w:p>
    <w:p w:rsidR="00A625D1" w:rsidRDefault="00946959">
      <w:pPr>
        <w:pBdr>
          <w:top w:val="nil"/>
          <w:left w:val="nil"/>
          <w:bottom w:val="nil"/>
          <w:right w:val="nil"/>
          <w:between w:val="nil"/>
          <w:bar w:val="nil"/>
        </w:pBdr>
        <w:spacing w:before="0" w:after="240"/>
        <w:rPr>
          <w:rFonts w:eastAsia="Arial Unicode MS"/>
          <w:noProof/>
        </w:rPr>
      </w:pPr>
      <w:r>
        <w:rPr>
          <w:noProof/>
        </w:rPr>
        <w:t>Čeprav Direktiva določa, da morajo biti sistemi družb za registracijo zavarovani pred na</w:t>
      </w:r>
      <w:r>
        <w:rPr>
          <w:noProof/>
        </w:rPr>
        <w:t>ključnim ali nezakonitim uničenjem ali izgubo in nepooblaščenim spreminjanjem, razkritjem ali dostopom, se ne sklicuje na zakonodajo EU o varstvu osebnih podatkov in ne vključuje nobenih zagotovil v zvezi z dostopnostjo osebnih podatkov. V zvezi s tem se š</w:t>
      </w:r>
      <w:r>
        <w:rPr>
          <w:noProof/>
        </w:rPr>
        <w:t>teje, da predlog zagotavlja pomembno izboljšanje varstva osebnih podatkov.</w:t>
      </w:r>
    </w:p>
    <w:p w:rsidR="00A625D1" w:rsidRDefault="00946959">
      <w:pPr>
        <w:pBdr>
          <w:top w:val="nil"/>
          <w:left w:val="nil"/>
          <w:bottom w:val="nil"/>
          <w:right w:val="nil"/>
          <w:between w:val="nil"/>
          <w:bar w:val="nil"/>
        </w:pBdr>
        <w:spacing w:before="0" w:after="240"/>
        <w:rPr>
          <w:rFonts w:eastAsia="Arial Unicode MS"/>
          <w:noProof/>
        </w:rPr>
      </w:pPr>
      <w:r>
        <w:rPr>
          <w:noProof/>
        </w:rPr>
        <w:t>Poleg tega se v predlogu zahteva, da mora osebne podatke hraniti družba, nadomešča z zahtevo za prenos takih podatkov v obstoječi elektronski sistem, zasnovan za tak namen (in za iz</w:t>
      </w:r>
      <w:r>
        <w:rPr>
          <w:noProof/>
        </w:rPr>
        <w:t>bris osebnih podatkov po zaključku prenosa). Predlagani prenos v nacionalno enotno okence izpolnjuje zahteve glede zaupnosti (kot so opredeljene v členu 8 Direktive 2010/65/EU) in je skladen z zakonodajo EU o varstvu osebnih podatkov. Določa tudi omejen do</w:t>
      </w:r>
      <w:r>
        <w:rPr>
          <w:noProof/>
        </w:rPr>
        <w:t xml:space="preserve">stop do takih podatkov, ki se ustreznim nacionalnim organom zagotovi na zahtevo (pri čemer je mehanizem izmenjave v nujnih primerih ali po nesreči sistem SafeSeaNet, kot je opredeljen v Direktivi 2002/59/ES). Enako kot nacionalno enotno okence tudi sistem </w:t>
      </w:r>
      <w:r>
        <w:rPr>
          <w:noProof/>
        </w:rPr>
        <w:t>SafeSeaNet temelji na zakonodaji EU o varstvu osebnih podatkov ter določa jasno opredeljene pravice glede varnosti in dostopa.</w:t>
      </w:r>
    </w:p>
    <w:p w:rsidR="00A625D1" w:rsidRDefault="00946959">
      <w:pPr>
        <w:pBdr>
          <w:top w:val="nil"/>
          <w:left w:val="nil"/>
          <w:bottom w:val="nil"/>
          <w:right w:val="nil"/>
          <w:between w:val="nil"/>
          <w:bar w:val="nil"/>
        </w:pBdr>
        <w:spacing w:before="0" w:after="240"/>
        <w:rPr>
          <w:noProof/>
        </w:rPr>
      </w:pPr>
      <w:r>
        <w:rPr>
          <w:noProof/>
        </w:rPr>
        <w:t>Ustrezni nacionalni organi, ki se jim odobri dostop za namen te direktive, so organi za iskanje in reševanje, ki jih imenujejo dr</w:t>
      </w:r>
      <w:r>
        <w:rPr>
          <w:noProof/>
        </w:rPr>
        <w:t>žave članice. Na zahtevo se v nujnih primerih ali po nesreči organom, pristojnim za iskanje in reševanje, omogoči takojšen dostop do podatkov, sporočenih v skladu z Direktivo 98/41/ES.</w:t>
      </w:r>
    </w:p>
    <w:p w:rsidR="00A625D1" w:rsidRDefault="00946959">
      <w:pPr>
        <w:pStyle w:val="ManualHeading1"/>
        <w:rPr>
          <w:noProof/>
        </w:rPr>
      </w:pPr>
      <w:r>
        <w:rPr>
          <w:noProof/>
        </w:rPr>
        <w:t>4.</w:t>
      </w:r>
      <w:r>
        <w:rPr>
          <w:noProof/>
        </w:rPr>
        <w:tab/>
        <w:t>PRORAČUNSKE POSLEDICE</w:t>
      </w:r>
    </w:p>
    <w:p w:rsidR="00A625D1" w:rsidRDefault="00946959">
      <w:pPr>
        <w:pBdr>
          <w:top w:val="nil"/>
          <w:left w:val="nil"/>
          <w:bottom w:val="nil"/>
          <w:right w:val="nil"/>
          <w:between w:val="nil"/>
          <w:bar w:val="nil"/>
        </w:pBdr>
        <w:spacing w:before="0" w:after="240"/>
        <w:rPr>
          <w:rFonts w:eastAsia="Arial Unicode MS"/>
          <w:noProof/>
        </w:rPr>
      </w:pPr>
      <w:r>
        <w:rPr>
          <w:noProof/>
        </w:rPr>
        <w:t>Predlog ne vpliva na proračun Unije.</w:t>
      </w:r>
    </w:p>
    <w:p w:rsidR="00A625D1" w:rsidRDefault="00946959">
      <w:pPr>
        <w:pStyle w:val="ManualHeading1"/>
        <w:rPr>
          <w:noProof/>
        </w:rPr>
      </w:pPr>
      <w:r>
        <w:rPr>
          <w:noProof/>
        </w:rPr>
        <w:t>5.</w:t>
      </w:r>
      <w:r>
        <w:rPr>
          <w:noProof/>
        </w:rPr>
        <w:tab/>
        <w:t xml:space="preserve">DRUGI </w:t>
      </w:r>
      <w:r>
        <w:rPr>
          <w:noProof/>
        </w:rPr>
        <w:t>ELEMENTI</w:t>
      </w:r>
    </w:p>
    <w:p w:rsidR="00A625D1" w:rsidRDefault="00946959">
      <w:pPr>
        <w:pStyle w:val="ManualHeading2"/>
        <w:rPr>
          <w:rFonts w:eastAsia="Arial Unicode MS"/>
          <w:noProof/>
          <w:u w:color="000000"/>
          <w:bdr w:val="nil"/>
        </w:rPr>
      </w:pPr>
      <w:r>
        <w:rPr>
          <w:noProof/>
        </w:rPr>
        <w:t>5.1</w:t>
      </w:r>
      <w:r>
        <w:rPr>
          <w:noProof/>
        </w:rPr>
        <w:tab/>
        <w:t>Načrti za izvedbo ter ureditev spremljanja, ocenjevanja in poročanja</w:t>
      </w:r>
    </w:p>
    <w:p w:rsidR="00A625D1" w:rsidRDefault="00946959">
      <w:pPr>
        <w:pBdr>
          <w:top w:val="nil"/>
          <w:left w:val="nil"/>
          <w:bottom w:val="nil"/>
          <w:right w:val="nil"/>
          <w:between w:val="nil"/>
          <w:bar w:val="nil"/>
        </w:pBdr>
        <w:spacing w:before="0" w:after="240"/>
        <w:rPr>
          <w:rFonts w:eastAsia="Arial Unicode MS"/>
          <w:noProof/>
        </w:rPr>
      </w:pPr>
      <w:r>
        <w:rPr>
          <w:noProof/>
        </w:rPr>
        <w:t>Predlogu je priložen načrt za izvedbo, v katerem so navedeni ukrepi, potrebni za izvedbo ukrepov poenostavitve, ter opredeljeni glavni tehnični, pravni in časovni izzivi, pov</w:t>
      </w:r>
      <w:r>
        <w:rPr>
          <w:noProof/>
        </w:rPr>
        <w:t>ezani z izvajanjem.</w:t>
      </w:r>
    </w:p>
    <w:p w:rsidR="00A625D1" w:rsidRDefault="00946959">
      <w:pPr>
        <w:pBdr>
          <w:top w:val="nil"/>
          <w:left w:val="nil"/>
          <w:bottom w:val="nil"/>
          <w:right w:val="nil"/>
          <w:between w:val="nil"/>
          <w:bar w:val="nil"/>
        </w:pBdr>
        <w:spacing w:before="0" w:after="240"/>
        <w:rPr>
          <w:rFonts w:eastAsia="Arial Unicode MS"/>
          <w:noProof/>
        </w:rPr>
      </w:pPr>
      <w:r>
        <w:rPr>
          <w:noProof/>
        </w:rPr>
        <w:t>Opredeljene so bile ustrezne ureditve spremljanja in poročanja, brez ustvarjanja novih obveznosti poročanja in upravnih bremen. Ključne informacije o floti, nesrečah in skladnosti se bodo zbirale s pomočjo EMSA in strokovne skupine za v</w:t>
      </w:r>
      <w:r>
        <w:rPr>
          <w:noProof/>
        </w:rPr>
        <w:t xml:space="preserve">arnost potniških ladij ter na podlagi podatkovne zbirke Evropske informacijske platforme za pomorske nesreče (EMCIP). Glede na to, da naj bi celotni cikel predvidenih obiskov EMSA v zvezi z izvajanjem trajal pet let, bi se moralo ocenjevanje zakonodaje EU </w:t>
      </w:r>
      <w:r>
        <w:rPr>
          <w:noProof/>
        </w:rPr>
        <w:t>o varnosti potniških ladij izvajati vsakih sedem let.</w:t>
      </w:r>
    </w:p>
    <w:p w:rsidR="00A625D1" w:rsidRDefault="00946959">
      <w:pPr>
        <w:pStyle w:val="ManualHeading2"/>
        <w:rPr>
          <w:rFonts w:eastAsia="Arial Unicode MS"/>
          <w:noProof/>
          <w:u w:color="000000"/>
          <w:bdr w:val="nil"/>
        </w:rPr>
      </w:pPr>
      <w:r>
        <w:rPr>
          <w:noProof/>
        </w:rPr>
        <w:t>5.2</w:t>
      </w:r>
      <w:r>
        <w:rPr>
          <w:noProof/>
        </w:rPr>
        <w:tab/>
        <w:t xml:space="preserve">Obrazložitveni dokumenti </w:t>
      </w:r>
    </w:p>
    <w:p w:rsidR="00A625D1" w:rsidRDefault="00946959">
      <w:pPr>
        <w:pBdr>
          <w:top w:val="nil"/>
          <w:left w:val="nil"/>
          <w:bottom w:val="nil"/>
          <w:right w:val="nil"/>
          <w:between w:val="nil"/>
          <w:bar w:val="nil"/>
        </w:pBdr>
        <w:spacing w:before="0" w:after="240"/>
        <w:rPr>
          <w:rFonts w:eastAsia="Arial Unicode MS"/>
          <w:noProof/>
        </w:rPr>
      </w:pPr>
      <w:r>
        <w:rPr>
          <w:noProof/>
        </w:rPr>
        <w:t>Obrazložitveni dokumenti niso potrebni, saj ukrepi za poenostavitev niso obsežni ali zapleteni.</w:t>
      </w:r>
    </w:p>
    <w:p w:rsidR="00A625D1" w:rsidRDefault="00946959">
      <w:pPr>
        <w:pStyle w:val="ManualHeading2"/>
        <w:rPr>
          <w:rFonts w:eastAsia="Arial Unicode MS"/>
          <w:noProof/>
          <w:u w:color="000000"/>
          <w:bdr w:val="nil"/>
        </w:rPr>
      </w:pPr>
      <w:r>
        <w:rPr>
          <w:noProof/>
        </w:rPr>
        <w:t>5.3</w:t>
      </w:r>
      <w:r>
        <w:rPr>
          <w:noProof/>
        </w:rPr>
        <w:tab/>
        <w:t>Natančnejša pojasnitev posameznih določb predloga</w:t>
      </w:r>
    </w:p>
    <w:p w:rsidR="00A625D1" w:rsidRDefault="00946959">
      <w:pPr>
        <w:pStyle w:val="ManualHeading2"/>
        <w:rPr>
          <w:noProof/>
        </w:rPr>
      </w:pPr>
      <w:r>
        <w:rPr>
          <w:noProof/>
        </w:rPr>
        <w:t xml:space="preserve">Opredelitev pojmov in </w:t>
      </w:r>
      <w:r>
        <w:rPr>
          <w:noProof/>
        </w:rPr>
        <w:t>področje uporabe</w:t>
      </w:r>
    </w:p>
    <w:p w:rsidR="00A625D1" w:rsidRDefault="00946959">
      <w:pPr>
        <w:rPr>
          <w:noProof/>
        </w:rPr>
      </w:pPr>
      <w:r>
        <w:rPr>
          <w:noProof/>
        </w:rPr>
        <w:t>Člen 2 se spremeni za čim večjo uskladitev opredelitev pojmov s predlogom za spremembo Direktive 2009/45/ES in predlogom za novo direktivo, ki bi nadomestila Direktivo 1999/35/ES, ter za uskladitev odgovornosti popisovalca potnikov s predl</w:t>
      </w:r>
      <w:r>
        <w:rPr>
          <w:noProof/>
        </w:rPr>
        <w:t xml:space="preserve">ogom za odpravo zahteve, da družba hrani podatke, ki se zahtevajo v skladu s to direktivo. </w:t>
      </w:r>
    </w:p>
    <w:p w:rsidR="00A625D1" w:rsidRDefault="00946959">
      <w:pPr>
        <w:rPr>
          <w:noProof/>
        </w:rPr>
      </w:pPr>
      <w:r>
        <w:rPr>
          <w:noProof/>
        </w:rPr>
        <w:t>Člen 3 se spremeni, da se pojasni področje uporabe Direktive in da se uskladi z opredelitvijo pristaniških območij, kot so opredeljena v skladu s predlogom za sprem</w:t>
      </w:r>
      <w:r>
        <w:rPr>
          <w:noProof/>
        </w:rPr>
        <w:t>embo Direktive 2009/45/ES.</w:t>
      </w:r>
    </w:p>
    <w:p w:rsidR="00A625D1" w:rsidRDefault="00946959">
      <w:pPr>
        <w:pStyle w:val="ManualHeading2"/>
        <w:rPr>
          <w:noProof/>
        </w:rPr>
      </w:pPr>
      <w:r>
        <w:rPr>
          <w:noProof/>
        </w:rPr>
        <w:t>Podatki o osebah na ladji</w:t>
      </w:r>
    </w:p>
    <w:p w:rsidR="00A625D1" w:rsidRDefault="00946959">
      <w:pPr>
        <w:rPr>
          <w:noProof/>
        </w:rPr>
      </w:pPr>
      <w:r>
        <w:rPr>
          <w:noProof/>
        </w:rPr>
        <w:t xml:space="preserve">Člen 4 se spremeni zaradi nadomestitve zahteve, da mora družba hraniti podatke o številu oseb na ladji, z zahtevo po beleženju podatkov v nacionalnem enotnem okencu ali njihovem prenosu s sistemom </w:t>
      </w:r>
      <w:r>
        <w:rPr>
          <w:noProof/>
        </w:rPr>
        <w:t>samodejnega prepoznavanja.</w:t>
      </w:r>
    </w:p>
    <w:p w:rsidR="00A625D1" w:rsidRDefault="00946959">
      <w:pPr>
        <w:rPr>
          <w:noProof/>
        </w:rPr>
      </w:pPr>
      <w:r>
        <w:rPr>
          <w:noProof/>
        </w:rPr>
        <w:t>Člen 5 se spremeni zaradi vključitve podatkov o državljanstvu oseb na ladji in nadomestitve zahteve, da mora družba hraniti sezname potnikov in posadke, z zahtevo po njihovem beleženju v nacionalnem enotnem okencu. Seznam zahteva</w:t>
      </w:r>
      <w:r>
        <w:rPr>
          <w:noProof/>
        </w:rPr>
        <w:t>nih vnosov podatkov se poenostavi, pojasni in čim bolj uskladi z zahtevami glede poročanja v nacionalno enotno okence.</w:t>
      </w:r>
    </w:p>
    <w:p w:rsidR="00A625D1" w:rsidRDefault="00946959">
      <w:pPr>
        <w:rPr>
          <w:noProof/>
        </w:rPr>
      </w:pPr>
      <w:r>
        <w:rPr>
          <w:noProof/>
        </w:rPr>
        <w:t>Člen 6 se spremeni zaradi uskladitve sklica s predlaganim načinom prenosa podatkov in pojasnitve obveznosti držav članic v zvezi s potniš</w:t>
      </w:r>
      <w:r>
        <w:rPr>
          <w:noProof/>
        </w:rPr>
        <w:t>kimi ladjami, ki plujejo pod zastavo tretje države.</w:t>
      </w:r>
    </w:p>
    <w:p w:rsidR="00A625D1" w:rsidRDefault="00946959">
      <w:pPr>
        <w:pStyle w:val="ManualHeading2"/>
        <w:rPr>
          <w:noProof/>
        </w:rPr>
      </w:pPr>
      <w:r>
        <w:rPr>
          <w:noProof/>
        </w:rPr>
        <w:t>Družbe</w:t>
      </w:r>
    </w:p>
    <w:p w:rsidR="00A625D1" w:rsidRDefault="00946959">
      <w:pPr>
        <w:rPr>
          <w:noProof/>
        </w:rPr>
      </w:pPr>
      <w:r>
        <w:rPr>
          <w:noProof/>
        </w:rPr>
        <w:t>Člen 8 se spremeni, da bi odražal novo vlogo popisovalca potnikov (tj. ne hramba, temveč prenos podatkov) in zaradi odprave zahteve po vzpostavitvi sistema družbe za registracijo potnikov. Spremeni</w:t>
      </w:r>
      <w:r>
        <w:rPr>
          <w:noProof/>
        </w:rPr>
        <w:t xml:space="preserve"> se tudi zato, da bi odražal zakonodajo EU o varstvu osebnih podatkov, in določa, da družba uniči osebne podatke po njihovem prenosu v enotno okence (ne da bi to posegalo v druge obveznosti poročanja).</w:t>
      </w:r>
    </w:p>
    <w:p w:rsidR="00A625D1" w:rsidRDefault="00946959">
      <w:pPr>
        <w:pStyle w:val="ManualHeading2"/>
        <w:rPr>
          <w:noProof/>
        </w:rPr>
      </w:pPr>
      <w:r>
        <w:rPr>
          <w:noProof/>
        </w:rPr>
        <w:t>Izjeme</w:t>
      </w:r>
    </w:p>
    <w:p w:rsidR="00A625D1" w:rsidRDefault="00946959">
      <w:pPr>
        <w:rPr>
          <w:noProof/>
        </w:rPr>
      </w:pPr>
      <w:r>
        <w:rPr>
          <w:noProof/>
        </w:rPr>
        <w:t>Člen 9 se spremeni zaradi odprave zastarelega s</w:t>
      </w:r>
      <w:r>
        <w:rPr>
          <w:noProof/>
        </w:rPr>
        <w:t>klica na izjemo za linijske prevoze, ki prečkajo Messinsko ožino. Zaradi uvedbe elektronskega prenosa podatkov in ob upoštevanju predlagane prilagodljivosti za prenos podatkov o številu oseb na ladji se člen 9 spremeni, da se izključi možnost izvzetja oper</w:t>
      </w:r>
      <w:r>
        <w:rPr>
          <w:noProof/>
        </w:rPr>
        <w:t xml:space="preserve">aterjev iz obveznosti pošiljanja podatkov o številu oseb na ladji pristojnim organom. </w:t>
      </w:r>
    </w:p>
    <w:p w:rsidR="00A625D1" w:rsidRDefault="00946959">
      <w:pPr>
        <w:rPr>
          <w:noProof/>
        </w:rPr>
      </w:pPr>
      <w:r>
        <w:rPr>
          <w:noProof/>
        </w:rPr>
        <w:t>Člen 9 se spremeni zaradi zagotovitve, da merila za izvzetje odražajo bližino objektov za iskanje in reševanje, ki niso več vključeni v novo opredelitev zaščitenih morsk</w:t>
      </w:r>
      <w:r>
        <w:rPr>
          <w:noProof/>
        </w:rPr>
        <w:t>ih območij. Člen 9 se spremeni tudi zaradi poenostavitve obveščanja o izjemah prek podatkovne zbirke, ki se vzpostavi in vzdržuje za ta namen, ter zaradi uskladitve postopkov za ugovarjanje izjemam iz te direktive in Direktive 2009/45/ES.</w:t>
      </w:r>
    </w:p>
    <w:p w:rsidR="00A625D1" w:rsidRDefault="00946959">
      <w:pPr>
        <w:pStyle w:val="ManualHeading2"/>
        <w:rPr>
          <w:noProof/>
        </w:rPr>
      </w:pPr>
      <w:r>
        <w:rPr>
          <w:noProof/>
        </w:rPr>
        <w:t>Države članice</w:t>
      </w:r>
    </w:p>
    <w:p w:rsidR="00A625D1" w:rsidRDefault="00946959">
      <w:pPr>
        <w:rPr>
          <w:noProof/>
        </w:rPr>
      </w:pPr>
      <w:r>
        <w:rPr>
          <w:noProof/>
        </w:rPr>
        <w:t>Čl</w:t>
      </w:r>
      <w:r>
        <w:rPr>
          <w:noProof/>
        </w:rPr>
        <w:t>en 10 se spremeni zaradi uskladitve odgovornosti držav članic s predlaganim načinom prenosa podatkov in zaradi odražanja zakonodaje EU o varstvu osebnih podatkov z določitvijo pogojev za obdelavo podatkov s strani držav članic, pravic dostopa in obdobij hr</w:t>
      </w:r>
      <w:r>
        <w:rPr>
          <w:noProof/>
        </w:rPr>
        <w:t>ambe podatkov.</w:t>
      </w:r>
    </w:p>
    <w:p w:rsidR="00A625D1" w:rsidRDefault="00946959">
      <w:pPr>
        <w:pStyle w:val="ManualHeading2"/>
        <w:rPr>
          <w:rFonts w:eastAsia="Arial Unicode MS"/>
          <w:noProof/>
          <w:u w:color="000000"/>
          <w:bdr w:val="nil"/>
        </w:rPr>
      </w:pPr>
      <w:r>
        <w:rPr>
          <w:noProof/>
        </w:rPr>
        <w:t>Pomožne določbe</w:t>
      </w:r>
    </w:p>
    <w:p w:rsidR="00A625D1" w:rsidRDefault="00946959">
      <w:pPr>
        <w:rPr>
          <w:noProof/>
        </w:rPr>
      </w:pPr>
      <w:r>
        <w:rPr>
          <w:noProof/>
        </w:rPr>
        <w:t>Člen 11 se spremeni zaradi odprave zahtev glede sistemov družb za registriranje, ki v skladu s predlogom niso več potrebni. Odpravi se tudi ustrezni odstavek 1 člena 12.</w:t>
      </w:r>
    </w:p>
    <w:p w:rsidR="00A625D1" w:rsidRDefault="00946959">
      <w:pPr>
        <w:pStyle w:val="ManualHeading2"/>
        <w:rPr>
          <w:rFonts w:eastAsia="Arial Unicode MS"/>
          <w:noProof/>
          <w:u w:color="000000"/>
          <w:bdr w:val="nil"/>
        </w:rPr>
      </w:pPr>
      <w:r>
        <w:rPr>
          <w:noProof/>
        </w:rPr>
        <w:t>Postopek v odboru in postopek spreminjanja</w:t>
      </w:r>
    </w:p>
    <w:p w:rsidR="00A625D1" w:rsidRDefault="00946959">
      <w:pPr>
        <w:spacing w:before="0" w:after="0"/>
        <w:rPr>
          <w:noProof/>
        </w:rPr>
      </w:pPr>
      <w:r>
        <w:rPr>
          <w:noProof/>
        </w:rPr>
        <w:t xml:space="preserve">Člena 12 in </w:t>
      </w:r>
      <w:r>
        <w:rPr>
          <w:noProof/>
        </w:rPr>
        <w:t>13 sta bila usklajena s Pogodbo o delovanju Evropske unije. Člen 12a je bil dodan zaradi istega razloga (izvajanje prenosa pooblastil).</w:t>
      </w:r>
    </w:p>
    <w:p w:rsidR="00A625D1" w:rsidRDefault="00946959">
      <w:pPr>
        <w:pStyle w:val="ManualHeading2"/>
        <w:rPr>
          <w:rFonts w:eastAsia="Arial Unicode MS"/>
          <w:noProof/>
          <w:u w:color="000000"/>
          <w:bdr w:val="nil"/>
        </w:rPr>
      </w:pPr>
      <w:r>
        <w:rPr>
          <w:noProof/>
        </w:rPr>
        <w:t>Določbe o vrednotenju</w:t>
      </w:r>
    </w:p>
    <w:p w:rsidR="00A625D1" w:rsidRDefault="00946959">
      <w:pPr>
        <w:spacing w:before="0" w:after="0"/>
        <w:rPr>
          <w:noProof/>
        </w:rPr>
      </w:pPr>
      <w:r>
        <w:rPr>
          <w:noProof/>
        </w:rPr>
        <w:t xml:space="preserve">Člen 14a je bil dodan za opredelitev določb o vrednotenju. </w:t>
      </w:r>
    </w:p>
    <w:p w:rsidR="00A625D1" w:rsidRDefault="00946959">
      <w:pPr>
        <w:pStyle w:val="ManualHeading2"/>
        <w:rPr>
          <w:rFonts w:eastAsia="Arial Unicode MS"/>
          <w:noProof/>
          <w:u w:color="000000"/>
          <w:bdr w:val="nil"/>
        </w:rPr>
      </w:pPr>
      <w:r>
        <w:rPr>
          <w:noProof/>
        </w:rPr>
        <w:t xml:space="preserve">Sprememba Priloge k </w:t>
      </w:r>
      <w:r>
        <w:rPr>
          <w:noProof/>
        </w:rPr>
        <w:t>Direktivi 2010/65/EU</w:t>
      </w:r>
    </w:p>
    <w:p w:rsidR="00A625D1" w:rsidRDefault="00946959">
      <w:pPr>
        <w:rPr>
          <w:noProof/>
        </w:rPr>
      </w:pPr>
      <w:r>
        <w:rPr>
          <w:noProof/>
        </w:rPr>
        <w:t>Predlog vključuje dodatno spremembo Priloge k delu A Direktive 2010/65/ES, določeno s spremembami Direktive 98/41/ES.</w:t>
      </w:r>
    </w:p>
    <w:p w:rsidR="00A625D1" w:rsidRDefault="00A625D1">
      <w:pPr>
        <w:spacing w:before="0" w:after="0"/>
        <w:jc w:val="left"/>
        <w:rPr>
          <w:noProof/>
        </w:rPr>
        <w:sectPr w:rsidR="00A625D1" w:rsidSect="00946959">
          <w:footerReference w:type="default" r:id="rId16"/>
          <w:footerReference w:type="first" r:id="rId17"/>
          <w:pgSz w:w="11907" w:h="16839"/>
          <w:pgMar w:top="1134" w:right="1417" w:bottom="1134" w:left="1417" w:header="709" w:footer="709" w:gutter="0"/>
          <w:cols w:space="708"/>
          <w:docGrid w:linePitch="360"/>
        </w:sectPr>
      </w:pPr>
    </w:p>
    <w:p w:rsidR="00A625D1" w:rsidRDefault="00946959" w:rsidP="00946959">
      <w:pPr>
        <w:pStyle w:val="Rfrenceinterinstitutionnelle"/>
        <w:rPr>
          <w:noProof/>
        </w:rPr>
      </w:pPr>
      <w:r w:rsidRPr="00946959">
        <w:t>2016/0171 (COD)</w:t>
      </w:r>
    </w:p>
    <w:p w:rsidR="00A625D1" w:rsidRDefault="00946959" w:rsidP="00946959">
      <w:pPr>
        <w:pStyle w:val="Statut"/>
        <w:rPr>
          <w:noProof/>
        </w:rPr>
      </w:pPr>
      <w:r w:rsidRPr="00946959">
        <w:t>Predlog</w:t>
      </w:r>
    </w:p>
    <w:p w:rsidR="00A625D1" w:rsidRDefault="00946959" w:rsidP="00946959">
      <w:pPr>
        <w:pStyle w:val="Typedudocument"/>
        <w:rPr>
          <w:noProof/>
        </w:rPr>
      </w:pPr>
      <w:r w:rsidRPr="00946959">
        <w:t>DIREKTIVA EVROPSKEGA PARLAMENTA IN SVETA</w:t>
      </w:r>
    </w:p>
    <w:p w:rsidR="00A625D1" w:rsidRDefault="00946959" w:rsidP="00946959">
      <w:pPr>
        <w:pStyle w:val="Titreobjet"/>
        <w:rPr>
          <w:noProof/>
        </w:rPr>
      </w:pPr>
      <w:r w:rsidRPr="00946959">
        <w:t>o spremembi Direktive</w:t>
      </w:r>
      <w:r>
        <w:t> </w:t>
      </w:r>
      <w:r w:rsidRPr="00946959">
        <w:t>98/41/ES o registraciji oseb, ki potujejo s potniškimi ladjami, ki plujejo v pristanišča držav članic Skupnosti ali iz njih, in o spremembi Direktive</w:t>
      </w:r>
      <w:r>
        <w:t> </w:t>
      </w:r>
      <w:r w:rsidRPr="00946959">
        <w:t>2010/65/EU Evropskega parlamenta in Sveta o formalnostih poročanja za ladje, ki priplujejo v pristanišča držav članic in/ali izplujejo iz njih</w:t>
      </w:r>
    </w:p>
    <w:p w:rsidR="00A625D1" w:rsidRDefault="00946959">
      <w:pPr>
        <w:pStyle w:val="Institutionquiagit"/>
        <w:rPr>
          <w:noProof/>
        </w:rPr>
      </w:pPr>
      <w:r>
        <w:rPr>
          <w:noProof/>
        </w:rPr>
        <w:t>EVROPSKI PARLAMENT IN SVET EVROPSKE UNIJE STA –</w:t>
      </w:r>
    </w:p>
    <w:p w:rsidR="00A625D1" w:rsidRDefault="00946959">
      <w:pPr>
        <w:rPr>
          <w:noProof/>
        </w:rPr>
      </w:pPr>
      <w:r>
        <w:rPr>
          <w:noProof/>
        </w:rPr>
        <w:t>ob upoštevanju Pogodbe o delovanju Evropske unije in zlasti člena 100(2) Pogodbe,</w:t>
      </w:r>
    </w:p>
    <w:p w:rsidR="00A625D1" w:rsidRDefault="00946959">
      <w:pPr>
        <w:rPr>
          <w:noProof/>
        </w:rPr>
      </w:pPr>
      <w:r>
        <w:rPr>
          <w:noProof/>
        </w:rPr>
        <w:t xml:space="preserve">ob upoštevanju </w:t>
      </w:r>
      <w:r>
        <w:rPr>
          <w:noProof/>
        </w:rPr>
        <w:t>predloga Evropske komisije,</w:t>
      </w:r>
    </w:p>
    <w:p w:rsidR="00A625D1" w:rsidRDefault="00946959">
      <w:pPr>
        <w:rPr>
          <w:noProof/>
        </w:rPr>
      </w:pPr>
      <w:r>
        <w:rPr>
          <w:noProof/>
        </w:rPr>
        <w:t>po posredovanju osnutka zakonodajnega akta nacionalnim parlamentom,</w:t>
      </w:r>
    </w:p>
    <w:p w:rsidR="00A625D1" w:rsidRDefault="00946959">
      <w:pPr>
        <w:rPr>
          <w:noProof/>
        </w:rPr>
      </w:pPr>
      <w:r>
        <w:rPr>
          <w:noProof/>
        </w:rPr>
        <w:t>ob upoštevanju mnenja Evropskega ekonomsko-socialnega odbora</w:t>
      </w:r>
      <w:r>
        <w:rPr>
          <w:rStyle w:val="FootnoteReference"/>
          <w:noProof/>
        </w:rPr>
        <w:footnoteReference w:id="14"/>
      </w:r>
      <w:r>
        <w:rPr>
          <w:noProof/>
        </w:rPr>
        <w:t>,</w:t>
      </w:r>
    </w:p>
    <w:p w:rsidR="00A625D1" w:rsidRDefault="00946959">
      <w:pPr>
        <w:rPr>
          <w:noProof/>
        </w:rPr>
      </w:pPr>
      <w:r>
        <w:rPr>
          <w:noProof/>
        </w:rPr>
        <w:t>ob upoštevanju mnenja Odbora regij</w:t>
      </w:r>
      <w:r>
        <w:rPr>
          <w:rStyle w:val="FootnoteReference"/>
          <w:noProof/>
        </w:rPr>
        <w:footnoteReference w:id="15"/>
      </w:r>
      <w:r>
        <w:rPr>
          <w:noProof/>
        </w:rPr>
        <w:t xml:space="preserve">, </w:t>
      </w:r>
    </w:p>
    <w:p w:rsidR="00A625D1" w:rsidRDefault="00946959">
      <w:pPr>
        <w:rPr>
          <w:noProof/>
        </w:rPr>
      </w:pPr>
      <w:r>
        <w:rPr>
          <w:noProof/>
        </w:rPr>
        <w:t>v skladu z rednim zakonodajnim postopkom,</w:t>
      </w:r>
    </w:p>
    <w:p w:rsidR="00A625D1" w:rsidRDefault="00946959">
      <w:pPr>
        <w:rPr>
          <w:noProof/>
        </w:rPr>
      </w:pPr>
      <w:r>
        <w:rPr>
          <w:noProof/>
        </w:rPr>
        <w:t>ob upoštevanju na</w:t>
      </w:r>
      <w:r>
        <w:rPr>
          <w:noProof/>
        </w:rPr>
        <w:t>slednjega:</w:t>
      </w:r>
    </w:p>
    <w:p w:rsidR="00A625D1" w:rsidRDefault="00946959">
      <w:pPr>
        <w:pStyle w:val="ManualConsidrant"/>
        <w:rPr>
          <w:noProof/>
        </w:rPr>
      </w:pPr>
      <w:r>
        <w:t>(1)</w:t>
      </w:r>
      <w:r>
        <w:tab/>
      </w:r>
      <w:r>
        <w:rPr>
          <w:noProof/>
        </w:rPr>
        <w:t>Točne in pravočasne informacije o številu oseb na ladji ali njihovi identiteti so ključnega pomena za pripravo in učinkovitost iskalnih in reševalnih akcij. V primeru nesreče na morju lahko celovito sodelovanje med pristojnimi nacionalnimi o</w:t>
      </w:r>
      <w:r>
        <w:rPr>
          <w:noProof/>
        </w:rPr>
        <w:t>rgani vključene države ali držav, upravljavcem ladje in njihovimi uslužbenci znatno prispeva k učinkovitosti dejavnosti pristojnih organov. Nekatere vidike tega sodelovanja ureja Direktiva Sveta 98/41/ES</w:t>
      </w:r>
      <w:r>
        <w:rPr>
          <w:rStyle w:val="FootnoteReference"/>
          <w:noProof/>
        </w:rPr>
        <w:footnoteReference w:id="16"/>
      </w:r>
      <w:r>
        <w:rPr>
          <w:noProof/>
        </w:rPr>
        <w:t>.</w:t>
      </w:r>
    </w:p>
    <w:p w:rsidR="00A625D1" w:rsidRDefault="00946959">
      <w:pPr>
        <w:pStyle w:val="ManualConsidrant"/>
        <w:rPr>
          <w:noProof/>
        </w:rPr>
      </w:pPr>
      <w:r>
        <w:t>(2)</w:t>
      </w:r>
      <w:r>
        <w:tab/>
      </w:r>
      <w:r>
        <w:rPr>
          <w:noProof/>
        </w:rPr>
        <w:t>Ob upoštevanju rezultatov preverjanja ustrezno</w:t>
      </w:r>
      <w:r>
        <w:rPr>
          <w:noProof/>
        </w:rPr>
        <w:t>sti programa ustreznosti predpisov (REFIT)</w:t>
      </w:r>
      <w:r>
        <w:rPr>
          <w:rStyle w:val="FootnoteReference"/>
          <w:noProof/>
        </w:rPr>
        <w:footnoteReference w:id="17"/>
      </w:r>
      <w:r>
        <w:rPr>
          <w:noProof/>
        </w:rPr>
        <w:t xml:space="preserve"> in izkušenj z izvajanjem, ki so pokazale, da podatki o osebah na ladji niso vedno takoj na voljo pristojnim organom, bi bilo treba veljavne zahteve Direktive 98/41/ES uskladiti z zahtevami za elektronsko sporočan</w:t>
      </w:r>
      <w:r>
        <w:rPr>
          <w:noProof/>
        </w:rPr>
        <w:t>je podatkov, s čimer bi postale učinkovitejše in manj obremenjujoče. Digitalizacija bo omogočila tudi hitrejšo uporabo informacij o velikem številu potnikov v nujnih primerih ali po nesreči.</w:t>
      </w:r>
    </w:p>
    <w:p w:rsidR="00A625D1" w:rsidRDefault="00946959">
      <w:pPr>
        <w:pStyle w:val="ManualConsidrant"/>
        <w:rPr>
          <w:noProof/>
        </w:rPr>
      </w:pPr>
      <w:r>
        <w:t>(3)</w:t>
      </w:r>
      <w:r>
        <w:tab/>
      </w:r>
      <w:r>
        <w:rPr>
          <w:noProof/>
        </w:rPr>
        <w:t>V zadnjih 17 letih je bil na področju načinov sporočanja in h</w:t>
      </w:r>
      <w:r>
        <w:rPr>
          <w:noProof/>
        </w:rPr>
        <w:t>rambe podatkov o premikih ladij dosežen velik tehnološki napredek, ki omogoča uporabo sistemov samodejnega prepoznavanja (AIS) na ladjah za intenzivnejše spremljanje ladij. Rezultat tega je znatno zmanjšanje stroškov opreme za opravljanje teh funkcij. Ob e</w:t>
      </w:r>
      <w:r>
        <w:rPr>
          <w:noProof/>
        </w:rPr>
        <w:t>vropskih obalah so bili vzpostavljeni številni obvezni sistemi poročanja z ladij, v skladu z ustreznimi pravili, ki jih je sprejela Mednarodna pomorska organizacija (IMO). Pravo Unije in nacionalno pravo zagotavljata, da ladje izpolnjujejo veljavne zahteve</w:t>
      </w:r>
      <w:r>
        <w:rPr>
          <w:noProof/>
        </w:rPr>
        <w:t xml:space="preserve"> glede poročanja v okviru navedenih sistemov.</w:t>
      </w:r>
    </w:p>
    <w:p w:rsidR="00A625D1" w:rsidRDefault="00946959">
      <w:pPr>
        <w:pStyle w:val="ManualConsidrant"/>
        <w:rPr>
          <w:noProof/>
        </w:rPr>
      </w:pPr>
      <w:r>
        <w:t>(4)</w:t>
      </w:r>
      <w:r>
        <w:tab/>
      </w:r>
      <w:r>
        <w:rPr>
          <w:noProof/>
        </w:rPr>
        <w:t>Zbiranje, prenos in izmenjava podatkov, povezanih z ladjami, so bili omogočeni, poenostavljeni in usklajeni z nacionalnim enotnim okencem iz Direktive 2010/65/EU Evropskega parlamenta in Sveta</w:t>
      </w:r>
      <w:r>
        <w:rPr>
          <w:rStyle w:val="FootnoteReference"/>
          <w:noProof/>
        </w:rPr>
        <w:footnoteReference w:id="18"/>
      </w:r>
      <w:r>
        <w:rPr>
          <w:noProof/>
        </w:rPr>
        <w:t xml:space="preserve"> ter sistemom</w:t>
      </w:r>
      <w:r>
        <w:rPr>
          <w:noProof/>
        </w:rPr>
        <w:t xml:space="preserve"> SafeSeaNet iz Direktive 2002/59/ES Evropskega parlamenta in Sveta</w:t>
      </w:r>
      <w:r>
        <w:rPr>
          <w:rStyle w:val="FootnoteReference"/>
          <w:noProof/>
        </w:rPr>
        <w:footnoteReference w:id="19"/>
      </w:r>
      <w:r>
        <w:rPr>
          <w:noProof/>
        </w:rPr>
        <w:t>. Podatki o osebah na ladji, ki jih zahteva Direktiva 98/41/ES, bi se morali zato beležiti v nacionalnem enotnem okencu, ki v nujnih primerih ali v primeru nesreče omogoča, da so podatki ta</w:t>
      </w:r>
      <w:r>
        <w:rPr>
          <w:noProof/>
        </w:rPr>
        <w:t xml:space="preserve">koj na voljo pristojnemu organu. </w:t>
      </w:r>
    </w:p>
    <w:p w:rsidR="00A625D1" w:rsidRDefault="00946959">
      <w:pPr>
        <w:pStyle w:val="ManualConsidrant"/>
        <w:rPr>
          <w:noProof/>
        </w:rPr>
      </w:pPr>
      <w:r>
        <w:t>(5)</w:t>
      </w:r>
      <w:r>
        <w:tab/>
      </w:r>
      <w:r>
        <w:rPr>
          <w:noProof/>
        </w:rPr>
        <w:t xml:space="preserve">Za zagotovitev skladnosti z načelom sorazmernosti bi morali imeti manjši operaterji, ki še ne uporabljajo nacionalnega enotnega okenca in ki večinoma opravljajo zelo kratke notranje plovbe, krajše od 20 navtičnih milj </w:t>
      </w:r>
      <w:r>
        <w:rPr>
          <w:noProof/>
        </w:rPr>
        <w:t>(tj. operaterji, za katere velja samo obveznost beleženja podatkov o številu oseb na ladji) možnost izbire načina zagotavljanja razpoložljivosti takih podatkov bodisi prek nacionalnega enotnega okenca ali AIS.</w:t>
      </w:r>
    </w:p>
    <w:p w:rsidR="00A625D1" w:rsidRDefault="00946959">
      <w:pPr>
        <w:pStyle w:val="ManualConsidrant"/>
        <w:rPr>
          <w:noProof/>
        </w:rPr>
      </w:pPr>
      <w:r>
        <w:t>(6)</w:t>
      </w:r>
      <w:r>
        <w:tab/>
      </w:r>
      <w:r>
        <w:rPr>
          <w:noProof/>
        </w:rPr>
        <w:t xml:space="preserve">Za zmanjšanje zaskrbljenosti sorodnikov v </w:t>
      </w:r>
      <w:r>
        <w:rPr>
          <w:noProof/>
        </w:rPr>
        <w:t>primeru nesreče in nepotrebnih zamud pri nudenju konzularne pomoči in drugih storitev bi morali sporočeni podatki vsebovati podatke o državljanstvu oseb na ladji. Seznam zahtevanih vnosov podatkov za plovbe, daljše od 20 navtičnih milj, bi bilo treba poeno</w:t>
      </w:r>
      <w:r>
        <w:rPr>
          <w:noProof/>
        </w:rPr>
        <w:t>staviti, pojasniti in čim bolj uskladiti z zahtevami glede poročanja v nacionalno enotno okence.</w:t>
      </w:r>
    </w:p>
    <w:p w:rsidR="00A625D1" w:rsidRDefault="00946959">
      <w:pPr>
        <w:pStyle w:val="ManualConsidrant"/>
        <w:rPr>
          <w:noProof/>
        </w:rPr>
      </w:pPr>
      <w:r>
        <w:t>(7)</w:t>
      </w:r>
      <w:r>
        <w:tab/>
      </w:r>
      <w:r>
        <w:rPr>
          <w:noProof/>
        </w:rPr>
        <w:t xml:space="preserve">Ob upoštevanju razpoložljivosti elektronskih načinov beleženja podatkov in dejstva, da bi bilo treba osebne podatke v vsakem primeru zbrati pred odhodom </w:t>
      </w:r>
      <w:r>
        <w:rPr>
          <w:noProof/>
        </w:rPr>
        <w:t>ladje, bi se morala 30-minutna zakasnitev, ki je zdaj določena v Direktivi 98/41/ES, šteti za največjo dovoljeno zakasnitev in se uporabljati samo v izrednih primerih.</w:t>
      </w:r>
    </w:p>
    <w:p w:rsidR="00A625D1" w:rsidRDefault="00946959">
      <w:pPr>
        <w:pStyle w:val="ManualConsidrant"/>
        <w:rPr>
          <w:noProof/>
        </w:rPr>
      </w:pPr>
      <w:r>
        <w:t>(8)</w:t>
      </w:r>
      <w:r>
        <w:tab/>
      </w:r>
      <w:r>
        <w:rPr>
          <w:noProof/>
        </w:rPr>
        <w:t>Za povečanje jasnosti in skladnosti s povezano zakonodajo Unije in zlasti z Direktiv</w:t>
      </w:r>
      <w:r>
        <w:rPr>
          <w:noProof/>
        </w:rPr>
        <w:t>o 2009/45/ES Evropskega parlamenta in Sveta</w:t>
      </w:r>
      <w:r>
        <w:rPr>
          <w:rStyle w:val="FootnoteReference"/>
          <w:noProof/>
        </w:rPr>
        <w:footnoteReference w:id="20"/>
      </w:r>
      <w:r>
        <w:rPr>
          <w:noProof/>
        </w:rPr>
        <w:t xml:space="preserve"> bi bilo treba posodobiti ali izbrisati nekatere zastarele, dvoumne in nejasne sklice. Pojem „morska“ potniška ladja bi bilo treba nadomestiti s pojmom „potniška ladja“, pojem „zaščiteno morsko območje“ pa bi bil</w:t>
      </w:r>
      <w:r>
        <w:rPr>
          <w:noProof/>
        </w:rPr>
        <w:t>o treba nadomestiti z jasno opredeljenimi morskimi območji, ki jih države članice navajajo v skladu z Direktivo 2009/45/ES. Opredelitev pojma „popisovalec potnikov“ bi bilo treba spremeniti, da bi odražala nove naloge, ki ne vključujejo več hrambe podatkov</w:t>
      </w:r>
      <w:r>
        <w:rPr>
          <w:noProof/>
        </w:rPr>
        <w:t>. Ustrezne zahteve za sisteme družb za registracijo potnikov bi bilo treba izbrisati.</w:t>
      </w:r>
    </w:p>
    <w:p w:rsidR="00A625D1" w:rsidRDefault="00946959">
      <w:pPr>
        <w:pStyle w:val="ManualConsidrant"/>
        <w:rPr>
          <w:noProof/>
        </w:rPr>
      </w:pPr>
      <w:r>
        <w:t>(9)</w:t>
      </w:r>
      <w:r>
        <w:tab/>
      </w:r>
      <w:r>
        <w:rPr>
          <w:noProof/>
        </w:rPr>
        <w:t>Država članice bi morale biti še naprej odgovorne za zagotavljanje skladnosti z zahtevami glede registracije podatkov v skladu z Direktivo 98/41/ES, in sicer glede to</w:t>
      </w:r>
      <w:r>
        <w:rPr>
          <w:noProof/>
        </w:rPr>
        <w:t xml:space="preserve">čnosti in pravočasne registracije podatkov. V zvezi s tem bi se moralo preverjanje izvajati podobno kot naključna preverjanja, ki so zdaj predvidena za sisteme družb za registracijo. </w:t>
      </w:r>
    </w:p>
    <w:p w:rsidR="00A625D1" w:rsidRDefault="00946959">
      <w:pPr>
        <w:pStyle w:val="ManualConsidrant"/>
        <w:rPr>
          <w:noProof/>
        </w:rPr>
      </w:pPr>
      <w:r>
        <w:t>(10)</w:t>
      </w:r>
      <w:r>
        <w:tab/>
      </w:r>
      <w:r>
        <w:rPr>
          <w:noProof/>
        </w:rPr>
        <w:t>Če ukrepi vključujejo obdelavo osebnih podatkov, se izvajajo v skla</w:t>
      </w:r>
      <w:r>
        <w:rPr>
          <w:noProof/>
        </w:rPr>
        <w:t>du s pravom Unije o varstvu osebnih podatkov</w:t>
      </w:r>
      <w:r>
        <w:rPr>
          <w:rStyle w:val="FootnoteReference"/>
          <w:noProof/>
        </w:rPr>
        <w:footnoteReference w:id="21"/>
      </w:r>
      <w:r>
        <w:rPr>
          <w:noProof/>
        </w:rPr>
        <w:t>. Zlasti osebni podatki, ki se zbirajo za namene Direktive 98/41/ES, se ne bi smeli obdelovati in uporabljati za noben drug namen in se ne bi smeli hraniti dlje, kot je potrebno za namene Direktive 98/41/ES, kot</w:t>
      </w:r>
      <w:r>
        <w:rPr>
          <w:noProof/>
        </w:rPr>
        <w:t xml:space="preserve"> je določeno v Direktivi.</w:t>
      </w:r>
    </w:p>
    <w:p w:rsidR="00A625D1" w:rsidRDefault="00946959">
      <w:pPr>
        <w:pStyle w:val="ManualConsidrant"/>
        <w:rPr>
          <w:noProof/>
        </w:rPr>
      </w:pPr>
      <w:r>
        <w:t>(11)</w:t>
      </w:r>
      <w:r>
        <w:tab/>
      </w:r>
      <w:r>
        <w:rPr>
          <w:noProof/>
        </w:rPr>
        <w:t>Ob upoštevanju načela sorazmernosti in glede na to, da je zagotavljanje resničnih informacij v najboljšem interesu potnika, sedanji načini zbiranja osebnih podatkov na podlagi lastne izjave potnikov zadostujejo za namene Dire</w:t>
      </w:r>
      <w:r>
        <w:rPr>
          <w:noProof/>
        </w:rPr>
        <w:t>ktive 98/41/ES. Hkrati bi morala elektronska registracija in preverjanje podatkov zagotoviti, da se edinstveni podatki vnesejo za vsako osebo na ladji.</w:t>
      </w:r>
    </w:p>
    <w:p w:rsidR="00A625D1" w:rsidRDefault="00946959">
      <w:pPr>
        <w:pStyle w:val="ManualConsidrant"/>
        <w:rPr>
          <w:noProof/>
        </w:rPr>
      </w:pPr>
      <w:r>
        <w:t>(12)</w:t>
      </w:r>
      <w:r>
        <w:tab/>
      </w:r>
      <w:r>
        <w:rPr>
          <w:noProof/>
        </w:rPr>
        <w:t xml:space="preserve">Za povečanje preglednosti ter olajšanje obveščanja s strani držav članic o izjemah in zahtevkih za </w:t>
      </w:r>
      <w:r>
        <w:rPr>
          <w:noProof/>
        </w:rPr>
        <w:t xml:space="preserve">odstopanje bi morala Komisija vzpostaviti in vzdrževati podatkovno zbirko za ta namen. Vključevati bi morala priglašene ukrepe v obliki osnutka in v njihovi sprejeti obliki. </w:t>
      </w:r>
    </w:p>
    <w:p w:rsidR="00A625D1" w:rsidRDefault="00946959">
      <w:pPr>
        <w:pStyle w:val="ManualConsidrant"/>
        <w:rPr>
          <w:noProof/>
        </w:rPr>
      </w:pPr>
      <w:r>
        <w:t>(13)</w:t>
      </w:r>
      <w:r>
        <w:tab/>
      </w:r>
      <w:r>
        <w:rPr>
          <w:noProof/>
        </w:rPr>
        <w:t>Ob upoštevanju sprememb, uvedenih s Pogodbo o delovanju Evropske unije, bi b</w:t>
      </w:r>
      <w:r>
        <w:rPr>
          <w:noProof/>
        </w:rPr>
        <w:t>ilo treba ustrezno posodobiti na Komisijo prenesena pooblastila za izvajanje Direktive 98/41/ES. Izvedbene akte bi bilo treba sprejeti v skladu z Uredbo (EU) št. 182/2011 Evropskega parlamenta in Sveta</w:t>
      </w:r>
      <w:r>
        <w:rPr>
          <w:rStyle w:val="FootnoteReference"/>
          <w:noProof/>
        </w:rPr>
        <w:footnoteReference w:id="22"/>
      </w:r>
      <w:r>
        <w:rPr>
          <w:noProof/>
        </w:rPr>
        <w:t>.</w:t>
      </w:r>
    </w:p>
    <w:p w:rsidR="00A625D1" w:rsidRDefault="00946959">
      <w:pPr>
        <w:pStyle w:val="ManualConsidrant"/>
        <w:rPr>
          <w:noProof/>
        </w:rPr>
      </w:pPr>
      <w:r>
        <w:t>(14)</w:t>
      </w:r>
      <w:r>
        <w:tab/>
      </w:r>
      <w:r>
        <w:rPr>
          <w:noProof/>
        </w:rPr>
        <w:t>Da bi se upošteval razvoj na mednarodni ravni i</w:t>
      </w:r>
      <w:r>
        <w:rPr>
          <w:noProof/>
        </w:rPr>
        <w:t xml:space="preserve">n za povečanje preglednosti bi bilo treba na Komisijo prenesti pooblastila za sprejemanje aktov v skladu s členom 290 Pogodbe o delovanju Evropske unije v zvezi z izključitvijo sprememb mednarodnih instrumentov iz področja uporabe te direktive, če bi bilo </w:t>
      </w:r>
      <w:r>
        <w:rPr>
          <w:noProof/>
        </w:rPr>
        <w:t>to potrebno, in določitvijo pogojev dostopa do podatkovne zbirke Komisije za objavo uradnih obvestil držav članic o izjemah in zahtevkih za odstopanje. Zlasti je pomembno, da Komisija med pripravljalnim delom opravi ustrezna posvetovanja, tudi na strokovni</w:t>
      </w:r>
      <w:r>
        <w:rPr>
          <w:noProof/>
        </w:rPr>
        <w:t xml:space="preserve"> ravni, in da se taka posvetovanja izvedejo v skladu z načeli, določenimi v Medinstitucionalnem sporazumu o boljši pripravi zakonodaje z dne 13. aprila 2016. Zlasti morata zaradi zagotovitve enake udeležbe v pripravi delegiranih aktov Evropski parlament in</w:t>
      </w:r>
      <w:r>
        <w:rPr>
          <w:noProof/>
        </w:rPr>
        <w:t xml:space="preserve"> Svet vse dokumente prejeti istočasno kot strokovnjaki držav članic, njuni strokovnjaki pa morajo imeti sistematično zagotovljen dostop do srečanj strokovnih skupin Komisije, ki obravnavajo pripravo delegiranih aktov.</w:t>
      </w:r>
    </w:p>
    <w:p w:rsidR="00A625D1" w:rsidRDefault="00946959">
      <w:pPr>
        <w:pStyle w:val="ManualConsidrant"/>
        <w:rPr>
          <w:noProof/>
        </w:rPr>
      </w:pPr>
      <w:r>
        <w:t>(15)</w:t>
      </w:r>
      <w:r>
        <w:tab/>
      </w:r>
      <w:r>
        <w:rPr>
          <w:noProof/>
        </w:rPr>
        <w:t>Komisija bi morala ob upoštevanju</w:t>
      </w:r>
      <w:r>
        <w:rPr>
          <w:noProof/>
        </w:rPr>
        <w:t xml:space="preserve"> celotnega cikla spremljanja obiskov Evropske agencije za varnost v pomorskem prometu najpozneje [sedem let od datuma iz drugega pododstavka člena 3(1)] oceniti izvajanje Direktive 98/41/ES ter o tem poročati Evropskemu parlamentu in Svetu. Države članice </w:t>
      </w:r>
      <w:r>
        <w:rPr>
          <w:noProof/>
        </w:rPr>
        <w:t>bi morale sodelovati s Komisijo pri zbiranju informacij, potrebnih za to ocenjevanje.</w:t>
      </w:r>
    </w:p>
    <w:p w:rsidR="00A625D1" w:rsidRDefault="00946959">
      <w:pPr>
        <w:pStyle w:val="ManualConsidrant"/>
        <w:rPr>
          <w:noProof/>
        </w:rPr>
      </w:pPr>
      <w:r>
        <w:t>(16)</w:t>
      </w:r>
      <w:r>
        <w:tab/>
      </w:r>
      <w:r>
        <w:rPr>
          <w:noProof/>
        </w:rPr>
        <w:t>Za upoštevanje sprememb Direktive 98/41/ES bi bilo treba podatke o osebah na ladji vključiti na seznam formalnosti poročanja iz dela A Priloge k Direktivi 2010/65/EU</w:t>
      </w:r>
      <w:r>
        <w:rPr>
          <w:noProof/>
        </w:rPr>
        <w:t>.</w:t>
      </w:r>
    </w:p>
    <w:p w:rsidR="00A625D1" w:rsidRDefault="00946959">
      <w:pPr>
        <w:pStyle w:val="ManualConsidrant"/>
        <w:rPr>
          <w:noProof/>
        </w:rPr>
      </w:pPr>
      <w:r>
        <w:t>(17)</w:t>
      </w:r>
      <w:r>
        <w:tab/>
      </w:r>
      <w:r>
        <w:rPr>
          <w:noProof/>
        </w:rPr>
        <w:t xml:space="preserve">Direktivi 98/41/ES in 2010/65/EU bi bilo zato treba ustrezno spremeniti – </w:t>
      </w:r>
    </w:p>
    <w:p w:rsidR="00A625D1" w:rsidRDefault="00946959">
      <w:pPr>
        <w:pStyle w:val="Formuledadoption"/>
        <w:rPr>
          <w:noProof/>
        </w:rPr>
      </w:pPr>
      <w:r>
        <w:rPr>
          <w:noProof/>
        </w:rPr>
        <w:t>SPREJELA NASLEDNJO DIREKTIVO:</w:t>
      </w:r>
    </w:p>
    <w:p w:rsidR="00A625D1" w:rsidRDefault="00946959">
      <w:pPr>
        <w:pStyle w:val="Titrearticle"/>
        <w:rPr>
          <w:b/>
          <w:i w:val="0"/>
          <w:noProof/>
        </w:rPr>
      </w:pPr>
      <w:r>
        <w:rPr>
          <w:noProof/>
        </w:rPr>
        <w:t>Člen 1</w:t>
      </w:r>
      <w:r>
        <w:rPr>
          <w:noProof/>
        </w:rPr>
        <w:br/>
      </w:r>
      <w:r>
        <w:rPr>
          <w:b/>
          <w:i w:val="0"/>
          <w:noProof/>
        </w:rPr>
        <w:t>Spremembe Direktive 98/41/ES</w:t>
      </w:r>
    </w:p>
    <w:p w:rsidR="00A625D1" w:rsidRDefault="00946959">
      <w:pPr>
        <w:rPr>
          <w:noProof/>
        </w:rPr>
      </w:pPr>
      <w:r>
        <w:rPr>
          <w:noProof/>
        </w:rPr>
        <w:t>Direktiva 98/41/ES se spremeni:</w:t>
      </w:r>
    </w:p>
    <w:p w:rsidR="00A625D1" w:rsidRDefault="00946959">
      <w:pPr>
        <w:pStyle w:val="Point0number"/>
        <w:numPr>
          <w:ilvl w:val="0"/>
          <w:numId w:val="5"/>
        </w:numPr>
        <w:rPr>
          <w:noProof/>
        </w:rPr>
      </w:pPr>
      <w:r>
        <w:rPr>
          <w:noProof/>
        </w:rPr>
        <w:t>člen 2 se spremeni:</w:t>
      </w:r>
    </w:p>
    <w:p w:rsidR="00A625D1" w:rsidRDefault="00946959">
      <w:pPr>
        <w:pStyle w:val="Point1letter"/>
        <w:rPr>
          <w:noProof/>
        </w:rPr>
      </w:pPr>
      <w:r>
        <w:rPr>
          <w:noProof/>
        </w:rPr>
        <w:t>druga alinea se nadomesti z naslednjim:</w:t>
      </w:r>
    </w:p>
    <w:p w:rsidR="00A625D1" w:rsidRDefault="00946959">
      <w:pPr>
        <w:pStyle w:val="Text2"/>
        <w:rPr>
          <w:noProof/>
        </w:rPr>
      </w:pPr>
      <w:r>
        <w:rPr>
          <w:noProof/>
        </w:rPr>
        <w:t xml:space="preserve">„– ,potniška </w:t>
      </w:r>
      <w:r>
        <w:rPr>
          <w:noProof/>
        </w:rPr>
        <w:t>ladja‘ pomeni ladjo ali visokohitrostno plovilo, ki prevaža več kot 12 potnikov;“;</w:t>
      </w:r>
    </w:p>
    <w:p w:rsidR="00A625D1" w:rsidRDefault="00946959">
      <w:pPr>
        <w:pStyle w:val="Point1letter"/>
        <w:rPr>
          <w:noProof/>
        </w:rPr>
      </w:pPr>
      <w:r>
        <w:rPr>
          <w:noProof/>
        </w:rPr>
        <w:t>šesta alinea se nadomesti z naslednjim:</w:t>
      </w:r>
    </w:p>
    <w:p w:rsidR="00A625D1" w:rsidRDefault="00946959">
      <w:pPr>
        <w:pStyle w:val="Text2"/>
        <w:rPr>
          <w:noProof/>
        </w:rPr>
      </w:pPr>
      <w:r>
        <w:rPr>
          <w:noProof/>
        </w:rPr>
        <w:t>„– ,popisovalec potnikov‘ pomeni odgovorno osebo, ki jo družba imenuje za izpolnjevanje obveznosti iz Kodeksa ISM, ali osebo, ki jo d</w:t>
      </w:r>
      <w:r>
        <w:rPr>
          <w:noProof/>
        </w:rPr>
        <w:t>ružba imenuje kot odgovorno za pošiljanje podatkov o osebah, vkrcanih na potniško ladjo družbe;“;</w:t>
      </w:r>
    </w:p>
    <w:p w:rsidR="00A625D1" w:rsidRDefault="00946959">
      <w:pPr>
        <w:pStyle w:val="Point1letter"/>
        <w:rPr>
          <w:noProof/>
        </w:rPr>
      </w:pPr>
      <w:r>
        <w:rPr>
          <w:noProof/>
        </w:rPr>
        <w:t>deveta alinea se nadomesti z naslednjim:</w:t>
      </w:r>
    </w:p>
    <w:p w:rsidR="00A625D1" w:rsidRDefault="00946959">
      <w:pPr>
        <w:pStyle w:val="Text2"/>
        <w:rPr>
          <w:noProof/>
        </w:rPr>
      </w:pPr>
      <w:r>
        <w:rPr>
          <w:noProof/>
        </w:rPr>
        <w:t>„– ,zaščiteno morsko območje‘ pomeni morsko območje, v katerem lahko plujejo ladje razreda D, navedene v skladu s čle</w:t>
      </w:r>
      <w:r>
        <w:rPr>
          <w:noProof/>
        </w:rPr>
        <w:t>nom 4(2) Direktive 2009/45/ES;“;</w:t>
      </w:r>
    </w:p>
    <w:p w:rsidR="00A625D1" w:rsidRDefault="00946959">
      <w:pPr>
        <w:pStyle w:val="Point1letter"/>
        <w:rPr>
          <w:noProof/>
        </w:rPr>
      </w:pPr>
      <w:r>
        <w:rPr>
          <w:noProof/>
        </w:rPr>
        <w:t>v deseti alinei se uvodni stavek nadomesti z naslednjim:</w:t>
      </w:r>
    </w:p>
    <w:p w:rsidR="00A625D1" w:rsidRDefault="00946959">
      <w:pPr>
        <w:pStyle w:val="Text2"/>
        <w:rPr>
          <w:noProof/>
        </w:rPr>
      </w:pPr>
      <w:r>
        <w:rPr>
          <w:noProof/>
        </w:rPr>
        <w:t>„– ,linijski prevoz‘ pomeni zaporedje plovb ladje med dvema ali več istimi pristanišči ali zaporedje plovb iz istega pristanišča in vanj brez vmesnih postankov:“;</w:t>
      </w:r>
    </w:p>
    <w:p w:rsidR="00A625D1" w:rsidRDefault="00946959">
      <w:pPr>
        <w:pStyle w:val="Point1letter"/>
        <w:rPr>
          <w:noProof/>
        </w:rPr>
      </w:pPr>
      <w:r>
        <w:rPr>
          <w:noProof/>
        </w:rPr>
        <w:t>ena</w:t>
      </w:r>
      <w:r>
        <w:rPr>
          <w:noProof/>
        </w:rPr>
        <w:t>jsti pododstavek se nadomesti z naslednjim:</w:t>
      </w:r>
    </w:p>
    <w:p w:rsidR="00A625D1" w:rsidRDefault="00946959">
      <w:pPr>
        <w:pStyle w:val="Text2"/>
        <w:rPr>
          <w:noProof/>
        </w:rPr>
      </w:pPr>
      <w:r>
        <w:rPr>
          <w:noProof/>
        </w:rPr>
        <w:t>„– ,tretja država‘ pomeni vsako državo razen države članice;“;</w:t>
      </w:r>
    </w:p>
    <w:p w:rsidR="00A625D1" w:rsidRDefault="00946959">
      <w:pPr>
        <w:pStyle w:val="Point1letter"/>
        <w:rPr>
          <w:noProof/>
        </w:rPr>
      </w:pPr>
      <w:r>
        <w:rPr>
          <w:noProof/>
        </w:rPr>
        <w:t>doda se naslednja dvanajsta alinea:</w:t>
      </w:r>
    </w:p>
    <w:p w:rsidR="00A625D1" w:rsidRDefault="00946959">
      <w:pPr>
        <w:pStyle w:val="Text2"/>
        <w:rPr>
          <w:noProof/>
        </w:rPr>
      </w:pPr>
      <w:r>
        <w:rPr>
          <w:noProof/>
        </w:rPr>
        <w:t xml:space="preserve">„– ,pristaniško območje‘ pomeni območje, opredeljeno v točki (r) člena 2 Direktive 2009/45/ES;“; </w:t>
      </w:r>
    </w:p>
    <w:p w:rsidR="00A625D1" w:rsidRDefault="00946959">
      <w:pPr>
        <w:pStyle w:val="Point1letter"/>
        <w:rPr>
          <w:noProof/>
        </w:rPr>
      </w:pPr>
      <w:r>
        <w:rPr>
          <w:noProof/>
        </w:rPr>
        <w:t>doda se nasledn</w:t>
      </w:r>
      <w:r>
        <w:rPr>
          <w:noProof/>
        </w:rPr>
        <w:t>ja trinajsta alinea:</w:t>
      </w:r>
    </w:p>
    <w:p w:rsidR="00A625D1" w:rsidRDefault="00946959">
      <w:pPr>
        <w:pStyle w:val="Text2"/>
        <w:rPr>
          <w:noProof/>
        </w:rPr>
      </w:pPr>
      <w:r>
        <w:rPr>
          <w:noProof/>
        </w:rPr>
        <w:t>„– ,jahta/plovilo za prosti čas‘ pomeni plovilo, ki ne prevaža tovora in na katerem je največ 12 potnikov ter se ne ukvarja s trgovino, ne glede na pogon.“;</w:t>
      </w:r>
    </w:p>
    <w:p w:rsidR="00A625D1" w:rsidRDefault="00946959">
      <w:pPr>
        <w:pStyle w:val="Point0number"/>
        <w:rPr>
          <w:noProof/>
        </w:rPr>
      </w:pPr>
      <w:r>
        <w:rPr>
          <w:noProof/>
        </w:rPr>
        <w:t>člen 3 se spremeni:</w:t>
      </w:r>
    </w:p>
    <w:p w:rsidR="00A625D1" w:rsidRDefault="00946959">
      <w:pPr>
        <w:pStyle w:val="Point1letter"/>
        <w:rPr>
          <w:noProof/>
        </w:rPr>
      </w:pPr>
      <w:r>
        <w:rPr>
          <w:noProof/>
        </w:rPr>
        <w:t>prva alinea se nadomesti z naslednjim:</w:t>
      </w:r>
    </w:p>
    <w:p w:rsidR="00A625D1" w:rsidRDefault="00946959">
      <w:pPr>
        <w:pStyle w:val="Text2"/>
        <w:rPr>
          <w:noProof/>
        </w:rPr>
      </w:pPr>
      <w:r>
        <w:rPr>
          <w:noProof/>
        </w:rPr>
        <w:t>„– vojaške ladje in</w:t>
      </w:r>
      <w:r>
        <w:rPr>
          <w:noProof/>
        </w:rPr>
        <w:t xml:space="preserve"> ladje za prevoz vojakov;“;</w:t>
      </w:r>
    </w:p>
    <w:p w:rsidR="00A625D1" w:rsidRDefault="00946959">
      <w:pPr>
        <w:pStyle w:val="Point1letter"/>
        <w:rPr>
          <w:noProof/>
        </w:rPr>
      </w:pPr>
      <w:r>
        <w:rPr>
          <w:noProof/>
        </w:rPr>
        <w:t>druga alinea se nadomesti z naslednjim:</w:t>
      </w:r>
    </w:p>
    <w:p w:rsidR="00A625D1" w:rsidRDefault="00946959">
      <w:pPr>
        <w:pStyle w:val="Text2"/>
        <w:rPr>
          <w:noProof/>
        </w:rPr>
      </w:pPr>
      <w:r>
        <w:rPr>
          <w:noProof/>
        </w:rPr>
        <w:t xml:space="preserve">„– jahte in plovila za prosti čas;“; </w:t>
      </w:r>
    </w:p>
    <w:p w:rsidR="00A625D1" w:rsidRDefault="00946959">
      <w:pPr>
        <w:pStyle w:val="Point1letter"/>
        <w:rPr>
          <w:noProof/>
        </w:rPr>
      </w:pPr>
      <w:r>
        <w:rPr>
          <w:noProof/>
        </w:rPr>
        <w:t>doda se naslednja tretja alinea:</w:t>
      </w:r>
    </w:p>
    <w:p w:rsidR="00A625D1" w:rsidRDefault="00946959">
      <w:pPr>
        <w:pStyle w:val="Text2"/>
        <w:rPr>
          <w:noProof/>
        </w:rPr>
      </w:pPr>
      <w:r>
        <w:rPr>
          <w:noProof/>
        </w:rPr>
        <w:t xml:space="preserve">„– potniške ladje, ki plujejo izključno v pristaniških območjih.“; </w:t>
      </w:r>
    </w:p>
    <w:p w:rsidR="00A625D1" w:rsidRDefault="00946959">
      <w:pPr>
        <w:pStyle w:val="Point0number"/>
        <w:rPr>
          <w:noProof/>
        </w:rPr>
      </w:pPr>
      <w:r>
        <w:rPr>
          <w:noProof/>
        </w:rPr>
        <w:t>v členu 4 se odstavek 2 nadomesti z naslednjim:</w:t>
      </w:r>
    </w:p>
    <w:p w:rsidR="00A625D1" w:rsidRDefault="00946959">
      <w:pPr>
        <w:pStyle w:val="Text2"/>
        <w:rPr>
          <w:noProof/>
        </w:rPr>
      </w:pPr>
      <w:r>
        <w:rPr>
          <w:noProof/>
        </w:rPr>
        <w:t>„2. Preden potniška ladja izpluje, se poveljniku potniške ladje sporočijo podatki o številu oseb na ladji, ki se zabeležijo v enotno okence, vzpostavljeno v skladu s členom 5 Direktive 2010/65/EU Evropskega parlamenta in Sveta*, ali dajo na voljo imenovane</w:t>
      </w:r>
      <w:r>
        <w:rPr>
          <w:noProof/>
        </w:rPr>
        <w:t>mu organu s pomočjo sistema samodejnega prepoznavanja.</w:t>
      </w:r>
    </w:p>
    <w:p w:rsidR="00A625D1" w:rsidRDefault="00946959">
      <w:pPr>
        <w:pStyle w:val="Text2"/>
        <w:rPr>
          <w:noProof/>
        </w:rPr>
      </w:pPr>
      <w:r>
        <w:rPr>
          <w:noProof/>
        </w:rPr>
        <w:t>_____________</w:t>
      </w:r>
    </w:p>
    <w:p w:rsidR="00A625D1" w:rsidRDefault="00946959">
      <w:pPr>
        <w:pStyle w:val="Text2"/>
        <w:rPr>
          <w:noProof/>
        </w:rPr>
      </w:pPr>
      <w:r>
        <w:rPr>
          <w:noProof/>
        </w:rPr>
        <w:t>* Direktiva Evropskega parlamenta in Sveta 2010/65/EU z dne 20. oktobra 2010 o formalnostih poročanja za ladje, ki priplujejo v pristanišča držav članic in/ali izplujejo iz njih, in o raz</w:t>
      </w:r>
      <w:r>
        <w:rPr>
          <w:noProof/>
        </w:rPr>
        <w:t>veljavitvi Direktive 2002/6/ES (UL L 283, 29.10.2010, str. 1).“;</w:t>
      </w:r>
    </w:p>
    <w:p w:rsidR="00A625D1" w:rsidRDefault="00946959">
      <w:pPr>
        <w:pStyle w:val="Point0number"/>
        <w:rPr>
          <w:noProof/>
        </w:rPr>
      </w:pPr>
      <w:r>
        <w:rPr>
          <w:noProof/>
        </w:rPr>
        <w:t>člen 5 se nadomesti z naslednjim:</w:t>
      </w:r>
    </w:p>
    <w:p w:rsidR="00A625D1" w:rsidRDefault="00946959">
      <w:pPr>
        <w:pStyle w:val="Titrearticle"/>
        <w:rPr>
          <w:noProof/>
        </w:rPr>
      </w:pPr>
      <w:r>
        <w:rPr>
          <w:noProof/>
        </w:rPr>
        <w:t>„Člen 5</w:t>
      </w:r>
    </w:p>
    <w:p w:rsidR="00A625D1" w:rsidRDefault="00946959">
      <w:pPr>
        <w:pStyle w:val="Text2"/>
        <w:rPr>
          <w:noProof/>
        </w:rPr>
      </w:pPr>
      <w:r>
        <w:rPr>
          <w:noProof/>
        </w:rPr>
        <w:t xml:space="preserve">1. O vsaki potniški ladji, ki iz pristanišča države izpluje na plovbo, pri kateri je razdalja od kraja izplutja do naslednjega pristanišča pristanka </w:t>
      </w:r>
      <w:r>
        <w:rPr>
          <w:noProof/>
        </w:rPr>
        <w:t>večja od dvajsetih milj, se zabeležijo naslednji podatki:</w:t>
      </w:r>
    </w:p>
    <w:p w:rsidR="00A625D1" w:rsidRDefault="00946959">
      <w:pPr>
        <w:pStyle w:val="Tiret2"/>
        <w:numPr>
          <w:ilvl w:val="0"/>
          <w:numId w:val="11"/>
        </w:numPr>
        <w:rPr>
          <w:noProof/>
        </w:rPr>
      </w:pPr>
      <w:r>
        <w:rPr>
          <w:noProof/>
        </w:rPr>
        <w:t>priimki oseb na njej,</w:t>
      </w:r>
    </w:p>
    <w:p w:rsidR="00A625D1" w:rsidRDefault="00946959">
      <w:pPr>
        <w:pStyle w:val="Tiret2"/>
        <w:rPr>
          <w:noProof/>
        </w:rPr>
      </w:pPr>
      <w:r>
        <w:rPr>
          <w:noProof/>
        </w:rPr>
        <w:t>njihova imena,</w:t>
      </w:r>
    </w:p>
    <w:p w:rsidR="00A625D1" w:rsidRDefault="00946959">
      <w:pPr>
        <w:pStyle w:val="Tiret2"/>
        <w:rPr>
          <w:noProof/>
        </w:rPr>
      </w:pPr>
      <w:r>
        <w:rPr>
          <w:noProof/>
        </w:rPr>
        <w:t>spol,</w:t>
      </w:r>
    </w:p>
    <w:p w:rsidR="00A625D1" w:rsidRDefault="00946959">
      <w:pPr>
        <w:pStyle w:val="Tiret2"/>
        <w:rPr>
          <w:noProof/>
        </w:rPr>
      </w:pPr>
      <w:r>
        <w:rPr>
          <w:noProof/>
        </w:rPr>
        <w:t>državljanstvo,</w:t>
      </w:r>
    </w:p>
    <w:p w:rsidR="00A625D1" w:rsidRDefault="00946959">
      <w:pPr>
        <w:pStyle w:val="Tiret2"/>
        <w:rPr>
          <w:noProof/>
        </w:rPr>
      </w:pPr>
      <w:r>
        <w:rPr>
          <w:noProof/>
        </w:rPr>
        <w:t>leto rojstva,</w:t>
      </w:r>
    </w:p>
    <w:p w:rsidR="00A625D1" w:rsidRDefault="00946959">
      <w:pPr>
        <w:pStyle w:val="Tiret2"/>
        <w:rPr>
          <w:noProof/>
        </w:rPr>
      </w:pPr>
      <w:r>
        <w:rPr>
          <w:noProof/>
        </w:rPr>
        <w:t>podatki o posebni negi ali pomoči v sili, kadar jih potnik navede prostovoljno.</w:t>
      </w:r>
    </w:p>
    <w:p w:rsidR="00A625D1" w:rsidRDefault="00946959">
      <w:pPr>
        <w:pStyle w:val="Text2"/>
        <w:rPr>
          <w:noProof/>
        </w:rPr>
      </w:pPr>
      <w:r>
        <w:rPr>
          <w:noProof/>
        </w:rPr>
        <w:t xml:space="preserve">2. Podatki se zberejo pred izplutjem in se v </w:t>
      </w:r>
      <w:r>
        <w:rPr>
          <w:noProof/>
        </w:rPr>
        <w:t>skladu s členom 5 Direktive 2010/65/EU zabeležijo v enotno okence ob izplutju potniške ladje, vendar najpozneje trideset minut po njenem izplutju.</w:t>
      </w:r>
    </w:p>
    <w:p w:rsidR="00A625D1" w:rsidRDefault="00946959">
      <w:pPr>
        <w:pStyle w:val="Text2"/>
        <w:rPr>
          <w:noProof/>
        </w:rPr>
      </w:pPr>
      <w:r>
        <w:rPr>
          <w:noProof/>
        </w:rPr>
        <w:t>3. Osebni podatki, zbrani za namene te direktive, se ne bi smeli obdelovati in uporabljati za kateri koli dru</w:t>
      </w:r>
      <w:r>
        <w:rPr>
          <w:noProof/>
        </w:rPr>
        <w:t xml:space="preserve">g namen.“; </w:t>
      </w:r>
    </w:p>
    <w:p w:rsidR="00A625D1" w:rsidRDefault="00946959">
      <w:pPr>
        <w:pStyle w:val="Point0number"/>
        <w:rPr>
          <w:noProof/>
        </w:rPr>
      </w:pPr>
      <w:r>
        <w:rPr>
          <w:noProof/>
        </w:rPr>
        <w:t>v členu 6 se odstavek 2 nadomesti z naslednjim:</w:t>
      </w:r>
    </w:p>
    <w:p w:rsidR="00A625D1" w:rsidRDefault="00946959">
      <w:pPr>
        <w:pStyle w:val="Text2"/>
        <w:rPr>
          <w:noProof/>
        </w:rPr>
      </w:pPr>
      <w:r>
        <w:rPr>
          <w:noProof/>
        </w:rPr>
        <w:t>„2. Vsaka država članica od družbe zahteva, da za vsako potniško ladjo, ki pluje pod zastavo tretje države in izpluje iz pristanišča zunaj Unije ter je namenjena v pristanišče v zadevni državi čla</w:t>
      </w:r>
      <w:r>
        <w:rPr>
          <w:noProof/>
        </w:rPr>
        <w:t>nici, zagotovi podatke iz členov 4(1) in 5(1), kot določata člena 4(2) in 5(2).“;</w:t>
      </w:r>
    </w:p>
    <w:p w:rsidR="00A625D1" w:rsidRDefault="00946959">
      <w:pPr>
        <w:pStyle w:val="Point0number"/>
        <w:rPr>
          <w:noProof/>
        </w:rPr>
      </w:pPr>
      <w:r>
        <w:rPr>
          <w:noProof/>
        </w:rPr>
        <w:t>člen 8 se nadomesti z naslednjim:</w:t>
      </w:r>
    </w:p>
    <w:p w:rsidR="00A625D1" w:rsidRDefault="00946959">
      <w:pPr>
        <w:pStyle w:val="Titrearticle"/>
        <w:rPr>
          <w:noProof/>
        </w:rPr>
      </w:pPr>
      <w:r>
        <w:rPr>
          <w:noProof/>
        </w:rPr>
        <w:t>„Člen 8</w:t>
      </w:r>
    </w:p>
    <w:p w:rsidR="00A625D1" w:rsidRDefault="00946959">
      <w:pPr>
        <w:pStyle w:val="Text2"/>
        <w:rPr>
          <w:noProof/>
        </w:rPr>
      </w:pPr>
      <w:r>
        <w:rPr>
          <w:noProof/>
        </w:rPr>
        <w:t>Vsaka družba, ki prevzame odgovornost za plovbo potniške ladje, če tako določata člena 4 in 5 te direktive, imenuje popisovalca potn</w:t>
      </w:r>
      <w:r>
        <w:rPr>
          <w:noProof/>
        </w:rPr>
        <w:t>ikov, odgovornega za beleženje podatkov iz navedenih določb v enotnem okencu, vzpostavljenem v skladu s členom 5 Direktive 2010/65/EU, ali dajanje navedenih podatkov na voljo s pomočjo sistema samodejnega prepoznavanja.</w:t>
      </w:r>
    </w:p>
    <w:p w:rsidR="00A625D1" w:rsidRDefault="00946959">
      <w:pPr>
        <w:pStyle w:val="Text2"/>
        <w:rPr>
          <w:noProof/>
        </w:rPr>
      </w:pPr>
      <w:r>
        <w:rPr>
          <w:noProof/>
        </w:rPr>
        <w:t>Družba osebnih podatkov, zbranih v s</w:t>
      </w:r>
      <w:r>
        <w:rPr>
          <w:noProof/>
        </w:rPr>
        <w:t>kladu s členom 5, ne hrani dlje, kot je potrebno za namene te direktive, tj. do trenutka, ko se podatki zabeležijo v enotnem okencu, vzpostavljenem v skladu s členom 5 Direktive 2010/65/EU. Brez poseganja v druge obveznosti poročanja se podatki potem, ko n</w:t>
      </w:r>
      <w:r>
        <w:rPr>
          <w:noProof/>
        </w:rPr>
        <w:t>iso več potrebni za ta namen, uničijo.</w:t>
      </w:r>
    </w:p>
    <w:p w:rsidR="00A625D1" w:rsidRDefault="00946959">
      <w:pPr>
        <w:pStyle w:val="Text2"/>
        <w:rPr>
          <w:noProof/>
        </w:rPr>
      </w:pPr>
      <w:r>
        <w:rPr>
          <w:noProof/>
        </w:rPr>
        <w:t>Vsaka družba zagotovi, da se podatki o potnikih, ki so navedli potrebo po posebni negi ali pomoči v sili, ustrezno zabeležijo in sporočijo poveljniku ladje pred izplutjem potniške ladje.“;</w:t>
      </w:r>
    </w:p>
    <w:p w:rsidR="00A625D1" w:rsidRDefault="00946959">
      <w:pPr>
        <w:pStyle w:val="Point0number"/>
        <w:rPr>
          <w:noProof/>
        </w:rPr>
      </w:pPr>
      <w:r>
        <w:rPr>
          <w:noProof/>
        </w:rPr>
        <w:t>člen 9 se spremeni:</w:t>
      </w:r>
    </w:p>
    <w:p w:rsidR="00A625D1" w:rsidRDefault="00946959">
      <w:pPr>
        <w:pStyle w:val="Point1letter"/>
        <w:rPr>
          <w:noProof/>
        </w:rPr>
      </w:pPr>
      <w:r>
        <w:rPr>
          <w:noProof/>
        </w:rPr>
        <w:t>odstavek</w:t>
      </w:r>
      <w:r>
        <w:rPr>
          <w:noProof/>
        </w:rPr>
        <w:t> 2 se spremeni:</w:t>
      </w:r>
    </w:p>
    <w:p w:rsidR="00A625D1" w:rsidRDefault="00946959">
      <w:pPr>
        <w:pStyle w:val="Text2"/>
        <w:rPr>
          <w:noProof/>
        </w:rPr>
      </w:pPr>
      <w:r>
        <w:rPr>
          <w:noProof/>
        </w:rPr>
        <w:t>– točki (a) in (b) se črtata;</w:t>
      </w:r>
    </w:p>
    <w:p w:rsidR="00A625D1" w:rsidRDefault="00946959">
      <w:pPr>
        <w:pStyle w:val="Text2"/>
        <w:rPr>
          <w:noProof/>
        </w:rPr>
      </w:pPr>
      <w:r>
        <w:rPr>
          <w:noProof/>
        </w:rPr>
        <w:t>– točka (c) se nadomesti z naslednjim:</w:t>
      </w:r>
    </w:p>
    <w:p w:rsidR="00A625D1" w:rsidRDefault="00946959">
      <w:pPr>
        <w:pStyle w:val="Text2"/>
        <w:rPr>
          <w:noProof/>
        </w:rPr>
      </w:pPr>
      <w:r>
        <w:rPr>
          <w:noProof/>
        </w:rPr>
        <w:t>„(c) Država članica lahko potniške ladje, ki plujejo izključno v zaščitenih morskih območjih, v katerih je zagotovljena bližina objektov za iskanje in reševanje, med dvema</w:t>
      </w:r>
      <w:r>
        <w:rPr>
          <w:noProof/>
        </w:rPr>
        <w:t xml:space="preserve"> pristaniščema ali iz in v isto pristanišče brez vmesnih pristankov, izvzame iz obveznosti iz člena 5.“;</w:t>
      </w:r>
    </w:p>
    <w:p w:rsidR="00A625D1" w:rsidRDefault="00946959">
      <w:pPr>
        <w:pStyle w:val="Point1letter"/>
        <w:rPr>
          <w:noProof/>
        </w:rPr>
      </w:pPr>
      <w:r>
        <w:rPr>
          <w:noProof/>
        </w:rPr>
        <w:t>v odstavku 3 se točki (a) in (b) nadomestita z naslednjim:</w:t>
      </w:r>
    </w:p>
    <w:p w:rsidR="00A625D1" w:rsidRDefault="00946959">
      <w:pPr>
        <w:pStyle w:val="Text2"/>
        <w:rPr>
          <w:noProof/>
        </w:rPr>
      </w:pPr>
      <w:r>
        <w:rPr>
          <w:noProof/>
        </w:rPr>
        <w:t xml:space="preserve">„(a) država članica nemudoma obvesti Komisijo o svoji odločitvi glede odobritve izvzetja iz </w:t>
      </w:r>
      <w:r>
        <w:rPr>
          <w:noProof/>
        </w:rPr>
        <w:t xml:space="preserve">obveznosti, določenih v členu 5, pri čemer navede bistvene razloge zanjo. Obveščanje se izvede prek podatkovne zbirke, ki jo za ta namen vzpostavi in vzdržuje Komisija. Komisija je v skladu s členom 12a pooblaščena za sprejemanje delegiranih aktov v zvezi </w:t>
      </w:r>
      <w:r>
        <w:rPr>
          <w:noProof/>
        </w:rPr>
        <w:t>s pogoji dostopa do podatkovne zbirke;</w:t>
      </w:r>
    </w:p>
    <w:p w:rsidR="00A625D1" w:rsidRDefault="00946959">
      <w:pPr>
        <w:pStyle w:val="Text2"/>
        <w:rPr>
          <w:noProof/>
        </w:rPr>
      </w:pPr>
      <w:r>
        <w:rPr>
          <w:noProof/>
        </w:rPr>
        <w:t>(b) če v šestih mesecih po takem obvestilu Komisija meni, da taka odločitev ni upravičena ali lahko škoduje konkurenci, lahko z izvedbenim aktom od države članice zahteva spremembo ali preklic njene odločitve. Ti izve</w:t>
      </w:r>
      <w:r>
        <w:rPr>
          <w:noProof/>
        </w:rPr>
        <w:t>dbeni akti se sprejmejo v skladu s postopkom pregleda iz člena 13(2).“;</w:t>
      </w:r>
      <w:r>
        <w:rPr>
          <w:i/>
          <w:noProof/>
        </w:rPr>
        <w:t xml:space="preserve"> </w:t>
      </w:r>
    </w:p>
    <w:p w:rsidR="00A625D1" w:rsidRDefault="00946959">
      <w:pPr>
        <w:pStyle w:val="Point1letter"/>
        <w:rPr>
          <w:noProof/>
        </w:rPr>
      </w:pPr>
      <w:r>
        <w:rPr>
          <w:noProof/>
        </w:rPr>
        <w:t>v odstavku 4 se tretji pododstavek nadomesti z naslednjim:</w:t>
      </w:r>
    </w:p>
    <w:p w:rsidR="00A625D1" w:rsidRDefault="00946959">
      <w:pPr>
        <w:pStyle w:val="Text2"/>
        <w:rPr>
          <w:noProof/>
        </w:rPr>
      </w:pPr>
      <w:r>
        <w:rPr>
          <w:noProof/>
        </w:rPr>
        <w:t>„Zahteva se predloži Komisiji prek podatkovne zbirke iz odstavka 3. Če v šestih mesecih po taki zahtevi Komisija meni, da iz</w:t>
      </w:r>
      <w:r>
        <w:rPr>
          <w:noProof/>
        </w:rPr>
        <w:t xml:space="preserve">vzetje ni upravičeno ali lahko škoduje konkurenci, lahko z izvedbenim aktom od države članice zahteva, da spremeni ali ne sprejme predlagane odločitve. Ti izvedbeni akti se sprejmejo v skladu s postopkom pregleda iz člena 13(2).“; </w:t>
      </w:r>
    </w:p>
    <w:p w:rsidR="00A625D1" w:rsidRDefault="00946959">
      <w:pPr>
        <w:pStyle w:val="Point0number"/>
        <w:rPr>
          <w:noProof/>
        </w:rPr>
      </w:pPr>
      <w:r>
        <w:rPr>
          <w:noProof/>
        </w:rPr>
        <w:t>člen 10 se nadomesti z n</w:t>
      </w:r>
      <w:r>
        <w:rPr>
          <w:noProof/>
        </w:rPr>
        <w:t>aslednjim:</w:t>
      </w:r>
    </w:p>
    <w:p w:rsidR="00A625D1" w:rsidRDefault="00946959">
      <w:pPr>
        <w:pStyle w:val="Titrearticle"/>
        <w:rPr>
          <w:noProof/>
        </w:rPr>
      </w:pPr>
      <w:r>
        <w:rPr>
          <w:noProof/>
        </w:rPr>
        <w:t>„Člen 10</w:t>
      </w:r>
    </w:p>
    <w:p w:rsidR="00A625D1" w:rsidRDefault="00946959">
      <w:pPr>
        <w:pStyle w:val="Text2"/>
        <w:rPr>
          <w:noProof/>
        </w:rPr>
      </w:pPr>
      <w:r>
        <w:rPr>
          <w:noProof/>
        </w:rPr>
        <w:t>Države članice preverijo točnost in pravočasnost beleženja podatkov, ki se zahteva s to direktivo.</w:t>
      </w:r>
    </w:p>
    <w:p w:rsidR="00A625D1" w:rsidRDefault="00946959">
      <w:pPr>
        <w:pStyle w:val="Text2"/>
        <w:rPr>
          <w:noProof/>
        </w:rPr>
      </w:pPr>
      <w:r>
        <w:rPr>
          <w:noProof/>
        </w:rPr>
        <w:t xml:space="preserve">Vsak država članica imenuje organ, ki bo imel dostop do podatkov, ki se zahtevajo v skladu s to direktivo. Države članice zagotovijo, da </w:t>
      </w:r>
      <w:r>
        <w:rPr>
          <w:noProof/>
        </w:rPr>
        <w:t>ima tak imenovani organ v nujnih primerih ali po nesreči takojšen dostop do podatkov, ki se zahtevajo v skladu s to direktivo.</w:t>
      </w:r>
    </w:p>
    <w:p w:rsidR="00A625D1" w:rsidRDefault="00946959">
      <w:pPr>
        <w:pStyle w:val="Text2"/>
        <w:rPr>
          <w:noProof/>
        </w:rPr>
      </w:pPr>
      <w:r>
        <w:rPr>
          <w:noProof/>
        </w:rPr>
        <w:t xml:space="preserve">Osebnih podatkov, zbranih v skladu s členom 5, države članice ne hranijo dlje, kot je potrebno za namene te direktive, to je: </w:t>
      </w:r>
    </w:p>
    <w:p w:rsidR="00A625D1" w:rsidRDefault="00946959">
      <w:pPr>
        <w:pStyle w:val="Point2letter"/>
        <w:rPr>
          <w:noProof/>
        </w:rPr>
      </w:pPr>
      <w:r>
        <w:rPr>
          <w:noProof/>
        </w:rPr>
        <w:t>do</w:t>
      </w:r>
      <w:r>
        <w:rPr>
          <w:noProof/>
        </w:rPr>
        <w:t xml:space="preserve"> trenutka, ko ladja uspešno zaključi zadevno plovbo, ali</w:t>
      </w:r>
    </w:p>
    <w:p w:rsidR="00A625D1" w:rsidRDefault="00946959">
      <w:pPr>
        <w:pStyle w:val="Point2letter"/>
        <w:rPr>
          <w:noProof/>
        </w:rPr>
      </w:pPr>
      <w:r>
        <w:rPr>
          <w:noProof/>
        </w:rPr>
        <w:t xml:space="preserve">v nujnem primeru ali po nesreči, dokler niso zaključeni morebitni preiskovalni ali sodni postopki. </w:t>
      </w:r>
    </w:p>
    <w:p w:rsidR="00A625D1" w:rsidRDefault="00946959">
      <w:pPr>
        <w:pStyle w:val="Text2"/>
        <w:rPr>
          <w:noProof/>
        </w:rPr>
      </w:pPr>
      <w:r>
        <w:rPr>
          <w:noProof/>
        </w:rPr>
        <w:t>Brez poseganja v druge obveznosti poročanja se podatki potem, ko niso več potrebni za te namene, un</w:t>
      </w:r>
      <w:r>
        <w:rPr>
          <w:noProof/>
        </w:rPr>
        <w:t>ičijo.“;</w:t>
      </w:r>
    </w:p>
    <w:p w:rsidR="00A625D1" w:rsidRDefault="00946959">
      <w:pPr>
        <w:pStyle w:val="Point0number"/>
        <w:rPr>
          <w:noProof/>
        </w:rPr>
      </w:pPr>
      <w:r>
        <w:rPr>
          <w:noProof/>
        </w:rPr>
        <w:t>člen 11 se nadomesti z naslednjim:</w:t>
      </w:r>
    </w:p>
    <w:p w:rsidR="00A625D1" w:rsidRDefault="00946959">
      <w:pPr>
        <w:pStyle w:val="Titrearticle"/>
        <w:rPr>
          <w:noProof/>
        </w:rPr>
      </w:pPr>
      <w:r>
        <w:rPr>
          <w:noProof/>
        </w:rPr>
        <w:t>„Člen 11</w:t>
      </w:r>
    </w:p>
    <w:p w:rsidR="00A625D1" w:rsidRDefault="00946959">
      <w:pPr>
        <w:pStyle w:val="Text1"/>
        <w:rPr>
          <w:noProof/>
        </w:rPr>
      </w:pPr>
      <w:r>
        <w:rPr>
          <w:noProof/>
        </w:rPr>
        <w:t>1.</w:t>
      </w:r>
      <w:r>
        <w:rPr>
          <w:noProof/>
        </w:rPr>
        <w:tab/>
        <w:t>Za namene te direktive se zahtevani podatki zbirajo in beležijo tako, da ne prihaja do nepotrebnih zamud pri vkrcanju in/ali izkrcanju potnikov iz plovila.</w:t>
      </w:r>
    </w:p>
    <w:p w:rsidR="00A625D1" w:rsidRDefault="00946959">
      <w:pPr>
        <w:pStyle w:val="Text1"/>
        <w:rPr>
          <w:noProof/>
        </w:rPr>
      </w:pPr>
      <w:r>
        <w:rPr>
          <w:noProof/>
        </w:rPr>
        <w:t>2.</w:t>
      </w:r>
      <w:r>
        <w:rPr>
          <w:noProof/>
        </w:rPr>
        <w:tab/>
        <w:t xml:space="preserve">Treba se je izogibati kopičenju zbiranja </w:t>
      </w:r>
      <w:r>
        <w:rPr>
          <w:noProof/>
        </w:rPr>
        <w:t xml:space="preserve">podatkov na istih ali podobnih progah.“; </w:t>
      </w:r>
    </w:p>
    <w:p w:rsidR="00A625D1" w:rsidRDefault="00946959">
      <w:pPr>
        <w:pStyle w:val="Point0number"/>
        <w:rPr>
          <w:noProof/>
        </w:rPr>
      </w:pPr>
      <w:r>
        <w:rPr>
          <w:noProof/>
        </w:rPr>
        <w:t>člen 12 se nadomesti z naslednjim:</w:t>
      </w:r>
    </w:p>
    <w:p w:rsidR="00A625D1" w:rsidRDefault="00946959">
      <w:pPr>
        <w:pStyle w:val="Titrearticle"/>
        <w:rPr>
          <w:noProof/>
        </w:rPr>
      </w:pPr>
      <w:r>
        <w:rPr>
          <w:noProof/>
        </w:rPr>
        <w:t>„Člen 12</w:t>
      </w:r>
    </w:p>
    <w:p w:rsidR="00A625D1" w:rsidRDefault="00946959">
      <w:pPr>
        <w:pStyle w:val="Text1"/>
        <w:rPr>
          <w:noProof/>
        </w:rPr>
      </w:pPr>
      <w:r>
        <w:rPr>
          <w:noProof/>
        </w:rPr>
        <w:t xml:space="preserve">Komisija je v skladu s členom 12a pooblaščena za sprejemanje delegiranih aktov za spreminjanje te direktive, da bi iz njenega področja uporabe izključila kakršne koli </w:t>
      </w:r>
      <w:r>
        <w:rPr>
          <w:noProof/>
        </w:rPr>
        <w:t>spremembe mednarodnih instrumentov iz člena 2, samo, če na podlagi ocene Komisije obstaja očitno tveganje, da bo mednarodna sprememba znižala standard pomorske varnosti, določen s pomorsko zakonodajo Unije, ali da ne bo skladna s to zakonodajo.“;</w:t>
      </w:r>
    </w:p>
    <w:p w:rsidR="00A625D1" w:rsidRDefault="00946959">
      <w:pPr>
        <w:pStyle w:val="Point0number"/>
        <w:rPr>
          <w:noProof/>
        </w:rPr>
      </w:pPr>
      <w:r>
        <w:rPr>
          <w:noProof/>
        </w:rPr>
        <w:t>vstavi se</w:t>
      </w:r>
      <w:r>
        <w:rPr>
          <w:noProof/>
        </w:rPr>
        <w:t xml:space="preserve"> naslednji člen 12a:</w:t>
      </w:r>
    </w:p>
    <w:p w:rsidR="00A625D1" w:rsidRDefault="00946959">
      <w:pPr>
        <w:pStyle w:val="Titrearticle"/>
        <w:rPr>
          <w:noProof/>
        </w:rPr>
      </w:pPr>
      <w:r>
        <w:rPr>
          <w:noProof/>
        </w:rPr>
        <w:t>„Člen 12a</w:t>
      </w:r>
    </w:p>
    <w:p w:rsidR="00A625D1" w:rsidRDefault="00946959">
      <w:pPr>
        <w:pStyle w:val="Text1"/>
        <w:rPr>
          <w:noProof/>
        </w:rPr>
      </w:pPr>
      <w:r>
        <w:rPr>
          <w:noProof/>
        </w:rPr>
        <w:t>1.</w:t>
      </w:r>
      <w:r>
        <w:rPr>
          <w:noProof/>
        </w:rPr>
        <w:tab/>
        <w:t>Pooblastilo za sprejemanje delegiranih aktov iz členov 9 in 12 je preneseno na Komisijo pod pogoji, določenimi v tem členu.</w:t>
      </w:r>
    </w:p>
    <w:p w:rsidR="00A625D1" w:rsidRDefault="00946959">
      <w:pPr>
        <w:pStyle w:val="Text1"/>
        <w:rPr>
          <w:noProof/>
        </w:rPr>
      </w:pPr>
      <w:r>
        <w:rPr>
          <w:noProof/>
        </w:rPr>
        <w:t>2.</w:t>
      </w:r>
      <w:r>
        <w:rPr>
          <w:noProof/>
        </w:rPr>
        <w:tab/>
        <w:t>Pooblastilo za sprejemanje delegiranih aktov iz členov 9 in 12 se prenese na Komisijo za nedolo</w:t>
      </w:r>
      <w:r>
        <w:rPr>
          <w:noProof/>
        </w:rPr>
        <w:t>čen čas od [datum začetka veljavnosti].</w:t>
      </w:r>
    </w:p>
    <w:p w:rsidR="00A625D1" w:rsidRDefault="00946959">
      <w:pPr>
        <w:pStyle w:val="Text1"/>
        <w:rPr>
          <w:noProof/>
        </w:rPr>
      </w:pPr>
      <w:r>
        <w:rPr>
          <w:noProof/>
        </w:rPr>
        <w:t>3.</w:t>
      </w:r>
      <w:r>
        <w:rPr>
          <w:noProof/>
        </w:rPr>
        <w:tab/>
        <w:t xml:space="preserve">Pooblastilo iz členov 9 in 12 lahko kadar koli prekliče Evropski parlament ali Svet. S sklepom o preklicu preneha veljati prenos pooblastila iz navedenega sklepa. Sklep začne veljati dan po objavi v </w:t>
      </w:r>
      <w:r>
        <w:rPr>
          <w:i/>
          <w:noProof/>
        </w:rPr>
        <w:t xml:space="preserve">Uradnem listu </w:t>
      </w:r>
      <w:r>
        <w:rPr>
          <w:i/>
          <w:noProof/>
        </w:rPr>
        <w:t>Evropske unije</w:t>
      </w:r>
      <w:r>
        <w:rPr>
          <w:noProof/>
        </w:rPr>
        <w:t xml:space="preserve"> ali na poznejši datum, ki je v njem naveden. Sklep ne vpliva na veljavnost že veljavnih delegiranih aktov.</w:t>
      </w:r>
    </w:p>
    <w:p w:rsidR="00A625D1" w:rsidRDefault="00946959">
      <w:pPr>
        <w:pStyle w:val="Text1"/>
        <w:rPr>
          <w:noProof/>
        </w:rPr>
      </w:pPr>
      <w:r>
        <w:rPr>
          <w:noProof/>
        </w:rPr>
        <w:t>4.</w:t>
      </w:r>
      <w:r>
        <w:rPr>
          <w:noProof/>
        </w:rPr>
        <w:tab/>
        <w:t>Pred sprejetjem delegiranega akta se Komisija posvetuje s strokovnjaki, ki jih imenuje vsaka država članica v skladu z načeli iz Me</w:t>
      </w:r>
      <w:r>
        <w:rPr>
          <w:noProof/>
        </w:rPr>
        <w:t>dinstitucionalnega sporazuma o boljši pripravi zakonodaje z dne 13. aprila 2016.</w:t>
      </w:r>
    </w:p>
    <w:p w:rsidR="00A625D1" w:rsidRDefault="00946959">
      <w:pPr>
        <w:pStyle w:val="Text1"/>
        <w:rPr>
          <w:noProof/>
        </w:rPr>
      </w:pPr>
      <w:r>
        <w:rPr>
          <w:noProof/>
        </w:rPr>
        <w:t>5.</w:t>
      </w:r>
      <w:r>
        <w:rPr>
          <w:noProof/>
        </w:rPr>
        <w:tab/>
        <w:t>Komisija takoj po sprejetju delegiranega akta o njem sočasno uradno obvesti Evropski parlament in Svet.</w:t>
      </w:r>
    </w:p>
    <w:p w:rsidR="00A625D1" w:rsidRDefault="00946959">
      <w:pPr>
        <w:pStyle w:val="Text1"/>
        <w:rPr>
          <w:noProof/>
        </w:rPr>
      </w:pPr>
      <w:r>
        <w:rPr>
          <w:noProof/>
        </w:rPr>
        <w:t>6.</w:t>
      </w:r>
      <w:r>
        <w:rPr>
          <w:noProof/>
        </w:rPr>
        <w:tab/>
        <w:t xml:space="preserve">Delegirani akt, sprejet na podlagi členov 9 in 12, začne veljati </w:t>
      </w:r>
      <w:r>
        <w:rPr>
          <w:noProof/>
        </w:rPr>
        <w:t>le, če niti Evropski parlament niti Svet ne nasprotuje delegiranemu aktu v roku dveh mesecev od uradnega obvestila Evropskemu parlamentu in Svetu o tem aktu ali če sta pred iztekom tega roka tako Evropski parlament kot Svet obvestila Komisijo, da mu ne bos</w:t>
      </w:r>
      <w:r>
        <w:rPr>
          <w:noProof/>
        </w:rPr>
        <w:t>ta nasprotovala. Ta rok se na pobudo Evropskega parlamenta ali Sveta podaljša za dva meseca.</w:t>
      </w:r>
    </w:p>
    <w:p w:rsidR="00A625D1" w:rsidRDefault="00946959">
      <w:pPr>
        <w:pStyle w:val="Text1"/>
        <w:rPr>
          <w:noProof/>
        </w:rPr>
      </w:pPr>
      <w:r>
        <w:rPr>
          <w:noProof/>
        </w:rPr>
        <w:t>7.</w:t>
      </w:r>
      <w:r>
        <w:rPr>
          <w:noProof/>
        </w:rPr>
        <w:tab/>
        <w:t>Delegirani akt, ki iz področja uporabe Direktive izključuje kakršno koli spremembo mednarodnih instrumentov v skladu s členom 12, se sprejme najpozneje tri mese</w:t>
      </w:r>
      <w:r>
        <w:rPr>
          <w:noProof/>
        </w:rPr>
        <w:t>ce pred iztekom roka, ki je mednarodno določen za tihi pristanek na zadevno spremembo, ali predvidenim datumom začetka veljavnosti navedene spremembe. V obdobju pred začetkom veljavnosti takega delegiranega akta se države članice vzdržijo pobud za vključit</w:t>
      </w:r>
      <w:r>
        <w:rPr>
          <w:noProof/>
        </w:rPr>
        <w:t>ev spremembe v nacionalno zakonodajo ali uporabo spremembe v zadevnem mednarodnem instrumentu.“;</w:t>
      </w:r>
    </w:p>
    <w:p w:rsidR="00A625D1" w:rsidRDefault="00946959">
      <w:pPr>
        <w:pStyle w:val="Point0number"/>
        <w:rPr>
          <w:noProof/>
        </w:rPr>
      </w:pPr>
      <w:r>
        <w:rPr>
          <w:noProof/>
        </w:rPr>
        <w:t>člen 13 se spremeni:</w:t>
      </w:r>
    </w:p>
    <w:p w:rsidR="00A625D1" w:rsidRDefault="00946959">
      <w:pPr>
        <w:pStyle w:val="Point1letter"/>
        <w:rPr>
          <w:noProof/>
        </w:rPr>
      </w:pPr>
      <w:r>
        <w:rPr>
          <w:noProof/>
        </w:rPr>
        <w:t>odstavek 2 se nadomesti z naslednjim:</w:t>
      </w:r>
    </w:p>
    <w:p w:rsidR="00A625D1" w:rsidRDefault="00946959">
      <w:pPr>
        <w:pStyle w:val="Text1"/>
        <w:rPr>
          <w:noProof/>
        </w:rPr>
      </w:pPr>
      <w:r>
        <w:rPr>
          <w:noProof/>
        </w:rPr>
        <w:t xml:space="preserve">„2. Pri sklicevanju na ta odstavek se uporabi člen 5 Uredbe (EU) št. 182/2011 Evropskega parlamenta </w:t>
      </w:r>
      <w:r>
        <w:rPr>
          <w:noProof/>
        </w:rPr>
        <w:t>in Sveta*.</w:t>
      </w:r>
    </w:p>
    <w:p w:rsidR="00A625D1" w:rsidRDefault="00946959">
      <w:pPr>
        <w:pStyle w:val="Text1"/>
        <w:rPr>
          <w:noProof/>
        </w:rPr>
      </w:pPr>
      <w:r>
        <w:rPr>
          <w:noProof/>
        </w:rPr>
        <w:t>____________</w:t>
      </w:r>
    </w:p>
    <w:p w:rsidR="00A625D1" w:rsidRDefault="00946959">
      <w:pPr>
        <w:pStyle w:val="Text1"/>
        <w:rPr>
          <w:noProof/>
        </w:rPr>
      </w:pPr>
      <w:r>
        <w:rPr>
          <w:noProof/>
        </w:rPr>
        <w:t>* Uredba (EU) št. 182/2011 Evropskega parlamenta in Sveta z dne 16. februarja 2011 o določitvi splošnih pravil in načel, na podlagi katerih države članice nadzirajo izvajanje izvedbenih pooblastil Komisije (UL L 55, 28.2.2011, str. </w:t>
      </w:r>
      <w:r>
        <w:rPr>
          <w:noProof/>
        </w:rPr>
        <w:t>13).“;</w:t>
      </w:r>
    </w:p>
    <w:p w:rsidR="00A625D1" w:rsidRDefault="00946959">
      <w:pPr>
        <w:pStyle w:val="Point1letter"/>
        <w:rPr>
          <w:noProof/>
        </w:rPr>
      </w:pPr>
      <w:r>
        <w:rPr>
          <w:noProof/>
        </w:rPr>
        <w:t>odstavek 3 se črta;</w:t>
      </w:r>
    </w:p>
    <w:p w:rsidR="00A625D1" w:rsidRDefault="00946959">
      <w:pPr>
        <w:pStyle w:val="Point0number"/>
        <w:rPr>
          <w:noProof/>
        </w:rPr>
      </w:pPr>
      <w:r>
        <w:rPr>
          <w:noProof/>
        </w:rPr>
        <w:t>vstavi se naslednji člen 14a:</w:t>
      </w:r>
    </w:p>
    <w:p w:rsidR="00A625D1" w:rsidRDefault="00946959">
      <w:pPr>
        <w:pStyle w:val="Titrearticle"/>
        <w:rPr>
          <w:noProof/>
        </w:rPr>
      </w:pPr>
      <w:r>
        <w:rPr>
          <w:noProof/>
        </w:rPr>
        <w:t>„Člen 14a</w:t>
      </w:r>
    </w:p>
    <w:p w:rsidR="00A625D1" w:rsidRDefault="00946959">
      <w:pPr>
        <w:rPr>
          <w:noProof/>
        </w:rPr>
      </w:pPr>
      <w:r>
        <w:rPr>
          <w:noProof/>
        </w:rPr>
        <w:t>Komisija ovrednoti izvajanje te direktive ter predloži rezultate vrednotenja Evropskemu parlamentu in Svetu najpozneje [sedem let po datumu iz drugega pododstavka člena 3(1)].“.</w:t>
      </w:r>
    </w:p>
    <w:p w:rsidR="00A625D1" w:rsidRDefault="00946959">
      <w:pPr>
        <w:pStyle w:val="Titrearticle"/>
        <w:rPr>
          <w:rFonts w:eastAsia="Times New Roman"/>
          <w:b/>
          <w:i w:val="0"/>
          <w:noProof/>
          <w:szCs w:val="24"/>
        </w:rPr>
      </w:pPr>
      <w:r>
        <w:rPr>
          <w:noProof/>
        </w:rPr>
        <w:t>Člen 2</w:t>
      </w:r>
      <w:r>
        <w:rPr>
          <w:noProof/>
        </w:rPr>
        <w:br/>
      </w:r>
      <w:r>
        <w:rPr>
          <w:b/>
          <w:i w:val="0"/>
          <w:noProof/>
        </w:rPr>
        <w:t>Spremembe Priloge k Direktivi 2010/65/EU</w:t>
      </w:r>
    </w:p>
    <w:p w:rsidR="00A625D1" w:rsidRDefault="00946959">
      <w:pPr>
        <w:rPr>
          <w:noProof/>
        </w:rPr>
      </w:pPr>
      <w:r>
        <w:rPr>
          <w:noProof/>
        </w:rPr>
        <w:t>V delu A Priloge k Direktivi 2010/65/ES se doda naslednja točka (7):</w:t>
      </w:r>
    </w:p>
    <w:p w:rsidR="00A625D1" w:rsidRDefault="00946959">
      <w:pPr>
        <w:pStyle w:val="Text1"/>
        <w:rPr>
          <w:noProof/>
        </w:rPr>
      </w:pPr>
      <w:r>
        <w:rPr>
          <w:noProof/>
        </w:rPr>
        <w:t xml:space="preserve">„7. </w:t>
      </w:r>
      <w:r>
        <w:rPr>
          <w:noProof/>
        </w:rPr>
        <w:tab/>
        <w:t>Podatki o osebah na ladji</w:t>
      </w:r>
    </w:p>
    <w:p w:rsidR="00A625D1" w:rsidRDefault="00946959">
      <w:pPr>
        <w:pStyle w:val="Text1"/>
        <w:ind w:left="1435"/>
        <w:rPr>
          <w:noProof/>
        </w:rPr>
      </w:pPr>
      <w:r>
        <w:rPr>
          <w:noProof/>
        </w:rPr>
        <w:t>Člena 4(2) in 5(2) Direktive Sveta 98/41/ES z dne 18. junija 1998 o registraciji oseb, ki potujejo s potniškimi lad</w:t>
      </w:r>
      <w:r>
        <w:rPr>
          <w:noProof/>
        </w:rPr>
        <w:t>jami, ki plujejo v pristanišča držav članic Skupnosti ali iz njih (UL L 188, 2.7.1998, str. 35).“.</w:t>
      </w:r>
    </w:p>
    <w:p w:rsidR="00A625D1" w:rsidRDefault="00946959">
      <w:pPr>
        <w:pStyle w:val="Titrearticle"/>
        <w:keepLines/>
        <w:rPr>
          <w:noProof/>
        </w:rPr>
      </w:pPr>
      <w:r>
        <w:rPr>
          <w:noProof/>
        </w:rPr>
        <w:t>Člen 3</w:t>
      </w:r>
      <w:r>
        <w:rPr>
          <w:b/>
          <w:i w:val="0"/>
          <w:noProof/>
        </w:rPr>
        <w:t xml:space="preserve"> </w:t>
      </w:r>
      <w:r>
        <w:rPr>
          <w:b/>
          <w:i w:val="0"/>
          <w:noProof/>
        </w:rPr>
        <w:br/>
        <w:t>Prenos</w:t>
      </w:r>
    </w:p>
    <w:p w:rsidR="00A625D1" w:rsidRDefault="00946959">
      <w:pPr>
        <w:pStyle w:val="ManualNumPar1"/>
        <w:rPr>
          <w:noProof/>
        </w:rPr>
      </w:pPr>
      <w:r>
        <w:rPr>
          <w:noProof/>
        </w:rPr>
        <w:t>1.</w:t>
      </w:r>
      <w:r>
        <w:rPr>
          <w:noProof/>
        </w:rPr>
        <w:tab/>
        <w:t xml:space="preserve">Države članice sprejmejo in objavijo zakone in druge predpise, potrebne za uskladitev s to direktivo, najpozneje do [12 mesecev po začetku </w:t>
      </w:r>
      <w:r>
        <w:rPr>
          <w:noProof/>
        </w:rPr>
        <w:t>veljavnosti]. Komisiji takoj sporočijo besedilo navedenih predpisov.</w:t>
      </w:r>
    </w:p>
    <w:p w:rsidR="00A625D1" w:rsidRDefault="00946959">
      <w:pPr>
        <w:pStyle w:val="Text1"/>
        <w:rPr>
          <w:noProof/>
        </w:rPr>
      </w:pPr>
      <w:r>
        <w:rPr>
          <w:noProof/>
        </w:rPr>
        <w:t>Navedene predpise uporabljajo od [12 mesecev po začetku veljavnosti].</w:t>
      </w:r>
    </w:p>
    <w:p w:rsidR="00A625D1" w:rsidRDefault="00946959">
      <w:pPr>
        <w:pStyle w:val="Text1"/>
        <w:rPr>
          <w:noProof/>
        </w:rPr>
      </w:pPr>
      <w:r>
        <w:rPr>
          <w:noProof/>
        </w:rPr>
        <w:t>Države članice se v sprejetih predpisih sklicujejo na to direktivo ali pa sklic nanjo navedejo ob njihovi uradni obja</w:t>
      </w:r>
      <w:r>
        <w:rPr>
          <w:noProof/>
        </w:rPr>
        <w:t>vi. Način sklicevanja določijo države članice.</w:t>
      </w:r>
    </w:p>
    <w:p w:rsidR="00A625D1" w:rsidRDefault="00946959">
      <w:pPr>
        <w:pStyle w:val="ManualNumPar1"/>
        <w:rPr>
          <w:noProof/>
        </w:rPr>
      </w:pPr>
      <w:r>
        <w:rPr>
          <w:noProof/>
        </w:rPr>
        <w:t>2.</w:t>
      </w:r>
      <w:r>
        <w:rPr>
          <w:noProof/>
        </w:rPr>
        <w:tab/>
        <w:t>Države članice Komisiji sporočijo besedilo temeljnih predpisov nacionalne zakonodaje, sprejetih na področju, ki ga ureja ta direktiva.</w:t>
      </w:r>
    </w:p>
    <w:p w:rsidR="00A625D1" w:rsidRDefault="00946959">
      <w:pPr>
        <w:pStyle w:val="Titrearticle"/>
        <w:rPr>
          <w:noProof/>
        </w:rPr>
      </w:pPr>
      <w:r>
        <w:rPr>
          <w:noProof/>
        </w:rPr>
        <w:t>Člen 4</w:t>
      </w:r>
      <w:r>
        <w:rPr>
          <w:b/>
          <w:i w:val="0"/>
          <w:noProof/>
        </w:rPr>
        <w:t xml:space="preserve"> </w:t>
      </w:r>
      <w:r>
        <w:rPr>
          <w:b/>
          <w:i w:val="0"/>
          <w:noProof/>
        </w:rPr>
        <w:br/>
        <w:t>Začetek veljavnosti</w:t>
      </w:r>
    </w:p>
    <w:p w:rsidR="00A625D1" w:rsidRDefault="00946959">
      <w:pPr>
        <w:rPr>
          <w:noProof/>
        </w:rPr>
      </w:pPr>
      <w:r>
        <w:rPr>
          <w:noProof/>
        </w:rPr>
        <w:t xml:space="preserve">Ta direktiva začne veljati dvajseti dan po </w:t>
      </w:r>
      <w:r>
        <w:rPr>
          <w:noProof/>
        </w:rPr>
        <w:t xml:space="preserve">objavi v </w:t>
      </w:r>
      <w:r>
        <w:rPr>
          <w:i/>
          <w:noProof/>
        </w:rPr>
        <w:t>Uradnem listu Evropske unije</w:t>
      </w:r>
      <w:r>
        <w:rPr>
          <w:noProof/>
        </w:rPr>
        <w:t>.</w:t>
      </w:r>
    </w:p>
    <w:p w:rsidR="00A625D1" w:rsidRDefault="00946959">
      <w:pPr>
        <w:pStyle w:val="Titrearticle"/>
        <w:rPr>
          <w:noProof/>
        </w:rPr>
      </w:pPr>
      <w:r>
        <w:rPr>
          <w:noProof/>
        </w:rPr>
        <w:t>Člen 5</w:t>
      </w:r>
      <w:r>
        <w:rPr>
          <w:b/>
          <w:i w:val="0"/>
          <w:noProof/>
        </w:rPr>
        <w:t xml:space="preserve"> </w:t>
      </w:r>
      <w:r>
        <w:rPr>
          <w:b/>
          <w:i w:val="0"/>
          <w:noProof/>
        </w:rPr>
        <w:br/>
        <w:t>Naslovniki</w:t>
      </w:r>
    </w:p>
    <w:p w:rsidR="00A625D1" w:rsidRDefault="00946959">
      <w:pPr>
        <w:keepNext/>
        <w:keepLines/>
        <w:rPr>
          <w:noProof/>
        </w:rPr>
      </w:pPr>
      <w:r>
        <w:rPr>
          <w:noProof/>
        </w:rPr>
        <w:t>Ta direktiva je naslovljena na države članice.</w:t>
      </w:r>
    </w:p>
    <w:p w:rsidR="00A625D1" w:rsidRDefault="00946959" w:rsidP="00946959">
      <w:pPr>
        <w:pStyle w:val="Fait"/>
        <w:rPr>
          <w:noProof/>
        </w:rPr>
      </w:pPr>
      <w:r w:rsidRPr="00946959">
        <w:t>V Bruslju,</w:t>
      </w:r>
    </w:p>
    <w:p w:rsidR="00A625D1" w:rsidRDefault="00946959">
      <w:pPr>
        <w:pStyle w:val="Institutionquisigne"/>
        <w:rPr>
          <w:noProof/>
        </w:rPr>
      </w:pPr>
      <w:r>
        <w:rPr>
          <w:noProof/>
        </w:rPr>
        <w:t>Za Evropski parlament</w:t>
      </w:r>
      <w:r>
        <w:rPr>
          <w:noProof/>
        </w:rPr>
        <w:tab/>
        <w:t>Za Svet</w:t>
      </w:r>
    </w:p>
    <w:p w:rsidR="00A625D1" w:rsidRDefault="00946959">
      <w:pPr>
        <w:pStyle w:val="Personnequisigne"/>
        <w:rPr>
          <w:noProof/>
        </w:rPr>
      </w:pPr>
      <w:r>
        <w:rPr>
          <w:noProof/>
        </w:rPr>
        <w:t>Predsednik</w:t>
      </w:r>
      <w:r>
        <w:rPr>
          <w:noProof/>
        </w:rPr>
        <w:tab/>
        <w:t>Predsednik</w:t>
      </w:r>
    </w:p>
    <w:sectPr w:rsidR="00A625D1" w:rsidSect="0094695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D1" w:rsidRDefault="00946959">
      <w:pPr>
        <w:spacing w:before="0" w:after="0"/>
      </w:pPr>
      <w:r>
        <w:separator/>
      </w:r>
    </w:p>
  </w:endnote>
  <w:endnote w:type="continuationSeparator" w:id="0">
    <w:p w:rsidR="00A625D1" w:rsidRDefault="00946959">
      <w:pPr>
        <w:spacing w:before="0" w:after="0"/>
      </w:pPr>
      <w:r>
        <w:continuationSeparator/>
      </w:r>
    </w:p>
  </w:endnote>
  <w:endnote w:type="continuationNotice" w:id="1">
    <w:p w:rsidR="00A625D1" w:rsidRDefault="00A625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D1" w:rsidRPr="00946959" w:rsidRDefault="00946959" w:rsidP="00946959">
    <w:pPr>
      <w:pStyle w:val="Footer"/>
      <w:rPr>
        <w:rFonts w:ascii="Arial" w:hAnsi="Arial" w:cs="Arial"/>
        <w:b/>
        <w:sz w:val="48"/>
      </w:rPr>
    </w:pPr>
    <w:r w:rsidRPr="00946959">
      <w:rPr>
        <w:rFonts w:ascii="Arial" w:hAnsi="Arial" w:cs="Arial"/>
        <w:b/>
        <w:sz w:val="48"/>
      </w:rPr>
      <w:t>SL</w:t>
    </w:r>
    <w:r w:rsidRPr="00946959">
      <w:rPr>
        <w:rFonts w:ascii="Arial" w:hAnsi="Arial" w:cs="Arial"/>
        <w:b/>
        <w:sz w:val="48"/>
      </w:rPr>
      <w:tab/>
    </w:r>
    <w:r w:rsidRPr="00946959">
      <w:rPr>
        <w:rFonts w:ascii="Arial" w:hAnsi="Arial" w:cs="Arial"/>
        <w:b/>
        <w:sz w:val="48"/>
      </w:rPr>
      <w:tab/>
    </w:r>
    <w:fldSimple w:instr=" DOCVARIABLE &quot;LW_Confidence&quot; \* MERGEFORMAT ">
      <w:r>
        <w:t xml:space="preserve"> </w:t>
      </w:r>
    </w:fldSimple>
    <w:r w:rsidRPr="00946959">
      <w:tab/>
    </w:r>
    <w:proofErr w:type="spellStart"/>
    <w:r w:rsidRPr="00946959">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Footer"/>
      <w:rPr>
        <w:rFonts w:ascii="Arial" w:hAnsi="Arial" w:cs="Arial"/>
        <w:b/>
        <w:sz w:val="48"/>
      </w:rPr>
    </w:pPr>
    <w:r w:rsidRPr="00946959">
      <w:rPr>
        <w:rFonts w:ascii="Arial" w:hAnsi="Arial" w:cs="Arial"/>
        <w:b/>
        <w:sz w:val="48"/>
      </w:rPr>
      <w:t>SL</w:t>
    </w:r>
    <w:r w:rsidRPr="00946959">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fldSimple w:instr=" DOCVARIABLE &quot;LW_Confidence&quot; \* MERGEFORMAT ">
      <w:r>
        <w:t xml:space="preserve"> </w:t>
      </w:r>
    </w:fldSimple>
    <w:r w:rsidRPr="00946959">
      <w:tab/>
    </w:r>
    <w:r w:rsidRPr="00946959">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D1" w:rsidRDefault="00946959">
      <w:pPr>
        <w:spacing w:before="0" w:after="0"/>
      </w:pPr>
      <w:r>
        <w:separator/>
      </w:r>
    </w:p>
  </w:footnote>
  <w:footnote w:type="continuationSeparator" w:id="0">
    <w:p w:rsidR="00A625D1" w:rsidRDefault="00946959">
      <w:pPr>
        <w:spacing w:before="0" w:after="0"/>
      </w:pPr>
      <w:r>
        <w:continuationSeparator/>
      </w:r>
    </w:p>
  </w:footnote>
  <w:footnote w:type="continuationNotice" w:id="1">
    <w:p w:rsidR="00A625D1" w:rsidRDefault="00A625D1">
      <w:pPr>
        <w:spacing w:before="0" w:after="0"/>
      </w:pPr>
    </w:p>
  </w:footnote>
  <w:footnote w:id="2">
    <w:p w:rsidR="00A625D1" w:rsidRDefault="00946959">
      <w:pPr>
        <w:pStyle w:val="FootnoteText"/>
      </w:pPr>
      <w:r>
        <w:rPr>
          <w:rStyle w:val="FootnoteReference"/>
        </w:rPr>
        <w:footnoteRef/>
      </w:r>
      <w:r>
        <w:tab/>
        <w:t xml:space="preserve">Katerega rezultati so bili 16. oktobra 2015 sporočeni Evropskemu parlamentu in </w:t>
      </w:r>
      <w:r>
        <w:t>Svetu (COM(2015) 508).</w:t>
      </w:r>
    </w:p>
  </w:footnote>
  <w:footnote w:id="3">
    <w:p w:rsidR="00A625D1" w:rsidRDefault="00946959">
      <w:pPr>
        <w:pStyle w:val="FootnoteText"/>
      </w:pPr>
      <w:r>
        <w:rPr>
          <w:rStyle w:val="FootnoteReference"/>
        </w:rPr>
        <w:footnoteRef/>
      </w:r>
      <w:r>
        <w:tab/>
      </w:r>
      <w:r>
        <w:t>Direktiva Sveta 98/41/ES z dne 18. junija 1998 o registraciji oseb, ki potujejo s potniškimi ladjami, ki plujejo v pristanišča držav članic Skupnosti ali iz njih (UL L 188, 2.7.1998, str. 35).</w:t>
      </w:r>
    </w:p>
  </w:footnote>
  <w:footnote w:id="4">
    <w:p w:rsidR="00A625D1" w:rsidRDefault="00946959">
      <w:pPr>
        <w:pStyle w:val="FootnoteText"/>
      </w:pPr>
      <w:r>
        <w:rPr>
          <w:rStyle w:val="FootnoteReference"/>
        </w:rPr>
        <w:footnoteRef/>
      </w:r>
      <w:r>
        <w:tab/>
      </w:r>
      <w:r>
        <w:t>Direktiva 2002/59/ES Evropskega parl</w:t>
      </w:r>
      <w:r>
        <w:t>amenta in Sveta z dne 27. junija 2002 o vzpostavitvi sistema spremljanja in obveščanja za ladijski promet ter o razveljavitvi Direktive Sveta 93/75/EGS (UL L 208, 5.8.2002, str. 10).</w:t>
      </w:r>
    </w:p>
  </w:footnote>
  <w:footnote w:id="5">
    <w:p w:rsidR="00A625D1" w:rsidRDefault="00946959">
      <w:pPr>
        <w:pStyle w:val="FootnoteText"/>
      </w:pPr>
      <w:r>
        <w:rPr>
          <w:rStyle w:val="FootnoteReference"/>
        </w:rPr>
        <w:footnoteRef/>
      </w:r>
      <w:r>
        <w:tab/>
      </w:r>
      <w:r>
        <w:t xml:space="preserve">Direktiva Evropskega parlamenta in Sveta 2010/65/EU z dne </w:t>
      </w:r>
      <w:r>
        <w:t>20. oktobra 2010 o formalnostih poročanja za ladje, ki priplujejo v pristanišča držav članic in/ali izplujejo iz njih, in o razveljavitvi Direktive 2002/6/ES (UL L 283, 29.10.2010, str. 1).</w:t>
      </w:r>
    </w:p>
  </w:footnote>
  <w:footnote w:id="6">
    <w:p w:rsidR="00A625D1" w:rsidRDefault="00946959">
      <w:pPr>
        <w:pStyle w:val="FootnoteText"/>
      </w:pPr>
      <w:r>
        <w:rPr>
          <w:rStyle w:val="FootnoteReference"/>
        </w:rPr>
        <w:footnoteRef/>
      </w:r>
      <w:r>
        <w:tab/>
      </w:r>
      <w:r>
        <w:t>Direktiva 2009/45/ES Evropskega parlamenta in Sveta z dne 6. maj</w:t>
      </w:r>
      <w:r>
        <w:t>a 2009 o varnostnih predpisih in standardih za potniške ladje (UL L 163, 25.6.2009, str. 1).</w:t>
      </w:r>
    </w:p>
  </w:footnote>
  <w:footnote w:id="7">
    <w:p w:rsidR="00A625D1" w:rsidRDefault="00946959">
      <w:pPr>
        <w:pStyle w:val="FootnoteText"/>
      </w:pPr>
      <w:r>
        <w:rPr>
          <w:rStyle w:val="FootnoteReference"/>
        </w:rPr>
        <w:footnoteRef/>
      </w:r>
      <w:r>
        <w:tab/>
      </w:r>
      <w:r>
        <w:t xml:space="preserve">Direktiva Sveta 1999/35/ES z dne 29. aprila 1999 o sistemu obveznih pregledov za varno izvajanje linijskih prevozov z </w:t>
      </w:r>
      <w:proofErr w:type="spellStart"/>
      <w:r>
        <w:t>ro</w:t>
      </w:r>
      <w:proofErr w:type="spellEnd"/>
      <w:r>
        <w:t>-</w:t>
      </w:r>
      <w:proofErr w:type="spellStart"/>
      <w:r>
        <w:t>ro</w:t>
      </w:r>
      <w:proofErr w:type="spellEnd"/>
      <w:r>
        <w:t xml:space="preserve"> trajekti in </w:t>
      </w:r>
      <w:proofErr w:type="spellStart"/>
      <w:r>
        <w:t>visokohitrostnimi</w:t>
      </w:r>
      <w:proofErr w:type="spellEnd"/>
      <w:r>
        <w:t xml:space="preserve"> potnišk</w:t>
      </w:r>
      <w:r>
        <w:t>imi plovili (UL L 138, 1.6.1999, str. 1).</w:t>
      </w:r>
    </w:p>
  </w:footnote>
  <w:footnote w:id="8">
    <w:p w:rsidR="00A625D1" w:rsidRDefault="00946959">
      <w:pPr>
        <w:pStyle w:val="FootnoteText"/>
      </w:pPr>
      <w:r>
        <w:rPr>
          <w:rStyle w:val="FootnoteReference"/>
        </w:rPr>
        <w:footnoteRef/>
      </w:r>
      <w:r>
        <w:tab/>
      </w:r>
      <w:r>
        <w:t>Bela knjiga „Načrt za enotni evropski prometni prostor – na poti h konkurenčnemu in z viri gospodarnemu prometnemu sistemu“, COM(2011) 0144.</w:t>
      </w:r>
    </w:p>
  </w:footnote>
  <w:footnote w:id="9">
    <w:p w:rsidR="00A625D1" w:rsidRDefault="00946959">
      <w:pPr>
        <w:pStyle w:val="FootnoteText"/>
      </w:pPr>
      <w:r>
        <w:rPr>
          <w:rStyle w:val="FootnoteReference"/>
        </w:rPr>
        <w:footnoteRef/>
      </w:r>
      <w:r>
        <w:tab/>
      </w:r>
      <w:r>
        <w:t>Sporočilo Komisije Evropskemu parlamentu, Svetu, Evropskemu ekonomsko</w:t>
      </w:r>
      <w:r>
        <w:t>-socialnemu odboru in Odboru regij - Strateški cilji in priporočila za pomorsko prometno politiko EU do leta 2018 (COM/2009/0008).</w:t>
      </w:r>
    </w:p>
  </w:footnote>
  <w:footnote w:id="10">
    <w:p w:rsidR="00A625D1" w:rsidRDefault="00946959">
      <w:pPr>
        <w:pStyle w:val="FootnoteText"/>
      </w:pPr>
      <w:r>
        <w:rPr>
          <w:rStyle w:val="FootnoteReference"/>
        </w:rPr>
        <w:footnoteRef/>
      </w:r>
      <w:r>
        <w:tab/>
      </w:r>
      <w:r>
        <w:t xml:space="preserve">Resolucija Sveta z dne 22. decembra 1994 o varnosti </w:t>
      </w:r>
      <w:proofErr w:type="spellStart"/>
      <w:r>
        <w:t>ro</w:t>
      </w:r>
      <w:proofErr w:type="spellEnd"/>
      <w:r>
        <w:t>-</w:t>
      </w:r>
      <w:proofErr w:type="spellStart"/>
      <w:r>
        <w:t>ro</w:t>
      </w:r>
      <w:proofErr w:type="spellEnd"/>
      <w:r>
        <w:t xml:space="preserve"> potniških trajektov (94/C 379/05), UL C 379 z dne 31.12.1994, str</w:t>
      </w:r>
      <w:r>
        <w:t>. 8.</w:t>
      </w:r>
    </w:p>
  </w:footnote>
  <w:footnote w:id="11">
    <w:p w:rsidR="00A625D1" w:rsidRDefault="00946959">
      <w:pPr>
        <w:pStyle w:val="FootnoteText"/>
      </w:pPr>
      <w:r>
        <w:rPr>
          <w:rStyle w:val="FootnoteReference"/>
        </w:rPr>
        <w:footnoteRef/>
      </w:r>
      <w:r>
        <w:tab/>
      </w:r>
      <w:r>
        <w:t>http://ec.europa.eu/smart-regulation/roadmaps/index_sl.htm.</w:t>
      </w:r>
    </w:p>
  </w:footnote>
  <w:footnote w:id="12">
    <w:p w:rsidR="00A625D1" w:rsidRDefault="00946959">
      <w:pPr>
        <w:pStyle w:val="FootnoteText"/>
        <w:rPr>
          <w:lang w:val="pl-PL"/>
        </w:rPr>
      </w:pPr>
      <w:r>
        <w:rPr>
          <w:rStyle w:val="FootnoteReference"/>
        </w:rPr>
        <w:footnoteRef/>
      </w:r>
      <w:r>
        <w:rPr>
          <w:lang w:val="pl-PL"/>
        </w:rPr>
        <w:tab/>
        <w:t>SWD(2015) 197.</w:t>
      </w:r>
    </w:p>
  </w:footnote>
  <w:footnote w:id="13">
    <w:p w:rsidR="00A625D1" w:rsidRDefault="00946959">
      <w:pPr>
        <w:pStyle w:val="FootnoteText"/>
        <w:rPr>
          <w:lang w:val="pl-PL"/>
        </w:rPr>
      </w:pPr>
      <w:r>
        <w:rPr>
          <w:rStyle w:val="FootnoteReference"/>
        </w:rPr>
        <w:footnoteRef/>
      </w:r>
      <w:r>
        <w:rPr>
          <w:lang w:val="pl-PL"/>
        </w:rPr>
        <w:tab/>
      </w:r>
      <w:proofErr w:type="spellStart"/>
      <w:r>
        <w:rPr>
          <w:lang w:val="pl-PL"/>
        </w:rPr>
        <w:t>Sklic</w:t>
      </w:r>
      <w:proofErr w:type="spellEnd"/>
      <w:r>
        <w:rPr>
          <w:lang w:val="pl-PL"/>
        </w:rPr>
        <w:t xml:space="preserve"> </w:t>
      </w:r>
      <w:proofErr w:type="spellStart"/>
      <w:r>
        <w:rPr>
          <w:lang w:val="pl-PL"/>
        </w:rPr>
        <w:t>dodati</w:t>
      </w:r>
      <w:proofErr w:type="spellEnd"/>
      <w:r>
        <w:rPr>
          <w:lang w:val="pl-PL"/>
        </w:rPr>
        <w:t xml:space="preserve"> po </w:t>
      </w:r>
      <w:proofErr w:type="spellStart"/>
      <w:r>
        <w:rPr>
          <w:lang w:val="pl-PL"/>
        </w:rPr>
        <w:t>sprejetju</w:t>
      </w:r>
      <w:proofErr w:type="spellEnd"/>
      <w:r>
        <w:rPr>
          <w:lang w:val="pl-PL"/>
        </w:rPr>
        <w:t>.</w:t>
      </w:r>
    </w:p>
  </w:footnote>
  <w:footnote w:id="14">
    <w:p w:rsidR="00A625D1" w:rsidRDefault="00946959">
      <w:pPr>
        <w:pStyle w:val="FootnoteText"/>
        <w:rPr>
          <w:lang w:val="pl-PL"/>
        </w:rPr>
      </w:pPr>
      <w:r>
        <w:rPr>
          <w:rStyle w:val="FootnoteReference"/>
        </w:rPr>
        <w:footnoteRef/>
      </w:r>
      <w:r>
        <w:rPr>
          <w:lang w:val="pl-PL"/>
        </w:rPr>
        <w:tab/>
        <w:t>UL </w:t>
      </w:r>
      <w:proofErr w:type="gramStart"/>
      <w:r>
        <w:rPr>
          <w:lang w:val="pl-PL"/>
        </w:rPr>
        <w:t xml:space="preserve">C , , </w:t>
      </w:r>
      <w:proofErr w:type="gramEnd"/>
      <w:r>
        <w:rPr>
          <w:lang w:val="pl-PL"/>
        </w:rPr>
        <w:t>str. .</w:t>
      </w:r>
    </w:p>
  </w:footnote>
  <w:footnote w:id="15">
    <w:p w:rsidR="00A625D1" w:rsidRDefault="00946959">
      <w:pPr>
        <w:pStyle w:val="FootnoteText"/>
        <w:rPr>
          <w:lang w:val="pl-PL"/>
        </w:rPr>
      </w:pPr>
      <w:r>
        <w:rPr>
          <w:rStyle w:val="FootnoteReference"/>
        </w:rPr>
        <w:footnoteRef/>
      </w:r>
      <w:r>
        <w:rPr>
          <w:lang w:val="pl-PL"/>
        </w:rPr>
        <w:tab/>
        <w:t>UL </w:t>
      </w:r>
      <w:proofErr w:type="gramStart"/>
      <w:r>
        <w:rPr>
          <w:lang w:val="pl-PL"/>
        </w:rPr>
        <w:t xml:space="preserve">C , , </w:t>
      </w:r>
      <w:proofErr w:type="gramEnd"/>
      <w:r>
        <w:rPr>
          <w:lang w:val="pl-PL"/>
        </w:rPr>
        <w:t>str. .</w:t>
      </w:r>
    </w:p>
  </w:footnote>
  <w:footnote w:id="16">
    <w:p w:rsidR="00A625D1" w:rsidRDefault="00946959">
      <w:pPr>
        <w:pStyle w:val="FootnoteText"/>
        <w:rPr>
          <w:lang w:val="pl-PL"/>
        </w:rPr>
      </w:pPr>
      <w:r>
        <w:rPr>
          <w:rStyle w:val="FootnoteReference"/>
        </w:rPr>
        <w:footnoteRef/>
      </w:r>
      <w:r>
        <w:rPr>
          <w:lang w:val="pl-PL"/>
        </w:rPr>
        <w:tab/>
      </w:r>
      <w:proofErr w:type="spellStart"/>
      <w:r>
        <w:rPr>
          <w:lang w:val="pl-PL"/>
        </w:rPr>
        <w:t>Direktiva</w:t>
      </w:r>
      <w:proofErr w:type="spellEnd"/>
      <w:r>
        <w:rPr>
          <w:lang w:val="pl-PL"/>
        </w:rPr>
        <w:t xml:space="preserve"> </w:t>
      </w:r>
      <w:proofErr w:type="spellStart"/>
      <w:r>
        <w:rPr>
          <w:lang w:val="pl-PL"/>
        </w:rPr>
        <w:t>Sveta</w:t>
      </w:r>
      <w:proofErr w:type="spellEnd"/>
      <w:r>
        <w:rPr>
          <w:lang w:val="pl-PL"/>
        </w:rPr>
        <w:t xml:space="preserve"> 98/41/ES z </w:t>
      </w:r>
      <w:proofErr w:type="spellStart"/>
      <w:r>
        <w:rPr>
          <w:lang w:val="pl-PL"/>
        </w:rPr>
        <w:t>dne</w:t>
      </w:r>
      <w:proofErr w:type="spellEnd"/>
      <w:r>
        <w:rPr>
          <w:lang w:val="pl-PL"/>
        </w:rPr>
        <w:t xml:space="preserve"> 18. </w:t>
      </w:r>
      <w:proofErr w:type="spellStart"/>
      <w:proofErr w:type="gramStart"/>
      <w:r>
        <w:rPr>
          <w:lang w:val="pl-PL"/>
        </w:rPr>
        <w:t>junija</w:t>
      </w:r>
      <w:proofErr w:type="spellEnd"/>
      <w:proofErr w:type="gramEnd"/>
      <w:r>
        <w:rPr>
          <w:lang w:val="pl-PL"/>
        </w:rPr>
        <w:t xml:space="preserve"> 1998 o </w:t>
      </w:r>
      <w:proofErr w:type="spellStart"/>
      <w:r>
        <w:rPr>
          <w:lang w:val="pl-PL"/>
        </w:rPr>
        <w:t>registraciji</w:t>
      </w:r>
      <w:proofErr w:type="spellEnd"/>
      <w:r>
        <w:rPr>
          <w:lang w:val="pl-PL"/>
        </w:rPr>
        <w:t xml:space="preserve"> </w:t>
      </w:r>
      <w:proofErr w:type="spellStart"/>
      <w:r>
        <w:rPr>
          <w:lang w:val="pl-PL"/>
        </w:rPr>
        <w:t>oseb</w:t>
      </w:r>
      <w:proofErr w:type="spellEnd"/>
      <w:r>
        <w:rPr>
          <w:lang w:val="pl-PL"/>
        </w:rPr>
        <w:t xml:space="preserve">, ki </w:t>
      </w:r>
      <w:proofErr w:type="spellStart"/>
      <w:r>
        <w:rPr>
          <w:lang w:val="pl-PL"/>
        </w:rPr>
        <w:t>potujejo</w:t>
      </w:r>
      <w:proofErr w:type="spellEnd"/>
      <w:r>
        <w:rPr>
          <w:lang w:val="pl-PL"/>
        </w:rPr>
        <w:t xml:space="preserve"> s </w:t>
      </w:r>
      <w:proofErr w:type="spellStart"/>
      <w:r>
        <w:rPr>
          <w:lang w:val="pl-PL"/>
        </w:rPr>
        <w:t>potniškimi</w:t>
      </w:r>
      <w:proofErr w:type="spellEnd"/>
      <w:r>
        <w:rPr>
          <w:lang w:val="pl-PL"/>
        </w:rPr>
        <w:t xml:space="preserve"> </w:t>
      </w:r>
      <w:proofErr w:type="spellStart"/>
      <w:r>
        <w:rPr>
          <w:lang w:val="pl-PL"/>
        </w:rPr>
        <w:t>ladjami</w:t>
      </w:r>
      <w:proofErr w:type="spellEnd"/>
      <w:r>
        <w:rPr>
          <w:lang w:val="pl-PL"/>
        </w:rPr>
        <w:t xml:space="preserve">, ki </w:t>
      </w:r>
      <w:proofErr w:type="spellStart"/>
      <w:r>
        <w:rPr>
          <w:lang w:val="pl-PL"/>
        </w:rPr>
        <w:t>plujejo</w:t>
      </w:r>
      <w:proofErr w:type="spellEnd"/>
      <w:r>
        <w:rPr>
          <w:lang w:val="pl-PL"/>
        </w:rPr>
        <w:t xml:space="preserve"> v </w:t>
      </w:r>
      <w:proofErr w:type="spellStart"/>
      <w:r>
        <w:rPr>
          <w:lang w:val="pl-PL"/>
        </w:rPr>
        <w:t>pristanišča</w:t>
      </w:r>
      <w:proofErr w:type="spellEnd"/>
      <w:r>
        <w:rPr>
          <w:lang w:val="pl-PL"/>
        </w:rPr>
        <w:t xml:space="preserve"> </w:t>
      </w:r>
      <w:proofErr w:type="spellStart"/>
      <w:r>
        <w:rPr>
          <w:lang w:val="pl-PL"/>
        </w:rPr>
        <w:t>držav</w:t>
      </w:r>
      <w:proofErr w:type="spellEnd"/>
      <w:r>
        <w:rPr>
          <w:lang w:val="pl-PL"/>
        </w:rPr>
        <w:t xml:space="preserve"> </w:t>
      </w:r>
      <w:proofErr w:type="spellStart"/>
      <w:r>
        <w:rPr>
          <w:lang w:val="pl-PL"/>
        </w:rPr>
        <w:t>članic</w:t>
      </w:r>
      <w:proofErr w:type="spellEnd"/>
      <w:r>
        <w:rPr>
          <w:lang w:val="pl-PL"/>
        </w:rPr>
        <w:t xml:space="preserve"> </w:t>
      </w:r>
      <w:proofErr w:type="spellStart"/>
      <w:r>
        <w:rPr>
          <w:lang w:val="pl-PL"/>
        </w:rPr>
        <w:t>Skupnosti</w:t>
      </w:r>
      <w:proofErr w:type="spellEnd"/>
      <w:r>
        <w:rPr>
          <w:lang w:val="pl-PL"/>
        </w:rPr>
        <w:t xml:space="preserve"> </w:t>
      </w:r>
      <w:proofErr w:type="spellStart"/>
      <w:r>
        <w:rPr>
          <w:lang w:val="pl-PL"/>
        </w:rPr>
        <w:t>ali</w:t>
      </w:r>
      <w:proofErr w:type="spellEnd"/>
      <w:r>
        <w:rPr>
          <w:lang w:val="pl-PL"/>
        </w:rPr>
        <w:t xml:space="preserve"> </w:t>
      </w:r>
      <w:proofErr w:type="spellStart"/>
      <w:r>
        <w:rPr>
          <w:lang w:val="pl-PL"/>
        </w:rPr>
        <w:t>iz</w:t>
      </w:r>
      <w:proofErr w:type="spellEnd"/>
      <w:r>
        <w:rPr>
          <w:lang w:val="pl-PL"/>
        </w:rPr>
        <w:t xml:space="preserve"> </w:t>
      </w:r>
      <w:proofErr w:type="spellStart"/>
      <w:r>
        <w:rPr>
          <w:lang w:val="pl-PL"/>
        </w:rPr>
        <w:t>njih</w:t>
      </w:r>
      <w:proofErr w:type="spellEnd"/>
      <w:r>
        <w:rPr>
          <w:lang w:val="pl-PL"/>
        </w:rPr>
        <w:t xml:space="preserve"> (UL L 188, 2.7.1998, </w:t>
      </w:r>
      <w:proofErr w:type="gramStart"/>
      <w:r>
        <w:rPr>
          <w:lang w:val="pl-PL"/>
        </w:rPr>
        <w:t>str</w:t>
      </w:r>
      <w:proofErr w:type="gramEnd"/>
      <w:r>
        <w:rPr>
          <w:lang w:val="pl-PL"/>
        </w:rPr>
        <w:t>. 35).</w:t>
      </w:r>
    </w:p>
  </w:footnote>
  <w:footnote w:id="17">
    <w:p w:rsidR="00A625D1" w:rsidRDefault="00946959">
      <w:pPr>
        <w:pStyle w:val="FootnoteText"/>
        <w:rPr>
          <w:lang w:val="pl-PL"/>
        </w:rPr>
      </w:pPr>
      <w:r>
        <w:rPr>
          <w:rStyle w:val="FootnoteReference"/>
        </w:rPr>
        <w:footnoteRef/>
      </w:r>
      <w:r>
        <w:rPr>
          <w:lang w:val="pl-PL"/>
        </w:rPr>
        <w:tab/>
        <w:t>COM(2015) 508.</w:t>
      </w:r>
    </w:p>
  </w:footnote>
  <w:footnote w:id="18">
    <w:p w:rsidR="00A625D1" w:rsidRDefault="00946959">
      <w:pPr>
        <w:pStyle w:val="FootnoteText"/>
        <w:rPr>
          <w:lang w:val="pl-PL"/>
        </w:rPr>
      </w:pPr>
      <w:r>
        <w:rPr>
          <w:rStyle w:val="FootnoteReference"/>
        </w:rPr>
        <w:footnoteRef/>
      </w:r>
      <w:r>
        <w:rPr>
          <w:lang w:val="pl-PL"/>
        </w:rPr>
        <w:tab/>
      </w:r>
      <w:proofErr w:type="spellStart"/>
      <w:r>
        <w:rPr>
          <w:lang w:val="pl-PL"/>
        </w:rPr>
        <w:t>Direktiva</w:t>
      </w:r>
      <w:proofErr w:type="spellEnd"/>
      <w:r>
        <w:rPr>
          <w:lang w:val="pl-PL"/>
        </w:rPr>
        <w:t xml:space="preserve">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2010/65/EU z </w:t>
      </w:r>
      <w:proofErr w:type="spellStart"/>
      <w:r>
        <w:rPr>
          <w:lang w:val="pl-PL"/>
        </w:rPr>
        <w:t>dne</w:t>
      </w:r>
      <w:proofErr w:type="spellEnd"/>
      <w:r>
        <w:rPr>
          <w:lang w:val="pl-PL"/>
        </w:rPr>
        <w:t xml:space="preserve"> 20. </w:t>
      </w:r>
      <w:proofErr w:type="spellStart"/>
      <w:proofErr w:type="gramStart"/>
      <w:r>
        <w:rPr>
          <w:lang w:val="pl-PL"/>
        </w:rPr>
        <w:t>oktobra</w:t>
      </w:r>
      <w:proofErr w:type="spellEnd"/>
      <w:proofErr w:type="gramEnd"/>
      <w:r>
        <w:rPr>
          <w:lang w:val="pl-PL"/>
        </w:rPr>
        <w:t xml:space="preserve"> 2010 o </w:t>
      </w:r>
      <w:proofErr w:type="spellStart"/>
      <w:r>
        <w:rPr>
          <w:lang w:val="pl-PL"/>
        </w:rPr>
        <w:t>formalnostih</w:t>
      </w:r>
      <w:proofErr w:type="spellEnd"/>
      <w:r>
        <w:rPr>
          <w:lang w:val="pl-PL"/>
        </w:rPr>
        <w:t xml:space="preserve"> </w:t>
      </w:r>
      <w:proofErr w:type="spellStart"/>
      <w:r>
        <w:rPr>
          <w:lang w:val="pl-PL"/>
        </w:rPr>
        <w:t>poročanja</w:t>
      </w:r>
      <w:proofErr w:type="spellEnd"/>
      <w:r>
        <w:rPr>
          <w:lang w:val="pl-PL"/>
        </w:rPr>
        <w:t xml:space="preserve"> za </w:t>
      </w:r>
      <w:proofErr w:type="spellStart"/>
      <w:r>
        <w:rPr>
          <w:lang w:val="pl-PL"/>
        </w:rPr>
        <w:t>ladje</w:t>
      </w:r>
      <w:proofErr w:type="spellEnd"/>
      <w:r>
        <w:rPr>
          <w:lang w:val="pl-PL"/>
        </w:rPr>
        <w:t xml:space="preserve">, ki </w:t>
      </w:r>
      <w:proofErr w:type="spellStart"/>
      <w:r>
        <w:rPr>
          <w:lang w:val="pl-PL"/>
        </w:rPr>
        <w:t>priplujejo</w:t>
      </w:r>
      <w:proofErr w:type="spellEnd"/>
      <w:r>
        <w:rPr>
          <w:lang w:val="pl-PL"/>
        </w:rPr>
        <w:t xml:space="preserve"> v </w:t>
      </w:r>
      <w:proofErr w:type="spellStart"/>
      <w:r>
        <w:rPr>
          <w:lang w:val="pl-PL"/>
        </w:rPr>
        <w:t>pristanišča</w:t>
      </w:r>
      <w:proofErr w:type="spellEnd"/>
      <w:r>
        <w:rPr>
          <w:lang w:val="pl-PL"/>
        </w:rPr>
        <w:t xml:space="preserve"> </w:t>
      </w:r>
      <w:proofErr w:type="spellStart"/>
      <w:r>
        <w:rPr>
          <w:lang w:val="pl-PL"/>
        </w:rPr>
        <w:t>držav</w:t>
      </w:r>
      <w:proofErr w:type="spellEnd"/>
      <w:r>
        <w:rPr>
          <w:lang w:val="pl-PL"/>
        </w:rPr>
        <w:t xml:space="preserve"> </w:t>
      </w:r>
      <w:proofErr w:type="spellStart"/>
      <w:r>
        <w:rPr>
          <w:lang w:val="pl-PL"/>
        </w:rPr>
        <w:t>člani</w:t>
      </w:r>
      <w:r>
        <w:rPr>
          <w:lang w:val="pl-PL"/>
        </w:rPr>
        <w:t>c</w:t>
      </w:r>
      <w:proofErr w:type="spellEnd"/>
      <w:r>
        <w:rPr>
          <w:lang w:val="pl-PL"/>
        </w:rPr>
        <w:t xml:space="preserve"> in/</w:t>
      </w:r>
      <w:proofErr w:type="spellStart"/>
      <w:r>
        <w:rPr>
          <w:lang w:val="pl-PL"/>
        </w:rPr>
        <w:t>ali</w:t>
      </w:r>
      <w:proofErr w:type="spellEnd"/>
      <w:r>
        <w:rPr>
          <w:lang w:val="pl-PL"/>
        </w:rPr>
        <w:t xml:space="preserve"> </w:t>
      </w:r>
      <w:proofErr w:type="spellStart"/>
      <w:r>
        <w:rPr>
          <w:lang w:val="pl-PL"/>
        </w:rPr>
        <w:t>izplujejo</w:t>
      </w:r>
      <w:proofErr w:type="spellEnd"/>
      <w:r>
        <w:rPr>
          <w:lang w:val="pl-PL"/>
        </w:rPr>
        <w:t xml:space="preserve"> </w:t>
      </w:r>
      <w:proofErr w:type="spellStart"/>
      <w:r>
        <w:rPr>
          <w:lang w:val="pl-PL"/>
        </w:rPr>
        <w:t>iz</w:t>
      </w:r>
      <w:proofErr w:type="spellEnd"/>
      <w:r>
        <w:rPr>
          <w:lang w:val="pl-PL"/>
        </w:rPr>
        <w:t xml:space="preserve"> </w:t>
      </w:r>
      <w:proofErr w:type="spellStart"/>
      <w:r>
        <w:rPr>
          <w:lang w:val="pl-PL"/>
        </w:rPr>
        <w:t>njih</w:t>
      </w:r>
      <w:proofErr w:type="spellEnd"/>
      <w:r>
        <w:rPr>
          <w:lang w:val="pl-PL"/>
        </w:rPr>
        <w:t xml:space="preserve">, in o </w:t>
      </w:r>
      <w:proofErr w:type="spellStart"/>
      <w:r>
        <w:rPr>
          <w:lang w:val="pl-PL"/>
        </w:rPr>
        <w:t>razveljavitvi</w:t>
      </w:r>
      <w:proofErr w:type="spellEnd"/>
      <w:r>
        <w:rPr>
          <w:lang w:val="pl-PL"/>
        </w:rPr>
        <w:t xml:space="preserve"> </w:t>
      </w:r>
      <w:proofErr w:type="spellStart"/>
      <w:r>
        <w:rPr>
          <w:lang w:val="pl-PL"/>
        </w:rPr>
        <w:t>Direktive</w:t>
      </w:r>
      <w:proofErr w:type="spellEnd"/>
      <w:r>
        <w:rPr>
          <w:lang w:val="pl-PL"/>
        </w:rPr>
        <w:t xml:space="preserve"> 2002/6/ES (UL L 283, 29.10.2010, </w:t>
      </w:r>
      <w:proofErr w:type="gramStart"/>
      <w:r>
        <w:rPr>
          <w:lang w:val="pl-PL"/>
        </w:rPr>
        <w:t>str</w:t>
      </w:r>
      <w:proofErr w:type="gramEnd"/>
      <w:r>
        <w:rPr>
          <w:lang w:val="pl-PL"/>
        </w:rPr>
        <w:t>. 1).</w:t>
      </w:r>
    </w:p>
  </w:footnote>
  <w:footnote w:id="19">
    <w:p w:rsidR="00A625D1" w:rsidRDefault="00946959">
      <w:pPr>
        <w:pStyle w:val="FootnoteText"/>
        <w:rPr>
          <w:lang w:val="pl-PL"/>
        </w:rPr>
      </w:pPr>
      <w:r>
        <w:rPr>
          <w:rStyle w:val="FootnoteReference"/>
        </w:rPr>
        <w:footnoteRef/>
      </w:r>
      <w:r>
        <w:rPr>
          <w:lang w:val="pl-PL"/>
        </w:rPr>
        <w:tab/>
      </w:r>
      <w:proofErr w:type="spellStart"/>
      <w:r>
        <w:rPr>
          <w:lang w:val="pl-PL"/>
        </w:rPr>
        <w:t>Direktiva</w:t>
      </w:r>
      <w:proofErr w:type="spellEnd"/>
      <w:r>
        <w:rPr>
          <w:lang w:val="pl-PL"/>
        </w:rPr>
        <w:t xml:space="preserve"> 2002/59/ES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z </w:t>
      </w:r>
      <w:proofErr w:type="spellStart"/>
      <w:r>
        <w:rPr>
          <w:lang w:val="pl-PL"/>
        </w:rPr>
        <w:t>dne</w:t>
      </w:r>
      <w:proofErr w:type="spellEnd"/>
      <w:r>
        <w:rPr>
          <w:lang w:val="pl-PL"/>
        </w:rPr>
        <w:t xml:space="preserve"> 27. </w:t>
      </w:r>
      <w:proofErr w:type="spellStart"/>
      <w:proofErr w:type="gramStart"/>
      <w:r>
        <w:rPr>
          <w:lang w:val="pl-PL"/>
        </w:rPr>
        <w:t>junija</w:t>
      </w:r>
      <w:proofErr w:type="spellEnd"/>
      <w:proofErr w:type="gramEnd"/>
      <w:r>
        <w:rPr>
          <w:lang w:val="pl-PL"/>
        </w:rPr>
        <w:t xml:space="preserve"> 2002 o </w:t>
      </w:r>
      <w:proofErr w:type="spellStart"/>
      <w:r>
        <w:rPr>
          <w:lang w:val="pl-PL"/>
        </w:rPr>
        <w:t>vzpostavitvi</w:t>
      </w:r>
      <w:proofErr w:type="spellEnd"/>
      <w:r>
        <w:rPr>
          <w:lang w:val="pl-PL"/>
        </w:rPr>
        <w:t xml:space="preserve"> </w:t>
      </w:r>
      <w:proofErr w:type="spellStart"/>
      <w:r>
        <w:rPr>
          <w:lang w:val="pl-PL"/>
        </w:rPr>
        <w:t>sistema</w:t>
      </w:r>
      <w:proofErr w:type="spellEnd"/>
      <w:r>
        <w:rPr>
          <w:lang w:val="pl-PL"/>
        </w:rPr>
        <w:t xml:space="preserve"> </w:t>
      </w:r>
      <w:proofErr w:type="spellStart"/>
      <w:r>
        <w:rPr>
          <w:lang w:val="pl-PL"/>
        </w:rPr>
        <w:t>spremljanja</w:t>
      </w:r>
      <w:proofErr w:type="spellEnd"/>
      <w:r>
        <w:rPr>
          <w:lang w:val="pl-PL"/>
        </w:rPr>
        <w:t xml:space="preserve"> in </w:t>
      </w:r>
      <w:proofErr w:type="spellStart"/>
      <w:r>
        <w:rPr>
          <w:lang w:val="pl-PL"/>
        </w:rPr>
        <w:t>obveščanja</w:t>
      </w:r>
      <w:proofErr w:type="spellEnd"/>
      <w:r>
        <w:rPr>
          <w:lang w:val="pl-PL"/>
        </w:rPr>
        <w:t xml:space="preserve"> za </w:t>
      </w:r>
      <w:proofErr w:type="spellStart"/>
      <w:r>
        <w:rPr>
          <w:lang w:val="pl-PL"/>
        </w:rPr>
        <w:t>ladijski</w:t>
      </w:r>
      <w:proofErr w:type="spellEnd"/>
      <w:r>
        <w:rPr>
          <w:lang w:val="pl-PL"/>
        </w:rPr>
        <w:t xml:space="preserve"> promet ter o </w:t>
      </w:r>
      <w:proofErr w:type="spellStart"/>
      <w:r>
        <w:rPr>
          <w:lang w:val="pl-PL"/>
        </w:rPr>
        <w:t>razvelj</w:t>
      </w:r>
      <w:r>
        <w:rPr>
          <w:lang w:val="pl-PL"/>
        </w:rPr>
        <w:t>avitvi</w:t>
      </w:r>
      <w:proofErr w:type="spellEnd"/>
      <w:r>
        <w:rPr>
          <w:lang w:val="pl-PL"/>
        </w:rPr>
        <w:t xml:space="preserve"> </w:t>
      </w:r>
      <w:proofErr w:type="spellStart"/>
      <w:r>
        <w:rPr>
          <w:lang w:val="pl-PL"/>
        </w:rPr>
        <w:t>Direktive</w:t>
      </w:r>
      <w:proofErr w:type="spellEnd"/>
      <w:r>
        <w:rPr>
          <w:lang w:val="pl-PL"/>
        </w:rPr>
        <w:t xml:space="preserve"> </w:t>
      </w:r>
      <w:proofErr w:type="spellStart"/>
      <w:r>
        <w:rPr>
          <w:lang w:val="pl-PL"/>
        </w:rPr>
        <w:t>Sveta</w:t>
      </w:r>
      <w:proofErr w:type="spellEnd"/>
      <w:r>
        <w:rPr>
          <w:lang w:val="pl-PL"/>
        </w:rPr>
        <w:t xml:space="preserve"> 93/75/EGS (UL L 208, 5.8.2002, </w:t>
      </w:r>
      <w:proofErr w:type="gramStart"/>
      <w:r>
        <w:rPr>
          <w:lang w:val="pl-PL"/>
        </w:rPr>
        <w:t>str</w:t>
      </w:r>
      <w:proofErr w:type="gramEnd"/>
      <w:r>
        <w:rPr>
          <w:lang w:val="pl-PL"/>
        </w:rPr>
        <w:t>. 10).</w:t>
      </w:r>
    </w:p>
  </w:footnote>
  <w:footnote w:id="20">
    <w:p w:rsidR="00A625D1" w:rsidRDefault="00946959">
      <w:pPr>
        <w:pStyle w:val="FootnoteText"/>
        <w:rPr>
          <w:lang w:val="pl-PL"/>
        </w:rPr>
      </w:pPr>
      <w:r>
        <w:rPr>
          <w:rStyle w:val="FootnoteReference"/>
        </w:rPr>
        <w:footnoteRef/>
      </w:r>
      <w:r>
        <w:rPr>
          <w:lang w:val="pl-PL"/>
        </w:rPr>
        <w:tab/>
      </w:r>
      <w:proofErr w:type="spellStart"/>
      <w:r>
        <w:rPr>
          <w:lang w:val="pl-PL"/>
        </w:rPr>
        <w:t>Direktiva</w:t>
      </w:r>
      <w:proofErr w:type="spellEnd"/>
      <w:r>
        <w:rPr>
          <w:lang w:val="pl-PL"/>
        </w:rPr>
        <w:t xml:space="preserve"> 2009/45/ES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z </w:t>
      </w:r>
      <w:proofErr w:type="spellStart"/>
      <w:r>
        <w:rPr>
          <w:lang w:val="pl-PL"/>
        </w:rPr>
        <w:t>dne</w:t>
      </w:r>
      <w:proofErr w:type="spellEnd"/>
      <w:r>
        <w:rPr>
          <w:lang w:val="pl-PL"/>
        </w:rPr>
        <w:t xml:space="preserve"> 6. </w:t>
      </w:r>
      <w:proofErr w:type="gramStart"/>
      <w:r>
        <w:rPr>
          <w:lang w:val="pl-PL"/>
        </w:rPr>
        <w:t>maja</w:t>
      </w:r>
      <w:proofErr w:type="gramEnd"/>
      <w:r>
        <w:rPr>
          <w:lang w:val="pl-PL"/>
        </w:rPr>
        <w:t xml:space="preserve"> 2009 o </w:t>
      </w:r>
      <w:proofErr w:type="spellStart"/>
      <w:r>
        <w:rPr>
          <w:lang w:val="pl-PL"/>
        </w:rPr>
        <w:t>varnostnih</w:t>
      </w:r>
      <w:proofErr w:type="spellEnd"/>
      <w:r>
        <w:rPr>
          <w:lang w:val="pl-PL"/>
        </w:rPr>
        <w:t xml:space="preserve"> </w:t>
      </w:r>
      <w:proofErr w:type="spellStart"/>
      <w:r>
        <w:rPr>
          <w:lang w:val="pl-PL"/>
        </w:rPr>
        <w:t>predpisih</w:t>
      </w:r>
      <w:proofErr w:type="spellEnd"/>
      <w:r>
        <w:rPr>
          <w:lang w:val="pl-PL"/>
        </w:rPr>
        <w:t xml:space="preserve"> in </w:t>
      </w:r>
      <w:proofErr w:type="spellStart"/>
      <w:r>
        <w:rPr>
          <w:lang w:val="pl-PL"/>
        </w:rPr>
        <w:t>standardih</w:t>
      </w:r>
      <w:proofErr w:type="spellEnd"/>
      <w:r>
        <w:rPr>
          <w:lang w:val="pl-PL"/>
        </w:rPr>
        <w:t xml:space="preserve"> za </w:t>
      </w:r>
      <w:proofErr w:type="spellStart"/>
      <w:r>
        <w:rPr>
          <w:lang w:val="pl-PL"/>
        </w:rPr>
        <w:t>potniške</w:t>
      </w:r>
      <w:proofErr w:type="spellEnd"/>
      <w:r>
        <w:rPr>
          <w:lang w:val="pl-PL"/>
        </w:rPr>
        <w:t xml:space="preserve"> </w:t>
      </w:r>
      <w:proofErr w:type="spellStart"/>
      <w:r>
        <w:rPr>
          <w:lang w:val="pl-PL"/>
        </w:rPr>
        <w:t>ladje</w:t>
      </w:r>
      <w:proofErr w:type="spellEnd"/>
      <w:r>
        <w:rPr>
          <w:lang w:val="pl-PL"/>
        </w:rPr>
        <w:t xml:space="preserve"> (UL L 163, 25.6.2009, </w:t>
      </w:r>
      <w:proofErr w:type="gramStart"/>
      <w:r>
        <w:rPr>
          <w:lang w:val="pl-PL"/>
        </w:rPr>
        <w:t>str</w:t>
      </w:r>
      <w:proofErr w:type="gramEnd"/>
      <w:r>
        <w:rPr>
          <w:lang w:val="pl-PL"/>
        </w:rPr>
        <w:t>. 1).</w:t>
      </w:r>
    </w:p>
  </w:footnote>
  <w:footnote w:id="21">
    <w:p w:rsidR="00A625D1" w:rsidRDefault="00946959">
      <w:pPr>
        <w:pStyle w:val="FootnoteText"/>
        <w:rPr>
          <w:lang w:val="pl-PL"/>
        </w:rPr>
      </w:pPr>
      <w:r>
        <w:rPr>
          <w:rStyle w:val="FootnoteReference"/>
        </w:rPr>
        <w:footnoteRef/>
      </w:r>
      <w:r>
        <w:rPr>
          <w:lang w:val="pl-PL"/>
        </w:rPr>
        <w:tab/>
      </w:r>
      <w:proofErr w:type="spellStart"/>
      <w:r>
        <w:rPr>
          <w:lang w:val="pl-PL"/>
        </w:rPr>
        <w:t>Zlasti</w:t>
      </w:r>
      <w:proofErr w:type="spellEnd"/>
      <w:r>
        <w:rPr>
          <w:lang w:val="pl-PL"/>
        </w:rPr>
        <w:t xml:space="preserve"> </w:t>
      </w:r>
      <w:proofErr w:type="spellStart"/>
      <w:r>
        <w:rPr>
          <w:lang w:val="pl-PL"/>
        </w:rPr>
        <w:t>Uredba</w:t>
      </w:r>
      <w:proofErr w:type="spellEnd"/>
      <w:r>
        <w:rPr>
          <w:lang w:val="pl-PL"/>
        </w:rPr>
        <w:t xml:space="preserve"> (EU) </w:t>
      </w:r>
      <w:proofErr w:type="spellStart"/>
      <w:r>
        <w:rPr>
          <w:lang w:val="pl-PL"/>
        </w:rPr>
        <w:t>št</w:t>
      </w:r>
      <w:proofErr w:type="spellEnd"/>
      <w:r>
        <w:rPr>
          <w:lang w:val="pl-PL"/>
        </w:rPr>
        <w:t>. XXX/2016</w:t>
      </w:r>
      <w:r>
        <w:rPr>
          <w:lang w:val="pl-PL"/>
        </w:rPr>
        <w:t xml:space="preserve"> z </w:t>
      </w:r>
      <w:proofErr w:type="spellStart"/>
      <w:r>
        <w:rPr>
          <w:lang w:val="pl-PL"/>
        </w:rPr>
        <w:t>dne</w:t>
      </w:r>
      <w:proofErr w:type="spellEnd"/>
      <w:r>
        <w:rPr>
          <w:lang w:val="pl-PL"/>
        </w:rPr>
        <w:t xml:space="preserve"> XXX (</w:t>
      </w:r>
      <w:proofErr w:type="spellStart"/>
      <w:r>
        <w:rPr>
          <w:lang w:val="pl-PL"/>
        </w:rPr>
        <w:t>številka</w:t>
      </w:r>
      <w:proofErr w:type="spellEnd"/>
      <w:r>
        <w:rPr>
          <w:lang w:val="pl-PL"/>
        </w:rPr>
        <w:t xml:space="preserve"> in </w:t>
      </w:r>
      <w:proofErr w:type="spellStart"/>
      <w:r>
        <w:rPr>
          <w:lang w:val="pl-PL"/>
        </w:rPr>
        <w:t>datum</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dodata</w:t>
      </w:r>
      <w:proofErr w:type="spellEnd"/>
      <w:r>
        <w:rPr>
          <w:lang w:val="pl-PL"/>
        </w:rPr>
        <w:t xml:space="preserve"> po </w:t>
      </w:r>
      <w:proofErr w:type="spellStart"/>
      <w:r>
        <w:rPr>
          <w:lang w:val="pl-PL"/>
        </w:rPr>
        <w:t>uradnem</w:t>
      </w:r>
      <w:proofErr w:type="spellEnd"/>
      <w:r>
        <w:rPr>
          <w:lang w:val="pl-PL"/>
        </w:rPr>
        <w:t xml:space="preserve"> </w:t>
      </w:r>
      <w:proofErr w:type="spellStart"/>
      <w:r>
        <w:rPr>
          <w:lang w:val="pl-PL"/>
        </w:rPr>
        <w:t>sprejetju</w:t>
      </w:r>
      <w:proofErr w:type="spellEnd"/>
      <w:r>
        <w:rPr>
          <w:lang w:val="pl-PL"/>
        </w:rPr>
        <w:t xml:space="preserve">)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o </w:t>
      </w:r>
      <w:proofErr w:type="spellStart"/>
      <w:r>
        <w:rPr>
          <w:lang w:val="pl-PL"/>
        </w:rPr>
        <w:t>varstvu</w:t>
      </w:r>
      <w:proofErr w:type="spellEnd"/>
      <w:r>
        <w:rPr>
          <w:lang w:val="pl-PL"/>
        </w:rPr>
        <w:t xml:space="preserve"> </w:t>
      </w:r>
      <w:proofErr w:type="spellStart"/>
      <w:r>
        <w:rPr>
          <w:lang w:val="pl-PL"/>
        </w:rPr>
        <w:t>posameznikov</w:t>
      </w:r>
      <w:proofErr w:type="spellEnd"/>
      <w:r>
        <w:rPr>
          <w:lang w:val="pl-PL"/>
        </w:rPr>
        <w:t xml:space="preserve"> </w:t>
      </w:r>
      <w:proofErr w:type="spellStart"/>
      <w:r>
        <w:rPr>
          <w:lang w:val="pl-PL"/>
        </w:rPr>
        <w:t>pri</w:t>
      </w:r>
      <w:proofErr w:type="spellEnd"/>
      <w:r>
        <w:rPr>
          <w:lang w:val="pl-PL"/>
        </w:rPr>
        <w:t xml:space="preserve"> </w:t>
      </w:r>
      <w:proofErr w:type="spellStart"/>
      <w:r>
        <w:rPr>
          <w:lang w:val="pl-PL"/>
        </w:rPr>
        <w:t>obdelavi</w:t>
      </w:r>
      <w:proofErr w:type="spellEnd"/>
      <w:r>
        <w:rPr>
          <w:lang w:val="pl-PL"/>
        </w:rPr>
        <w:t xml:space="preserve"> </w:t>
      </w:r>
      <w:proofErr w:type="spellStart"/>
      <w:r>
        <w:rPr>
          <w:lang w:val="pl-PL"/>
        </w:rPr>
        <w:t>osebnih</w:t>
      </w:r>
      <w:proofErr w:type="spellEnd"/>
      <w:r>
        <w:rPr>
          <w:lang w:val="pl-PL"/>
        </w:rPr>
        <w:t xml:space="preserve"> </w:t>
      </w:r>
      <w:proofErr w:type="spellStart"/>
      <w:r>
        <w:rPr>
          <w:lang w:val="pl-PL"/>
        </w:rPr>
        <w:t>podatkov</w:t>
      </w:r>
      <w:proofErr w:type="spellEnd"/>
      <w:r>
        <w:rPr>
          <w:lang w:val="pl-PL"/>
        </w:rPr>
        <w:t xml:space="preserve"> in o </w:t>
      </w:r>
      <w:proofErr w:type="spellStart"/>
      <w:r>
        <w:rPr>
          <w:lang w:val="pl-PL"/>
        </w:rPr>
        <w:t>prostem</w:t>
      </w:r>
      <w:proofErr w:type="spellEnd"/>
      <w:r>
        <w:rPr>
          <w:lang w:val="pl-PL"/>
        </w:rPr>
        <w:t xml:space="preserve"> </w:t>
      </w:r>
      <w:proofErr w:type="spellStart"/>
      <w:r>
        <w:rPr>
          <w:lang w:val="pl-PL"/>
        </w:rPr>
        <w:t>pretoku</w:t>
      </w:r>
      <w:proofErr w:type="spellEnd"/>
      <w:r>
        <w:rPr>
          <w:lang w:val="pl-PL"/>
        </w:rPr>
        <w:t xml:space="preserve"> </w:t>
      </w:r>
      <w:proofErr w:type="spellStart"/>
      <w:r>
        <w:rPr>
          <w:lang w:val="pl-PL"/>
        </w:rPr>
        <w:t>takih</w:t>
      </w:r>
      <w:proofErr w:type="spellEnd"/>
      <w:r>
        <w:rPr>
          <w:lang w:val="pl-PL"/>
        </w:rPr>
        <w:t xml:space="preserve"> </w:t>
      </w:r>
      <w:proofErr w:type="spellStart"/>
      <w:r>
        <w:rPr>
          <w:lang w:val="pl-PL"/>
        </w:rPr>
        <w:t>podatkov</w:t>
      </w:r>
      <w:proofErr w:type="spellEnd"/>
      <w:r>
        <w:rPr>
          <w:lang w:val="pl-PL"/>
        </w:rPr>
        <w:t xml:space="preserve"> (</w:t>
      </w:r>
      <w:proofErr w:type="spellStart"/>
      <w:r>
        <w:rPr>
          <w:lang w:val="pl-PL"/>
        </w:rPr>
        <w:t>splošna</w:t>
      </w:r>
      <w:proofErr w:type="spellEnd"/>
      <w:r>
        <w:rPr>
          <w:lang w:val="pl-PL"/>
        </w:rPr>
        <w:t xml:space="preserve"> </w:t>
      </w:r>
      <w:proofErr w:type="spellStart"/>
      <w:r>
        <w:rPr>
          <w:lang w:val="pl-PL"/>
        </w:rPr>
        <w:t>uredba</w:t>
      </w:r>
      <w:proofErr w:type="spellEnd"/>
      <w:r>
        <w:rPr>
          <w:lang w:val="pl-PL"/>
        </w:rPr>
        <w:t xml:space="preserve"> o </w:t>
      </w:r>
      <w:proofErr w:type="spellStart"/>
      <w:r>
        <w:rPr>
          <w:lang w:val="pl-PL"/>
        </w:rPr>
        <w:t>varstvu</w:t>
      </w:r>
      <w:proofErr w:type="spellEnd"/>
      <w:r>
        <w:rPr>
          <w:lang w:val="pl-PL"/>
        </w:rPr>
        <w:t xml:space="preserve"> </w:t>
      </w:r>
      <w:proofErr w:type="spellStart"/>
      <w:r>
        <w:rPr>
          <w:lang w:val="pl-PL"/>
        </w:rPr>
        <w:t>podatkov</w:t>
      </w:r>
      <w:proofErr w:type="spellEnd"/>
      <w:r>
        <w:rPr>
          <w:lang w:val="pl-PL"/>
        </w:rPr>
        <w:t>) (</w:t>
      </w:r>
      <w:proofErr w:type="spellStart"/>
      <w:r>
        <w:rPr>
          <w:lang w:val="pl-PL"/>
        </w:rPr>
        <w:t>sklic</w:t>
      </w:r>
      <w:proofErr w:type="spellEnd"/>
      <w:r>
        <w:rPr>
          <w:lang w:val="pl-PL"/>
        </w:rPr>
        <w:t xml:space="preserve"> na UL </w:t>
      </w:r>
      <w:proofErr w:type="spellStart"/>
      <w:r>
        <w:rPr>
          <w:lang w:val="pl-PL"/>
        </w:rPr>
        <w:t>se</w:t>
      </w:r>
      <w:proofErr w:type="spellEnd"/>
      <w:r>
        <w:rPr>
          <w:lang w:val="pl-PL"/>
        </w:rPr>
        <w:t xml:space="preserve"> doda po </w:t>
      </w:r>
      <w:proofErr w:type="spellStart"/>
      <w:r>
        <w:rPr>
          <w:lang w:val="pl-PL"/>
        </w:rPr>
        <w:t>uradnem</w:t>
      </w:r>
      <w:proofErr w:type="spellEnd"/>
      <w:r>
        <w:rPr>
          <w:lang w:val="pl-PL"/>
        </w:rPr>
        <w:t xml:space="preserve"> </w:t>
      </w:r>
      <w:proofErr w:type="spellStart"/>
      <w:r>
        <w:rPr>
          <w:lang w:val="pl-PL"/>
        </w:rPr>
        <w:t>spreje</w:t>
      </w:r>
      <w:r>
        <w:rPr>
          <w:lang w:val="pl-PL"/>
        </w:rPr>
        <w:t>tju</w:t>
      </w:r>
      <w:proofErr w:type="spellEnd"/>
      <w:r>
        <w:rPr>
          <w:lang w:val="pl-PL"/>
        </w:rPr>
        <w:t xml:space="preserve">) in </w:t>
      </w:r>
      <w:proofErr w:type="spellStart"/>
      <w:r>
        <w:rPr>
          <w:lang w:val="pl-PL"/>
        </w:rPr>
        <w:t>Uredba</w:t>
      </w:r>
      <w:proofErr w:type="spellEnd"/>
      <w:r>
        <w:rPr>
          <w:lang w:val="pl-PL"/>
        </w:rPr>
        <w:t xml:space="preserve"> (ES) </w:t>
      </w:r>
      <w:proofErr w:type="spellStart"/>
      <w:r>
        <w:rPr>
          <w:lang w:val="pl-PL"/>
        </w:rPr>
        <w:t>št</w:t>
      </w:r>
      <w:proofErr w:type="spellEnd"/>
      <w:r>
        <w:rPr>
          <w:lang w:val="pl-PL"/>
        </w:rPr>
        <w:t xml:space="preserve">. 45/2001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z </w:t>
      </w:r>
      <w:proofErr w:type="spellStart"/>
      <w:r>
        <w:rPr>
          <w:lang w:val="pl-PL"/>
        </w:rPr>
        <w:t>dne</w:t>
      </w:r>
      <w:proofErr w:type="spellEnd"/>
      <w:r>
        <w:rPr>
          <w:lang w:val="pl-PL"/>
        </w:rPr>
        <w:t xml:space="preserve"> 18. </w:t>
      </w:r>
      <w:proofErr w:type="spellStart"/>
      <w:proofErr w:type="gramStart"/>
      <w:r>
        <w:rPr>
          <w:lang w:val="pl-PL"/>
        </w:rPr>
        <w:t>decembra</w:t>
      </w:r>
      <w:proofErr w:type="spellEnd"/>
      <w:proofErr w:type="gramEnd"/>
      <w:r>
        <w:rPr>
          <w:lang w:val="pl-PL"/>
        </w:rPr>
        <w:t xml:space="preserve"> 2000 o </w:t>
      </w:r>
      <w:proofErr w:type="spellStart"/>
      <w:r>
        <w:rPr>
          <w:lang w:val="pl-PL"/>
        </w:rPr>
        <w:t>varstvu</w:t>
      </w:r>
      <w:proofErr w:type="spellEnd"/>
      <w:r>
        <w:rPr>
          <w:lang w:val="pl-PL"/>
        </w:rPr>
        <w:t xml:space="preserve"> </w:t>
      </w:r>
      <w:proofErr w:type="spellStart"/>
      <w:r>
        <w:rPr>
          <w:lang w:val="pl-PL"/>
        </w:rPr>
        <w:t>posameznikov</w:t>
      </w:r>
      <w:proofErr w:type="spellEnd"/>
      <w:r>
        <w:rPr>
          <w:lang w:val="pl-PL"/>
        </w:rPr>
        <w:t xml:space="preserve"> </w:t>
      </w:r>
      <w:proofErr w:type="spellStart"/>
      <w:r>
        <w:rPr>
          <w:lang w:val="pl-PL"/>
        </w:rPr>
        <w:t>pri</w:t>
      </w:r>
      <w:proofErr w:type="spellEnd"/>
      <w:r>
        <w:rPr>
          <w:lang w:val="pl-PL"/>
        </w:rPr>
        <w:t xml:space="preserve"> </w:t>
      </w:r>
      <w:proofErr w:type="spellStart"/>
      <w:r>
        <w:rPr>
          <w:lang w:val="pl-PL"/>
        </w:rPr>
        <w:t>obdelavi</w:t>
      </w:r>
      <w:proofErr w:type="spellEnd"/>
      <w:r>
        <w:rPr>
          <w:lang w:val="pl-PL"/>
        </w:rPr>
        <w:t xml:space="preserve"> </w:t>
      </w:r>
      <w:proofErr w:type="spellStart"/>
      <w:r>
        <w:rPr>
          <w:lang w:val="pl-PL"/>
        </w:rPr>
        <w:t>osebnih</w:t>
      </w:r>
      <w:proofErr w:type="spellEnd"/>
      <w:r>
        <w:rPr>
          <w:lang w:val="pl-PL"/>
        </w:rPr>
        <w:t xml:space="preserve"> </w:t>
      </w:r>
      <w:proofErr w:type="spellStart"/>
      <w:r>
        <w:rPr>
          <w:lang w:val="pl-PL"/>
        </w:rPr>
        <w:t>podatkov</w:t>
      </w:r>
      <w:proofErr w:type="spellEnd"/>
      <w:r>
        <w:rPr>
          <w:lang w:val="pl-PL"/>
        </w:rPr>
        <w:t xml:space="preserve"> v </w:t>
      </w:r>
      <w:proofErr w:type="spellStart"/>
      <w:r>
        <w:rPr>
          <w:lang w:val="pl-PL"/>
        </w:rPr>
        <w:t>institucijah</w:t>
      </w:r>
      <w:proofErr w:type="spellEnd"/>
      <w:r>
        <w:rPr>
          <w:lang w:val="pl-PL"/>
        </w:rPr>
        <w:t xml:space="preserve"> in </w:t>
      </w:r>
      <w:proofErr w:type="spellStart"/>
      <w:r>
        <w:rPr>
          <w:lang w:val="pl-PL"/>
        </w:rPr>
        <w:t>organih</w:t>
      </w:r>
      <w:proofErr w:type="spellEnd"/>
      <w:r>
        <w:rPr>
          <w:lang w:val="pl-PL"/>
        </w:rPr>
        <w:t xml:space="preserve"> </w:t>
      </w:r>
      <w:proofErr w:type="spellStart"/>
      <w:r>
        <w:rPr>
          <w:lang w:val="pl-PL"/>
        </w:rPr>
        <w:t>Skupnosti</w:t>
      </w:r>
      <w:proofErr w:type="spellEnd"/>
      <w:r>
        <w:rPr>
          <w:lang w:val="pl-PL"/>
        </w:rPr>
        <w:t xml:space="preserve"> in o </w:t>
      </w:r>
      <w:proofErr w:type="spellStart"/>
      <w:r>
        <w:rPr>
          <w:lang w:val="pl-PL"/>
        </w:rPr>
        <w:t>prostem</w:t>
      </w:r>
      <w:proofErr w:type="spellEnd"/>
      <w:r>
        <w:rPr>
          <w:lang w:val="pl-PL"/>
        </w:rPr>
        <w:t xml:space="preserve"> </w:t>
      </w:r>
      <w:proofErr w:type="spellStart"/>
      <w:r>
        <w:rPr>
          <w:lang w:val="pl-PL"/>
        </w:rPr>
        <w:t>pretoku</w:t>
      </w:r>
      <w:proofErr w:type="spellEnd"/>
      <w:r>
        <w:rPr>
          <w:lang w:val="pl-PL"/>
        </w:rPr>
        <w:t xml:space="preserve"> </w:t>
      </w:r>
      <w:proofErr w:type="spellStart"/>
      <w:r>
        <w:rPr>
          <w:lang w:val="pl-PL"/>
        </w:rPr>
        <w:t>takih</w:t>
      </w:r>
      <w:proofErr w:type="spellEnd"/>
      <w:r>
        <w:rPr>
          <w:lang w:val="pl-PL"/>
        </w:rPr>
        <w:t xml:space="preserve"> </w:t>
      </w:r>
      <w:proofErr w:type="spellStart"/>
      <w:r>
        <w:rPr>
          <w:lang w:val="pl-PL"/>
        </w:rPr>
        <w:t>podatkov</w:t>
      </w:r>
      <w:proofErr w:type="spellEnd"/>
      <w:r>
        <w:rPr>
          <w:lang w:val="pl-PL"/>
        </w:rPr>
        <w:t xml:space="preserve"> (UL L 8, 12.1.2001, </w:t>
      </w:r>
      <w:proofErr w:type="gramStart"/>
      <w:r>
        <w:rPr>
          <w:lang w:val="pl-PL"/>
        </w:rPr>
        <w:t>str</w:t>
      </w:r>
      <w:proofErr w:type="gramEnd"/>
      <w:r>
        <w:rPr>
          <w:lang w:val="pl-PL"/>
        </w:rPr>
        <w:t>. 1).</w:t>
      </w:r>
    </w:p>
  </w:footnote>
  <w:footnote w:id="22">
    <w:p w:rsidR="00A625D1" w:rsidRDefault="00946959">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w:t>
      </w:r>
      <w:proofErr w:type="spellStart"/>
      <w:r>
        <w:rPr>
          <w:lang w:val="pl-PL"/>
        </w:rPr>
        <w:t>š</w:t>
      </w:r>
      <w:r>
        <w:rPr>
          <w:lang w:val="pl-PL"/>
        </w:rPr>
        <w:t>t</w:t>
      </w:r>
      <w:proofErr w:type="spellEnd"/>
      <w:r>
        <w:rPr>
          <w:lang w:val="pl-PL"/>
        </w:rPr>
        <w:t xml:space="preserve">. 182/2011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z </w:t>
      </w:r>
      <w:proofErr w:type="spellStart"/>
      <w:r>
        <w:rPr>
          <w:lang w:val="pl-PL"/>
        </w:rPr>
        <w:t>dne</w:t>
      </w:r>
      <w:proofErr w:type="spellEnd"/>
      <w:r>
        <w:rPr>
          <w:lang w:val="pl-PL"/>
        </w:rPr>
        <w:t xml:space="preserve"> 16. </w:t>
      </w:r>
      <w:proofErr w:type="spellStart"/>
      <w:proofErr w:type="gramStart"/>
      <w:r>
        <w:rPr>
          <w:lang w:val="pl-PL"/>
        </w:rPr>
        <w:t>februarja</w:t>
      </w:r>
      <w:proofErr w:type="spellEnd"/>
      <w:proofErr w:type="gramEnd"/>
      <w:r>
        <w:rPr>
          <w:lang w:val="pl-PL"/>
        </w:rPr>
        <w:t xml:space="preserve"> 2011 o </w:t>
      </w:r>
      <w:proofErr w:type="spellStart"/>
      <w:r>
        <w:rPr>
          <w:lang w:val="pl-PL"/>
        </w:rPr>
        <w:t>določitvi</w:t>
      </w:r>
      <w:proofErr w:type="spellEnd"/>
      <w:r>
        <w:rPr>
          <w:lang w:val="pl-PL"/>
        </w:rPr>
        <w:t xml:space="preserve"> </w:t>
      </w:r>
      <w:proofErr w:type="spellStart"/>
      <w:r>
        <w:rPr>
          <w:lang w:val="pl-PL"/>
        </w:rPr>
        <w:t>splošnih</w:t>
      </w:r>
      <w:proofErr w:type="spellEnd"/>
      <w:r>
        <w:rPr>
          <w:lang w:val="pl-PL"/>
        </w:rPr>
        <w:t xml:space="preserve"> </w:t>
      </w:r>
      <w:proofErr w:type="spellStart"/>
      <w:r>
        <w:rPr>
          <w:lang w:val="pl-PL"/>
        </w:rPr>
        <w:t>pravil</w:t>
      </w:r>
      <w:proofErr w:type="spellEnd"/>
      <w:r>
        <w:rPr>
          <w:lang w:val="pl-PL"/>
        </w:rPr>
        <w:t xml:space="preserve"> in </w:t>
      </w:r>
      <w:proofErr w:type="spellStart"/>
      <w:r>
        <w:rPr>
          <w:lang w:val="pl-PL"/>
        </w:rPr>
        <w:t>načel</w:t>
      </w:r>
      <w:proofErr w:type="spellEnd"/>
      <w:r>
        <w:rPr>
          <w:lang w:val="pl-PL"/>
        </w:rPr>
        <w:t xml:space="preserve">, na </w:t>
      </w:r>
      <w:proofErr w:type="spellStart"/>
      <w:r>
        <w:rPr>
          <w:lang w:val="pl-PL"/>
        </w:rPr>
        <w:t>podlagi</w:t>
      </w:r>
      <w:proofErr w:type="spellEnd"/>
      <w:r>
        <w:rPr>
          <w:lang w:val="pl-PL"/>
        </w:rPr>
        <w:t xml:space="preserve"> </w:t>
      </w:r>
      <w:proofErr w:type="spellStart"/>
      <w:r>
        <w:rPr>
          <w:lang w:val="pl-PL"/>
        </w:rPr>
        <w:t>katerih</w:t>
      </w:r>
      <w:proofErr w:type="spellEnd"/>
      <w:r>
        <w:rPr>
          <w:lang w:val="pl-PL"/>
        </w:rPr>
        <w:t xml:space="preserve"> </w:t>
      </w:r>
      <w:proofErr w:type="spellStart"/>
      <w:r>
        <w:rPr>
          <w:lang w:val="pl-PL"/>
        </w:rPr>
        <w:t>države</w:t>
      </w:r>
      <w:proofErr w:type="spellEnd"/>
      <w:r>
        <w:rPr>
          <w:lang w:val="pl-PL"/>
        </w:rPr>
        <w:t xml:space="preserve"> </w:t>
      </w:r>
      <w:proofErr w:type="spellStart"/>
      <w:r>
        <w:rPr>
          <w:lang w:val="pl-PL"/>
        </w:rPr>
        <w:t>članice</w:t>
      </w:r>
      <w:proofErr w:type="spellEnd"/>
      <w:r>
        <w:rPr>
          <w:lang w:val="pl-PL"/>
        </w:rPr>
        <w:t xml:space="preserve"> </w:t>
      </w:r>
      <w:proofErr w:type="spellStart"/>
      <w:r>
        <w:rPr>
          <w:lang w:val="pl-PL"/>
        </w:rPr>
        <w:t>nadzirajo</w:t>
      </w:r>
      <w:proofErr w:type="spellEnd"/>
      <w:r>
        <w:rPr>
          <w:lang w:val="pl-PL"/>
        </w:rPr>
        <w:t xml:space="preserve"> </w:t>
      </w:r>
      <w:proofErr w:type="spellStart"/>
      <w:r>
        <w:rPr>
          <w:lang w:val="pl-PL"/>
        </w:rPr>
        <w:t>izvajanje</w:t>
      </w:r>
      <w:proofErr w:type="spellEnd"/>
      <w:r>
        <w:rPr>
          <w:lang w:val="pl-PL"/>
        </w:rPr>
        <w:t xml:space="preserve"> </w:t>
      </w:r>
      <w:proofErr w:type="spellStart"/>
      <w:r>
        <w:rPr>
          <w:lang w:val="pl-PL"/>
        </w:rPr>
        <w:t>izvedbenih</w:t>
      </w:r>
      <w:proofErr w:type="spellEnd"/>
      <w:r>
        <w:rPr>
          <w:lang w:val="pl-PL"/>
        </w:rPr>
        <w:t xml:space="preserve"> </w:t>
      </w:r>
      <w:proofErr w:type="spellStart"/>
      <w:r>
        <w:rPr>
          <w:lang w:val="pl-PL"/>
        </w:rPr>
        <w:t>pooblastil</w:t>
      </w:r>
      <w:proofErr w:type="spellEnd"/>
      <w:r>
        <w:rPr>
          <w:lang w:val="pl-PL"/>
        </w:rPr>
        <w:t xml:space="preserve"> </w:t>
      </w:r>
      <w:proofErr w:type="spellStart"/>
      <w:r>
        <w:rPr>
          <w:lang w:val="pl-PL"/>
        </w:rPr>
        <w:t>Komisije</w:t>
      </w:r>
      <w:proofErr w:type="spellEnd"/>
      <w:r>
        <w:rPr>
          <w:lang w:val="pl-PL"/>
        </w:rPr>
        <w:t xml:space="preserve"> (UL L 55, 28.2.2011, </w:t>
      </w:r>
      <w:proofErr w:type="gramStart"/>
      <w:r>
        <w:rPr>
          <w:lang w:val="pl-PL"/>
        </w:rPr>
        <w:t>str</w:t>
      </w:r>
      <w:proofErr w:type="gramEnd"/>
      <w:r>
        <w:rPr>
          <w:lang w:val="pl-PL"/>
        </w:rPr>
        <w: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59" w:rsidRPr="00946959" w:rsidRDefault="00946959" w:rsidP="00946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BC5B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8209A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926C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36B7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CCAF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DE6F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E8E8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79A1B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num>
  <w:num w:numId="11">
    <w:abstractNumId w:val="20"/>
    <w:lvlOverride w:ilvl="0">
      <w:startOverride w:val="1"/>
    </w:lvlOverride>
  </w:num>
  <w:num w:numId="12">
    <w:abstractNumId w:val="16"/>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7:24:0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EC7A9249536C44EAB932CE382ABD37A7"/>
    <w:docVar w:name="LW_CROSSREFERENCE" w:val="{SWD(2016) 189 final}_x000a_{SWD(2016) 190 final}"/>
    <w:docVar w:name="LW_DocType" w:val="COM"/>
    <w:docVar w:name="LW_EMISSION" w:val="6.6.2016"/>
    <w:docVar w:name="LW_EMISSION_ISODATE" w:val="2016-06-06"/>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171"/>
    <w:docVar w:name="LW_REF.II.NEW.CP_YEAR" w:val="2016"/>
    <w:docVar w:name="LW_REF.INST.NEW" w:val="COM"/>
    <w:docVar w:name="LW_REF.INST.NEW_ADOPTED" w:val="final"/>
    <w:docVar w:name="LW_REF.INST.NEW_TEXT" w:val="(2016) 370"/>
    <w:docVar w:name="LW_REF.INTERNE" w:val="&lt;UNUSED&gt;"/>
    <w:docVar w:name="LW_SOUS.TITRE.OBJ.CP" w:val="&lt;UNUSED&gt;"/>
    <w:docVar w:name="LW_STATUT.CP" w:val="Predlog"/>
    <w:docVar w:name="LW_SUPERTITRE" w:val="&lt;UNUSED&gt;"/>
    <w:docVar w:name="LW_TITRE.OBJ.CP" w:val="o spremembi Direktive 98/41/ES o registraciji oseb, ki potujejo s potni\u353?kimi ladjami, ki plujejo v pristani\u353?\u269?a dr\u382?av \u269?lanic Skupnosti ali iz njih, in o spremembi Direktive 2010/65/EU Evropskega parlamenta in Sveta o formalnostih poro\u269?anja za ladje, ki priplujejo v pristani\u353?\u269?a dr\u382?av \u269?lanic in/ali izplujejo iz njih"/>
    <w:docVar w:name="LW_TYPE.DOC.CP" w:val="DIREKTIVA EVROPSKEGA PARLAMENTA IN SVETA"/>
  </w:docVars>
  <w:rsids>
    <w:rsidRoot w:val="00A625D1"/>
    <w:rsid w:val="00946959"/>
    <w:rsid w:val="00A6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469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4695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4695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469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4695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4695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644">
      <w:bodyDiv w:val="1"/>
      <w:marLeft w:val="0"/>
      <w:marRight w:val="0"/>
      <w:marTop w:val="0"/>
      <w:marBottom w:val="0"/>
      <w:divBdr>
        <w:top w:val="none" w:sz="0" w:space="0" w:color="auto"/>
        <w:left w:val="none" w:sz="0" w:space="0" w:color="auto"/>
        <w:bottom w:val="none" w:sz="0" w:space="0" w:color="auto"/>
        <w:right w:val="none" w:sz="0" w:space="0" w:color="auto"/>
      </w:divBdr>
    </w:div>
    <w:div w:id="888495359">
      <w:bodyDiv w:val="1"/>
      <w:marLeft w:val="0"/>
      <w:marRight w:val="0"/>
      <w:marTop w:val="0"/>
      <w:marBottom w:val="0"/>
      <w:divBdr>
        <w:top w:val="none" w:sz="0" w:space="0" w:color="auto"/>
        <w:left w:val="none" w:sz="0" w:space="0" w:color="auto"/>
        <w:bottom w:val="none" w:sz="0" w:space="0" w:color="auto"/>
        <w:right w:val="none" w:sz="0" w:space="0" w:color="auto"/>
      </w:divBdr>
    </w:div>
    <w:div w:id="1165245032">
      <w:bodyDiv w:val="1"/>
      <w:marLeft w:val="0"/>
      <w:marRight w:val="0"/>
      <w:marTop w:val="0"/>
      <w:marBottom w:val="0"/>
      <w:divBdr>
        <w:top w:val="none" w:sz="0" w:space="0" w:color="auto"/>
        <w:left w:val="none" w:sz="0" w:space="0" w:color="auto"/>
        <w:bottom w:val="none" w:sz="0" w:space="0" w:color="auto"/>
        <w:right w:val="none" w:sz="0" w:space="0" w:color="auto"/>
      </w:divBdr>
    </w:div>
    <w:div w:id="1497064146">
      <w:bodyDiv w:val="1"/>
      <w:marLeft w:val="0"/>
      <w:marRight w:val="0"/>
      <w:marTop w:val="0"/>
      <w:marBottom w:val="0"/>
      <w:divBdr>
        <w:top w:val="none" w:sz="0" w:space="0" w:color="auto"/>
        <w:left w:val="none" w:sz="0" w:space="0" w:color="auto"/>
        <w:bottom w:val="none" w:sz="0" w:space="0" w:color="auto"/>
        <w:right w:val="none" w:sz="0" w:space="0" w:color="auto"/>
      </w:divBdr>
    </w:div>
    <w:div w:id="1735544168">
      <w:bodyDiv w:val="1"/>
      <w:marLeft w:val="0"/>
      <w:marRight w:val="0"/>
      <w:marTop w:val="0"/>
      <w:marBottom w:val="0"/>
      <w:divBdr>
        <w:top w:val="none" w:sz="0" w:space="0" w:color="auto"/>
        <w:left w:val="none" w:sz="0" w:space="0" w:color="auto"/>
        <w:bottom w:val="none" w:sz="0" w:space="0" w:color="auto"/>
        <w:right w:val="none" w:sz="0" w:space="0" w:color="auto"/>
      </w:divBdr>
    </w:div>
    <w:div w:id="20225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E8C7-BC93-4A30-A63F-A40745D7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Pages>
  <Words>6134</Words>
  <Characters>35677</Characters>
  <Application>Microsoft Office Word</Application>
  <DocSecurity>0</DocSecurity>
  <Lines>624</Lines>
  <Paragraphs>227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2016-04-25T11:43:00Z</cp:lastPrinted>
  <dcterms:created xsi:type="dcterms:W3CDTF">2016-06-03T09:16:00Z</dcterms:created>
  <dcterms:modified xsi:type="dcterms:W3CDTF">2016-06-06T15:58:00Z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