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27D96432FC94390AD532D58A4839D43" style="width:450.75pt;height:396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line="360" w:lineRule="auto"/>
        <w:jc w:val="center"/>
        <w:outlineLvl w:val="0"/>
        <w:rPr>
          <w:rFonts w:eastAsia="Times New Roman"/>
          <w:b/>
          <w:noProof/>
          <w:szCs w:val="20"/>
        </w:rPr>
      </w:pPr>
      <w:bookmarkStart w:id="0" w:name="_GoBack"/>
      <w:bookmarkEnd w:id="0"/>
      <w:r>
        <w:rPr>
          <w:b/>
          <w:noProof/>
        </w:rPr>
        <w:lastRenderedPageBreak/>
        <w:t>PRILOG I.</w:t>
      </w:r>
    </w:p>
    <w:p>
      <w:pPr>
        <w:spacing w:line="360" w:lineRule="auto"/>
        <w:jc w:val="center"/>
        <w:outlineLvl w:val="0"/>
        <w:rPr>
          <w:rFonts w:eastAsia="Times New Roman"/>
          <w:b/>
          <w:noProof/>
          <w:szCs w:val="20"/>
          <w:u w:val="single"/>
        </w:rPr>
      </w:pPr>
      <w:r>
        <w:rPr>
          <w:b/>
          <w:noProof/>
        </w:rPr>
        <w:t>Definicije</w:t>
      </w:r>
    </w:p>
    <w:p>
      <w:pPr>
        <w:spacing w:line="360" w:lineRule="auto"/>
        <w:rPr>
          <w:rFonts w:eastAsia="Times New Roman"/>
          <w:noProof/>
          <w:szCs w:val="20"/>
        </w:rPr>
      </w:pPr>
      <w:r>
        <w:rPr>
          <w:noProof/>
        </w:rPr>
        <w:t>U kontekstu ove Preporuke primjenjuju se sljedeće definicije:</w:t>
      </w:r>
    </w:p>
    <w:p>
      <w:pPr>
        <w:pStyle w:val="Point0letter"/>
        <w:numPr>
          <w:ilvl w:val="1"/>
          <w:numId w:val="11"/>
        </w:numPr>
        <w:rPr>
          <w:noProof/>
        </w:rPr>
      </w:pPr>
      <w:r>
        <w:rPr>
          <w:i/>
          <w:noProof/>
        </w:rPr>
        <w:t>kvalifikacija</w:t>
      </w:r>
      <w:r>
        <w:rPr>
          <w:noProof/>
        </w:rPr>
        <w:t>: formalni rezultat postupka ocjenjivanja i vrednovanja nakon odluke nadležnog tijela da je pojedinac ostvario ishode učenja koji odgovaraju određenom standardu;</w:t>
      </w:r>
    </w:p>
    <w:p>
      <w:pPr>
        <w:pStyle w:val="Point0letter"/>
        <w:rPr>
          <w:noProof/>
        </w:rPr>
      </w:pPr>
      <w:r>
        <w:rPr>
          <w:i/>
          <w:noProof/>
        </w:rPr>
        <w:t>nacionalni kvalifikacijski sustav:</w:t>
      </w:r>
      <w:r>
        <w:rPr>
          <w:noProof/>
        </w:rPr>
        <w:t xml:space="preserve"> svi aspekti aktivnosti države članice povezani s priznavanjem učenja i drugi mehanizmi koji obrazovanje i osposobljavanje povezuju s tržištem rada i civilnim društvom. To uključuje razvoj i provedbu institucionalnih mehanizama i procesa povezanih s osiguranjem kvalitete, ocjenom i dodjeljivanjem kvalifikacija. Nacionalni kvalifikacijski sustav može se sastojati od nekoliko podsustava i može uključivati nacionalni kvalifikacijski okvir;</w:t>
      </w:r>
    </w:p>
    <w:p>
      <w:pPr>
        <w:pStyle w:val="Point0letter"/>
        <w:rPr>
          <w:noProof/>
        </w:rPr>
      </w:pPr>
      <w:r>
        <w:rPr>
          <w:i/>
          <w:noProof/>
        </w:rPr>
        <w:t>nacionalni kvalifikacijski okvir:</w:t>
      </w:r>
      <w:r>
        <w:rPr>
          <w:noProof/>
        </w:rPr>
        <w:t xml:space="preserve"> instrument za klasifikaciju kvalifikacija na temelju skupa kriterija za određene ostvarene razine učenja čiji je cilj integrirati i koordinirati nacionalne kvalifikacijske podsustave te unaprijediti transparentnost, pristup, napredak i kvalitetu kvalifikacija u odnosu na tržište rada i civilno društvo;</w:t>
      </w:r>
    </w:p>
    <w:p>
      <w:pPr>
        <w:pStyle w:val="Point0letter"/>
        <w:rPr>
          <w:noProof/>
        </w:rPr>
      </w:pPr>
      <w:r>
        <w:rPr>
          <w:i/>
          <w:noProof/>
        </w:rPr>
        <w:t>međunarodna kvalifikacija:</w:t>
      </w:r>
      <w:r>
        <w:rPr>
          <w:noProof/>
        </w:rPr>
        <w:t xml:space="preserve"> svjedodžba, diploma, stupanj ili titula koju je dodijelilo međunarodno tijelo (ili nacionalno tijelo s akreditacijom međunarodnog tijela), koja se upotrebljava u najmanje dvjema zemljama i uključuje ishode učenja temeljene na standardima koje su razvili međunarodno tijelo, organizacija ili društvo;</w:t>
      </w:r>
    </w:p>
    <w:p>
      <w:pPr>
        <w:pStyle w:val="Point0letter"/>
        <w:rPr>
          <w:noProof/>
        </w:rPr>
      </w:pPr>
      <w:r>
        <w:rPr>
          <w:i/>
          <w:noProof/>
        </w:rPr>
        <w:t>međunarodna sektorska kvalifikacija:</w:t>
      </w:r>
      <w:r>
        <w:rPr>
          <w:noProof/>
        </w:rPr>
        <w:t xml:space="preserve"> međunarodna kvalifikacija relevantna za sektor gospodarske djelatnosti koju su razvili međunarodna sektorska organizacija ili međunarodno društvo; </w:t>
      </w:r>
    </w:p>
    <w:p>
      <w:pPr>
        <w:pStyle w:val="Point0letter"/>
        <w:rPr>
          <w:noProof/>
        </w:rPr>
      </w:pPr>
      <w:r>
        <w:rPr>
          <w:i/>
          <w:noProof/>
        </w:rPr>
        <w:t>ishodi učenja:</w:t>
      </w:r>
      <w:r>
        <w:rPr>
          <w:noProof/>
        </w:rPr>
        <w:t xml:space="preserve"> opis onoga što učenik zna, razumije i za što je sposoban nakon završenog procesa učenja;</w:t>
      </w:r>
    </w:p>
    <w:p>
      <w:pPr>
        <w:pStyle w:val="Point0letter"/>
        <w:rPr>
          <w:noProof/>
        </w:rPr>
      </w:pPr>
      <w:r>
        <w:rPr>
          <w:i/>
          <w:noProof/>
        </w:rPr>
        <w:t xml:space="preserve">znanje: </w:t>
      </w:r>
      <w:r>
        <w:rPr>
          <w:noProof/>
        </w:rPr>
        <w:t xml:space="preserve">ishod usvajanja informacija učenjem. Znanje je skup činjenica, načela, </w:t>
      </w:r>
      <w:r>
        <w:rPr>
          <w:i/>
          <w:noProof/>
        </w:rPr>
        <w:t>teorija</w:t>
      </w:r>
      <w:r>
        <w:rPr>
          <w:noProof/>
        </w:rPr>
        <w:t xml:space="preserve"> i praksi povezan s područjem rada ili učenja. U kontekstu europskog kvalifikacijskog okvira znanje se opisuje kao teorijsko i/ili činjenično;</w:t>
      </w:r>
    </w:p>
    <w:p>
      <w:pPr>
        <w:pStyle w:val="Point0letter"/>
        <w:rPr>
          <w:noProof/>
        </w:rPr>
      </w:pPr>
      <w:r>
        <w:rPr>
          <w:i/>
          <w:noProof/>
        </w:rPr>
        <w:t>vještine:</w:t>
      </w:r>
      <w:r>
        <w:rPr>
          <w:noProof/>
        </w:rPr>
        <w:t xml:space="preserve"> sposobnost primjene znanja i upotrebe iskustva u izvršavanju zadataka i rješavanju problema. U kontekstu europskog kvalifikacijskog okvira vještine su opisane kao kognitivne (uključuju upotrebu logičkog, intuitivnog i kreativnog razmišljanja) ili praktične (uključuju manualnu spretnost i upotrebu metoda, materijala, alata i instrumenata);</w:t>
      </w:r>
    </w:p>
    <w:p>
      <w:pPr>
        <w:pStyle w:val="Point0letter"/>
        <w:rPr>
          <w:i/>
          <w:noProof/>
        </w:rPr>
      </w:pPr>
      <w:r>
        <w:rPr>
          <w:i/>
          <w:noProof/>
        </w:rPr>
        <w:t>odgovornost/samostalnost</w:t>
      </w:r>
      <w:r>
        <w:rPr>
          <w:noProof/>
        </w:rPr>
        <w:t xml:space="preserve"> u kontekstu europskog kvalifikacijskog okvira sposobnost je učenika da samostalno i odgovorno primjenjuje znanje i vještine;</w:t>
      </w:r>
    </w:p>
    <w:p>
      <w:pPr>
        <w:pStyle w:val="Point0letter"/>
        <w:rPr>
          <w:noProof/>
        </w:rPr>
      </w:pPr>
      <w:r>
        <w:rPr>
          <w:i/>
          <w:noProof/>
        </w:rPr>
        <w:t>vrednovanje neformalnog i informalnog učenja:</w:t>
      </w:r>
      <w:r>
        <w:rPr>
          <w:noProof/>
        </w:rPr>
        <w:t xml:space="preserve"> postupak u kojem ovlašteno tijelo potvrđuje da je pojedinac postigao ishode učenja s obzirom na odgovarajući standard, a sastoji se od sljedećih četiriju odvojenih faza: utvrđivanja određenih iskustava pojedinaca kroz dijalog, izrade dokumenata iz kojih su vidljiva iskustva pojedinca, službene ocjene tih iskustava i potvrđivanja rezultata ocjene, što može dovesti do djelomične ili potpune kvalifikacije;</w:t>
      </w:r>
    </w:p>
    <w:p>
      <w:pPr>
        <w:pStyle w:val="Point0letter"/>
        <w:rPr>
          <w:i/>
          <w:noProof/>
        </w:rPr>
      </w:pPr>
      <w:r>
        <w:rPr>
          <w:i/>
          <w:noProof/>
        </w:rPr>
        <w:lastRenderedPageBreak/>
        <w:t xml:space="preserve">službeno priznavanje ishoda učenja: </w:t>
      </w:r>
      <w:r>
        <w:rPr>
          <w:noProof/>
        </w:rPr>
        <w:t>postupak u kojem nadležno tijelo dodjeljuje službeni status za stečene ishode učenja za potrebe nastavka studija ili zaposlenja: i. dodjeljivanjem kvalifikacija (svjedodžbi, diploma ili titula), ii. vrednovanjem neformalnog i informalnog učenja i iii. dodjeljivanjem jednakovrijednosti statusa, bodova ili izuzeća;</w:t>
      </w:r>
    </w:p>
    <w:p>
      <w:pPr>
        <w:pStyle w:val="Point0letter"/>
        <w:rPr>
          <w:i/>
          <w:noProof/>
        </w:rPr>
      </w:pPr>
      <w:r>
        <w:rPr>
          <w:i/>
          <w:noProof/>
        </w:rPr>
        <w:t xml:space="preserve">bodovi: </w:t>
      </w:r>
      <w:r>
        <w:rPr>
          <w:noProof/>
        </w:rPr>
        <w:t>pokazuju da je dio kvalifikacije koji se sastoji od koherentnog skupa ishoda učenja ocijenilo i vrednovalo ovlašteno tijelo, u skladu s dogovorenim standardom. Bodove dodjeljuju nadležna tijela kad pojedinac ostvari utvrđene ishode učenja, što se dokazuje odgovarajućim ocjenama. Bodovi se mogu izraziti u kvantitativnom obliku (npr. u obliku broja bodova) koji prikazuje procijenjeno radno opterećenje prosječnog pojedinca potrebno za ostvarivanje ishoda učenja;</w:t>
      </w:r>
    </w:p>
    <w:p>
      <w:pPr>
        <w:pStyle w:val="Point0letter"/>
        <w:rPr>
          <w:i/>
          <w:noProof/>
        </w:rPr>
      </w:pPr>
      <w:r>
        <w:rPr>
          <w:i/>
          <w:noProof/>
        </w:rPr>
        <w:t xml:space="preserve">sustavi bodovanja: </w:t>
      </w:r>
      <w:r>
        <w:rPr>
          <w:noProof/>
        </w:rPr>
        <w:t>sustavi priznavanja bodova. Ti sustavi mogu, među ostalim, obuhvaćati jednakovrijedne kvalifikacije, izuzeća, jedinice/module koji se mogu prikupljati i prenositi, samostalnost pružatelja obrazovanja koji mogu osmisliti individualizirane načine učenja te vrednovanje neformalnog i informalnog učenja;</w:t>
      </w:r>
    </w:p>
    <w:p>
      <w:pPr>
        <w:pStyle w:val="Point0letter"/>
        <w:rPr>
          <w:i/>
          <w:noProof/>
        </w:rPr>
      </w:pPr>
      <w:r>
        <w:rPr>
          <w:i/>
          <w:noProof/>
        </w:rPr>
        <w:t xml:space="preserve">prijenos bodova: </w:t>
      </w:r>
      <w:r>
        <w:rPr>
          <w:noProof/>
        </w:rPr>
        <w:t>postupak kojim se pojedincima koji su prikupili bodove u jednom kontekstu omogućuje da ih se vrednuje i prizna u drugom kontekstu.</w:t>
      </w:r>
    </w:p>
    <w:p>
      <w:pPr>
        <w:spacing w:before="0" w:after="200" w:line="276" w:lineRule="auto"/>
        <w:jc w:val="left"/>
        <w:rPr>
          <w:rFonts w:eastAsia="Times New Roman"/>
          <w:b/>
          <w:noProof/>
          <w:szCs w:val="20"/>
        </w:rPr>
        <w:sectPr>
          <w:footerReference w:type="default" r:id="rId16"/>
          <w:footerReference w:type="first" r:id="rId17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pgNumType w:start="1"/>
          <w:cols w:space="708"/>
          <w:docGrid w:linePitch="326"/>
        </w:sectPr>
      </w:pPr>
    </w:p>
    <w:p>
      <w:pPr>
        <w:spacing w:before="0" w:after="200" w:line="276" w:lineRule="auto"/>
        <w:jc w:val="left"/>
        <w:rPr>
          <w:rFonts w:eastAsia="Times New Roman"/>
          <w:b/>
          <w:noProof/>
          <w:szCs w:val="20"/>
        </w:rPr>
      </w:pPr>
    </w:p>
    <w:p>
      <w:pPr>
        <w:spacing w:line="360" w:lineRule="auto"/>
        <w:jc w:val="center"/>
        <w:outlineLvl w:val="0"/>
        <w:rPr>
          <w:rFonts w:eastAsia="Times New Roman"/>
          <w:b/>
          <w:noProof/>
          <w:szCs w:val="20"/>
        </w:rPr>
      </w:pPr>
      <w:r>
        <w:rPr>
          <w:b/>
          <w:noProof/>
        </w:rPr>
        <w:t>PRILOG II.</w:t>
      </w:r>
    </w:p>
    <w:p>
      <w:pPr>
        <w:spacing w:line="360" w:lineRule="auto"/>
        <w:jc w:val="center"/>
        <w:rPr>
          <w:rFonts w:eastAsia="Times New Roman"/>
          <w:b/>
          <w:noProof/>
          <w:sz w:val="16"/>
          <w:szCs w:val="16"/>
        </w:rPr>
      </w:pPr>
      <w:r>
        <w:rPr>
          <w:b/>
          <w:noProof/>
          <w:sz w:val="16"/>
        </w:rPr>
        <w:t>Deskriptori kojima se određuju razine u europskom kvalifikacijskom okviru (EKO)</w:t>
      </w: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7"/>
        <w:gridCol w:w="3233"/>
        <w:gridCol w:w="15"/>
        <w:gridCol w:w="4125"/>
        <w:gridCol w:w="25"/>
        <w:gridCol w:w="4231"/>
        <w:gridCol w:w="36"/>
      </w:tblGrid>
      <w:tr>
        <w:trPr>
          <w:gridAfter w:val="1"/>
          <w:wAfter w:w="36" w:type="dxa"/>
          <w:tblHeader/>
          <w:jc w:val="center"/>
        </w:trPr>
        <w:tc>
          <w:tcPr>
            <w:tcW w:w="1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Svaka od osam razina određena je skupom deskriptora koji označavaju ishode učenja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  <w:sz w:val="16"/>
              </w:rPr>
              <w:t xml:space="preserve"> relevantne za kvalifikacije na toj razini u bilo kojem sustavu kvalifikacija. </w:t>
            </w:r>
          </w:p>
        </w:tc>
      </w:tr>
      <w:tr>
        <w:trPr>
          <w:gridAfter w:val="1"/>
          <w:wAfter w:w="36" w:type="dxa"/>
          <w:tblHeader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Znanje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Vještine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Odgovornost/samostalnost</w:t>
            </w:r>
          </w:p>
        </w:tc>
      </w:tr>
      <w:tr>
        <w:trPr>
          <w:gridAfter w:val="1"/>
          <w:wAfter w:w="36" w:type="dxa"/>
          <w:tblHeader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 kontekstu europskog kvalifikacijskog okvira znanje se opisuje kao teorijsko i/ili činjenično.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 kontekstu europskog kvalifikacijskog okvira vještine su opisane kao kognitivne (uključuju upotrebu logičkog, intuitivnog i kreativnog razmišljanja) i praktične (uključuju manualnu spretnost i upotrebu metoda, materijala, alata i instrumenata).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 kontekstu europskog kvalifikacijskog okvira odgovornost/samostalnost opisuje se kao sposobnost učenika da samostalno i odgovorno primjenjuje znanje i vještine.</w:t>
            </w:r>
          </w:p>
        </w:tc>
      </w:tr>
      <w:tr>
        <w:trPr>
          <w:gridAfter w:val="1"/>
          <w:wAfter w:w="36" w:type="dxa"/>
          <w:tblHeader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1. razina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1. razinu sljedeći su: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osnovno opće znanje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osnovne vještine potrebne za izvršavanje jednostavnih zadataka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rad ili učenje pod izravnim nadzorom u strukturiranom kontekstu</w:t>
            </w:r>
          </w:p>
        </w:tc>
      </w:tr>
      <w:tr>
        <w:trPr>
          <w:gridAfter w:val="1"/>
          <w:wAfter w:w="36" w:type="dxa"/>
          <w:tblHeader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 razina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2. razinu sljedeći su: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osnovno činjenično znanje o nekom području rada ili učenja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osnovne kognitivne i praktične vještine potrebne za primjenu relevantnih informacija radi izvršavanja zadataka i rješavanja rutinskih problema s pomoću jednostavnih pravila i alata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rad ili učenje pod nadzorom uz određenu mjeru samostalnosti</w:t>
            </w:r>
          </w:p>
        </w:tc>
      </w:tr>
      <w:tr>
        <w:trPr>
          <w:gridAfter w:val="1"/>
          <w:wAfter w:w="36" w:type="dxa"/>
          <w:tblHeader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16"/>
              </w:rPr>
              <w:t>3. razina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3. razinu sljedeći su: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poznavanje činjenica, načela, postupaka i općih koncepata u području rada ili učenja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niz kognitivnih i praktičnih vještina potrebnih za izvršavanje zadataka i rješavanje problema odabirom i primjenom osnovnih metoda, alata, materijala i informacija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preuzimanje odgovornosti za dovršavanje zadataka u radu ili učenju 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prilagodba vlastita ponašanja okolnostima u rješavanju problema</w:t>
            </w:r>
          </w:p>
        </w:tc>
      </w:tr>
      <w:tr>
        <w:trPr>
          <w:trHeight w:val="862"/>
          <w:tblHeader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w:br w:type="page"/>
            </w:r>
            <w:r>
              <w:rPr>
                <w:noProof/>
              </w:rPr>
              <w:br w:type="page"/>
            </w:r>
            <w:r>
              <w:rPr>
                <w:noProof/>
                <w:sz w:val="16"/>
              </w:rPr>
              <w:t>4. razina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4. razinu sljedeći su: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činjenično i teorijsko znanje u širim kontekstima unutar područja rada ili učenja 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niz kognitivnih i praktičnih vještina potrebnih za pronalazak rješenja za određene probleme u području rada ili učenja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samoorganizacija posla u okviru smjernica konteksta rada ili učenja koje su obično predvidljive, ali podložne promjenama 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nadzor rutinskog rada drugih, preuzimanje odgovornosti u određenoj mjeri za evaluaciju i unaprjeđenje aktivnosti rada ili učenja</w:t>
            </w:r>
          </w:p>
        </w:tc>
      </w:tr>
      <w:tr>
        <w:trPr>
          <w:trHeight w:val="862"/>
          <w:tblHeader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5. razina*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5. razinu sljedeći su: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opsežno, specijalizirano, činjenično i teorijsko znanje unutar područja rada ili učenja te svjesnost o ograničenjima tog znanja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sveobuhvatan niz kognitivnih i praktičnih vještina potrebnih za razvoj kreativnih rješenja za apstraktne probleme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upravljanje i nadzor u kontekstima aktivnosti rada ili učenja u kojima dolazi do nepredvidivih promjena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revizija i razvoj vlastitih i tuđih rezultata</w:t>
            </w:r>
          </w:p>
        </w:tc>
      </w:tr>
      <w:tr>
        <w:trPr>
          <w:trHeight w:val="135"/>
          <w:tblHeader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 razina**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6. razinu sljedeći su: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napredno znanje o području rada ili učenja, uključujući kritičko razumijevanje teorija i načela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napredne vještine, iskazivanje umijeća i inovativnosti potrebnih za rješavanje složenih i nepredvidivih problema u specijaliziranom području rada ili učenja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upravljanje složenim tehničkim ili profesionalnim aktivnostima ili projektima, preuzimanje odgovornosti za donošenje odluka u nepredvidivim kontekstima rada ili učenja 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preuzimanje odgovornosti za upravljanje stručnim usavršavanjem pojedinaca i skupina </w:t>
            </w:r>
          </w:p>
        </w:tc>
      </w:tr>
      <w:tr>
        <w:trPr>
          <w:trHeight w:val="1413"/>
          <w:tblHeader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7. razina***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7. razinu sljedeći su: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vrlo specijalizirano znanje koje dijelom obuhvaća najvažnije znanje u području rada ili učenja, kao temelj za inovativno razmišljanje i/ili istraživanje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kritička svijest o problemima povezanima sa znanjem u nekom području i mjestima preklapanja različitih područja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specijalizirane vještine rješavanja problema potrebne u istraživanju i/ili inovacijama radi razvoja novog znanja i postupaka te integracije znanja iz različitih područja 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upravljanje kontekstima rada ili učenja koji su složeni, nepredvidivi i zahtijevaju nove strateške pristupe te njihova prilagodba </w:t>
            </w:r>
          </w:p>
          <w:p>
            <w:pPr>
              <w:outlineLvl w:val="0"/>
              <w:rPr>
                <w:rFonts w:eastAsia="Times New Roman"/>
                <w:i/>
                <w:noProof/>
                <w:sz w:val="16"/>
                <w:szCs w:val="16"/>
                <w:u w:val="single"/>
              </w:rPr>
            </w:pPr>
            <w:r>
              <w:rPr>
                <w:noProof/>
                <w:sz w:val="16"/>
              </w:rPr>
              <w:t>preuzimanje odgovornosti za doprinos stručnom znanju i praksi i/ili za reviziju strateških rezultata timova</w:t>
            </w:r>
          </w:p>
        </w:tc>
      </w:tr>
      <w:tr>
        <w:trPr>
          <w:trHeight w:val="1451"/>
          <w:tblHeader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8. razina****</w:t>
            </w:r>
          </w:p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Ishodi učenja relevantni za 8. razinu sljedeći su: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i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znanje o najnovijim otkrićima u području rada ili učenja i na mjestu preklapanja različitih područja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najnaprednije i najspecijaliziranije vještine i tehnike, uključujući sintezu i evaluaciju, potrebne za rješavanje kritičkih problema u istraživanju i/ili inovacijama te za širenje i redefiniranje postojećeg znanja ili stručne prakse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utlineLvl w:val="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pokazivanje znatnog autoriteta, inovativnosti, autonomije, akademskog i profesionalnog integriteta te kontinuirane predanosti razvoju novih ideja ili postupaka važnih za kontekst rada ili učenja, uključujući istraživanje</w:t>
            </w:r>
          </w:p>
        </w:tc>
      </w:tr>
    </w:tbl>
    <w:p>
      <w:pPr>
        <w:outlineLvl w:val="0"/>
        <w:rPr>
          <w:rFonts w:eastAsia="Times New Roman"/>
          <w:noProof/>
          <w:sz w:val="16"/>
          <w:szCs w:val="16"/>
        </w:rPr>
      </w:pPr>
    </w:p>
    <w:p>
      <w:pPr>
        <w:outlineLvl w:val="0"/>
        <w:rPr>
          <w:rFonts w:eastAsia="Times New Roman"/>
          <w:noProof/>
          <w:sz w:val="16"/>
          <w:szCs w:val="16"/>
        </w:rPr>
      </w:pPr>
    </w:p>
    <w:p>
      <w:pPr>
        <w:outlineLvl w:val="0"/>
        <w:rPr>
          <w:rFonts w:eastAsia="Times New Roman"/>
          <w:noProof/>
          <w:sz w:val="16"/>
          <w:szCs w:val="16"/>
        </w:rPr>
      </w:pPr>
    </w:p>
    <w:p>
      <w:pPr>
        <w:outlineLvl w:val="0"/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t xml:space="preserve">Usklađenost s okvirom za kvalifikacije europskog prostora visokog obrazovanja </w:t>
      </w:r>
    </w:p>
    <w:p>
      <w:pPr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t>Okvir za kvalifikacije europskog prostora visokog obrazovanja nudi deskriptore za tri ciklusa koja su dogovorili ministri odgovorni za visoko obrazovanje na sastanku u Bergenu u svibnju 2005. u okviru Bolonjskog procesa. Deskriptor svakog ciklusa predstavlja generički opis uobičajenih očekivanja u pogledu postignuća i sposobnosti povezanih s kvalifikacijama koji predstavljaju kraj tog ciklusa.</w:t>
      </w:r>
    </w:p>
    <w:p>
      <w:pPr>
        <w:ind w:left="850" w:hanging="850"/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lastRenderedPageBreak/>
        <w:t>*</w:t>
      </w:r>
      <w:r>
        <w:rPr>
          <w:noProof/>
        </w:rPr>
        <w:tab/>
      </w:r>
      <w:r>
        <w:rPr>
          <w:noProof/>
          <w:sz w:val="16"/>
        </w:rPr>
        <w:t>Deskriptor za kratki ciklus koji je razvila Zajednička inicijativa za kvalitetu u okviru Bolonjskog procesa (unutar prvog ciklusa ili u vezi s njim) odgovara ishodima učenja za 5. razinu europskog kvalifikacijskog okvira.</w:t>
      </w:r>
    </w:p>
    <w:p>
      <w:pPr>
        <w:ind w:left="850" w:hanging="850"/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t>**</w:t>
      </w:r>
      <w:r>
        <w:rPr>
          <w:noProof/>
        </w:rPr>
        <w:tab/>
      </w:r>
      <w:r>
        <w:rPr>
          <w:noProof/>
          <w:sz w:val="16"/>
        </w:rPr>
        <w:t xml:space="preserve">Deskriptor za prvi ciklus odgovara ishodima učenja za 6. razinu europskog kvalifikacijskog okvira. </w:t>
      </w:r>
    </w:p>
    <w:p>
      <w:pPr>
        <w:ind w:left="850" w:hanging="850"/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t>***</w:t>
      </w:r>
      <w:r>
        <w:rPr>
          <w:noProof/>
        </w:rPr>
        <w:tab/>
      </w:r>
      <w:r>
        <w:rPr>
          <w:noProof/>
          <w:sz w:val="16"/>
        </w:rPr>
        <w:t>Deskriptor za drugi ciklus odgovara ishodima učenja za 7. razinu europskog kvalifikacijskog okvira.</w:t>
      </w:r>
    </w:p>
    <w:p>
      <w:pPr>
        <w:pBdr>
          <w:bottom w:val="single" w:sz="12" w:space="1" w:color="auto"/>
        </w:pBdr>
        <w:ind w:left="850" w:hanging="850"/>
        <w:rPr>
          <w:rFonts w:eastAsia="Times New Roman"/>
          <w:noProof/>
          <w:sz w:val="16"/>
          <w:szCs w:val="16"/>
        </w:rPr>
      </w:pPr>
      <w:r>
        <w:rPr>
          <w:noProof/>
          <w:sz w:val="16"/>
        </w:rPr>
        <w:t>****</w:t>
      </w:r>
      <w:r>
        <w:rPr>
          <w:noProof/>
        </w:rPr>
        <w:tab/>
      </w:r>
      <w:r>
        <w:rPr>
          <w:noProof/>
          <w:sz w:val="16"/>
        </w:rPr>
        <w:t>Deskriptor za treći ciklus odgovara ishodima učenja za 8. razinu europskog kvalifikacijskog okvira.</w:t>
      </w:r>
    </w:p>
    <w:p>
      <w:pPr>
        <w:pBdr>
          <w:bottom w:val="single" w:sz="12" w:space="1" w:color="auto"/>
        </w:pBdr>
        <w:ind w:left="850" w:hanging="850"/>
        <w:rPr>
          <w:rFonts w:eastAsia="Times New Roman"/>
          <w:noProof/>
          <w:sz w:val="16"/>
          <w:szCs w:val="16"/>
        </w:rPr>
      </w:pPr>
    </w:p>
    <w:p>
      <w:pPr>
        <w:spacing w:line="360" w:lineRule="auto"/>
        <w:rPr>
          <w:rFonts w:eastAsia="Times New Roman"/>
          <w:noProof/>
          <w:szCs w:val="20"/>
        </w:rPr>
      </w:pPr>
    </w:p>
    <w:p>
      <w:pPr>
        <w:spacing w:line="360" w:lineRule="auto"/>
        <w:outlineLvl w:val="0"/>
        <w:rPr>
          <w:rFonts w:eastAsia="Times New Roman"/>
          <w:noProof/>
          <w:szCs w:val="20"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Page"/>
          </w:footnotePr>
          <w:endnotePr>
            <w:numFmt w:val="decimal"/>
          </w:endnotePr>
          <w:pgSz w:w="16840" w:h="11907" w:orient="landscape" w:code="9"/>
          <w:pgMar w:top="1134" w:right="1134" w:bottom="1134" w:left="1134" w:header="567" w:footer="567" w:gutter="0"/>
          <w:cols w:space="708"/>
          <w:docGrid w:linePitch="326"/>
        </w:sectPr>
      </w:pPr>
    </w:p>
    <w:p>
      <w:pPr>
        <w:spacing w:line="360" w:lineRule="auto"/>
        <w:jc w:val="center"/>
        <w:outlineLvl w:val="0"/>
        <w:rPr>
          <w:rFonts w:eastAsia="Times New Roman"/>
          <w:b/>
          <w:noProof/>
          <w:szCs w:val="20"/>
        </w:rPr>
      </w:pPr>
      <w:r>
        <w:rPr>
          <w:b/>
          <w:noProof/>
        </w:rPr>
        <w:lastRenderedPageBreak/>
        <w:t>PRILOG III.</w:t>
      </w:r>
    </w:p>
    <w:p>
      <w:pPr>
        <w:autoSpaceDE w:val="0"/>
        <w:autoSpaceDN w:val="0"/>
        <w:adjustRightInd w:val="0"/>
        <w:spacing w:before="0" w:after="0"/>
        <w:jc w:val="center"/>
        <w:rPr>
          <w:rFonts w:eastAsia="Times New Roman"/>
          <w:bCs/>
          <w:noProof/>
          <w:szCs w:val="24"/>
        </w:rPr>
      </w:pPr>
      <w:r>
        <w:rPr>
          <w:b/>
          <w:noProof/>
        </w:rPr>
        <w:t>Kriteriji i postupci za upućivanje na europski kvalifikacijski sustav u nacionalnim kvalifikacijskim okvirima i sustavima</w:t>
      </w:r>
    </w:p>
    <w:p>
      <w:pPr>
        <w:autoSpaceDE w:val="0"/>
        <w:autoSpaceDN w:val="0"/>
        <w:adjustRightInd w:val="0"/>
        <w:spacing w:before="0" w:after="0"/>
        <w:rPr>
          <w:rFonts w:eastAsia="Times New Roman"/>
          <w:noProof/>
          <w:szCs w:val="24"/>
        </w:rPr>
      </w:pPr>
    </w:p>
    <w:p>
      <w:pPr>
        <w:pStyle w:val="NumPar1"/>
        <w:numPr>
          <w:ilvl w:val="0"/>
          <w:numId w:val="12"/>
        </w:numPr>
        <w:rPr>
          <w:noProof/>
        </w:rPr>
      </w:pPr>
      <w:r>
        <w:rPr>
          <w:noProof/>
        </w:rPr>
        <w:t>Odgovornosti i/ili pravnu nadležnost svih relevantnih nacionalnih tijela uključenih u postupak upućivanja jasno određuju i objavljuju nadležna tijela.</w:t>
      </w:r>
    </w:p>
    <w:p>
      <w:pPr>
        <w:pStyle w:val="NumPar1"/>
        <w:rPr>
          <w:noProof/>
        </w:rPr>
      </w:pPr>
      <w:r>
        <w:rPr>
          <w:noProof/>
        </w:rPr>
        <w:t>Postoji jasna i dokaziva poveznica između razina kvalifikacija u nacionalnom kvalifikacijskom okviru ili sustavu i deskriptora razina europskoga kvalifikacijskog okvira.</w:t>
      </w:r>
    </w:p>
    <w:p>
      <w:pPr>
        <w:pStyle w:val="NumPar1"/>
        <w:rPr>
          <w:noProof/>
        </w:rPr>
      </w:pPr>
      <w:r>
        <w:rPr>
          <w:noProof/>
        </w:rPr>
        <w:t>Nacionalni kvalifikacijski okvir ili sustav i njegove kvalifikacije temelje se na načelu i cilju ishoda učenja, a povezani su s mehanizmima vrednovanja neformalnog i informalnog učenja te sustavima bodovanja, ako postoje.</w:t>
      </w:r>
    </w:p>
    <w:p>
      <w:pPr>
        <w:pStyle w:val="NumPar1"/>
        <w:rPr>
          <w:noProof/>
        </w:rPr>
      </w:pPr>
      <w:r>
        <w:rPr>
          <w:noProof/>
        </w:rPr>
        <w:t>Postupci za uključivanje kvalifikacija u nacionalni kvalifikacijski okvir ili za opisivanje mjesta kvalifikacija u nacionalnom kvalifikacijskom sustavu transparentni su.</w:t>
      </w:r>
    </w:p>
    <w:p>
      <w:pPr>
        <w:pStyle w:val="NumPar1"/>
        <w:rPr>
          <w:noProof/>
        </w:rPr>
      </w:pPr>
      <w:r>
        <w:rPr>
          <w:noProof/>
        </w:rPr>
        <w:t>U nacionalnom sustavu (sustavima) osiguranja kvalitete za obrazovanje i osposobljavanje upućuje se na nacionalni kvalifikacijski okvir ili sustav te je taj sustav usklađen s načelima osiguranja kvalitete kako su utvrđena u Prilogu IV. ovoj Preporuci.</w:t>
      </w:r>
    </w:p>
    <w:p>
      <w:pPr>
        <w:pStyle w:val="NumPar1"/>
        <w:rPr>
          <w:noProof/>
        </w:rPr>
      </w:pPr>
      <w:r>
        <w:rPr>
          <w:noProof/>
        </w:rPr>
        <w:t>Postupak upućivanja uključuje izričitu suglasnost relevantnih tijela za osiguranje kvalitete o usklađenosti izvješća o upućivanju s relevantnim nacionalnim odredbama i praksama osiguranja kvalitete.</w:t>
      </w:r>
    </w:p>
    <w:p>
      <w:pPr>
        <w:pStyle w:val="NumPar1"/>
        <w:rPr>
          <w:noProof/>
        </w:rPr>
      </w:pPr>
      <w:r>
        <w:rPr>
          <w:noProof/>
        </w:rPr>
        <w:t>U postupak upućivanja uključeni su međunarodni stručnjaci, a izvješća o upućivanju sadržavaju pisanu izjavu najmanje dvaju međunarodnih stručnjaka iz dviju različitih zemalja o postupku upućivanja.</w:t>
      </w:r>
    </w:p>
    <w:p>
      <w:pPr>
        <w:pStyle w:val="NumPar1"/>
        <w:rPr>
          <w:noProof/>
        </w:rPr>
      </w:pPr>
      <w:r>
        <w:rPr>
          <w:noProof/>
        </w:rPr>
        <w:t>Nadležno nacionalno tijelo ili više njih potvrđuje upućivanje na europski kvalifikacijski okvir u nacionalnom kvalifikacijskom okviru ili sustavu. Nadležna nacionalna tijela objavljuju jedno sveobuhvatno izvješće u kojem se utvrđuju upućivanje i popratni dokazi te u kojem se govori o svakom kriteriju zasebno. Isto se izvješće može upotrijebiti za samocertificiranje u kvalifikacijskom okviru za europski prostor visokog obrazovanja, u skladu s njegovim kriterijima samocertificiranja.</w:t>
      </w:r>
    </w:p>
    <w:p>
      <w:pPr>
        <w:pStyle w:val="NumPar1"/>
        <w:rPr>
          <w:noProof/>
        </w:rPr>
      </w:pPr>
      <w:r>
        <w:rPr>
          <w:noProof/>
        </w:rPr>
        <w:t>Po mogućnosti u roku od tri mjeseca od prihvaćanja izvješća o upućivanju ili njegova ažuriranja države članice i druge zemlje sudionice objavljuju izvješće o upućivanju i dostavljaju relevantne informacije za potrebe usporedbe o relevantnim europskim internetskim servisima.</w:t>
      </w:r>
    </w:p>
    <w:p>
      <w:pPr>
        <w:pStyle w:val="NumPar1"/>
        <w:rPr>
          <w:noProof/>
        </w:rPr>
      </w:pPr>
      <w:r>
        <w:rPr>
          <w:noProof/>
        </w:rPr>
        <w:t>Uz postupak upućivanja, sve nove svjedodžbe, diplome ili dopunske isprave o kvalifikacijama koje su izdala nadležna tijela trebali bi sadržavati jasno upućivanje na odgovarajuću razinu europskog kvalifikacijskog okvira s pomoću nacionalnih kvalifikacijskih okvira ili sustava.</w:t>
      </w: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t>PRILOG IV.</w:t>
      </w:r>
    </w:p>
    <w:p>
      <w:pPr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Načela osiguranja kvalitete za kvalifikacije u kojima se upućuje na europski kvalifikacijski okvir</w:t>
      </w:r>
      <w:r>
        <w:rPr>
          <w:rStyle w:val="FootnoteReference"/>
          <w:noProof/>
        </w:rPr>
        <w:footnoteReference w:id="3"/>
      </w:r>
    </w:p>
    <w:p>
      <w:pPr>
        <w:autoSpaceDE w:val="0"/>
        <w:autoSpaceDN w:val="0"/>
        <w:adjustRightInd w:val="0"/>
        <w:spacing w:before="0" w:after="0"/>
        <w:contextualSpacing/>
        <w:rPr>
          <w:rFonts w:eastAsia="Times New Roman"/>
          <w:noProof/>
          <w:szCs w:val="20"/>
        </w:rPr>
      </w:pPr>
      <w:r>
        <w:rPr>
          <w:noProof/>
        </w:rPr>
        <w:t xml:space="preserve">Strukovno obrazovanje i osposobljavanje, visoko obrazovanje, neformalno i informalno učenje u privatnom sektoru ili međunarodne kvalifikacije u kojima se upućuje na europski kvalifikacijski okvir trebale bi imati osiguranu kvalitetu kako bi se povećalo povjerenje u njihovu kvalitetu i razinu. Načela osiguranja kvalitete za opće obrazovanje na europskoj razini predmet su aktualnih rasprava u kontekstu ET 2020. </w:t>
      </w:r>
    </w:p>
    <w:p>
      <w:pPr>
        <w:autoSpaceDE w:val="0"/>
        <w:autoSpaceDN w:val="0"/>
        <w:adjustRightInd w:val="0"/>
        <w:spacing w:before="0" w:after="0"/>
        <w:contextualSpacing/>
        <w:rPr>
          <w:rFonts w:eastAsia="Times New Roman"/>
          <w:noProof/>
          <w:szCs w:val="20"/>
        </w:rPr>
      </w:pPr>
    </w:p>
    <w:p>
      <w:pPr>
        <w:autoSpaceDE w:val="0"/>
        <w:autoSpaceDN w:val="0"/>
        <w:adjustRightInd w:val="0"/>
        <w:spacing w:before="0" w:after="0"/>
        <w:contextualSpacing/>
        <w:rPr>
          <w:rFonts w:eastAsia="Times New Roman"/>
          <w:b/>
          <w:noProof/>
          <w:szCs w:val="20"/>
        </w:rPr>
      </w:pPr>
      <w:r>
        <w:rPr>
          <w:noProof/>
        </w:rPr>
        <w:t xml:space="preserve">Ne dovodeći u pitanje nacionalne mehanizme osiguranja kvalitete koji se primjenjuju na nacionalne kvalifikacije, </w:t>
      </w:r>
      <w:r>
        <w:rPr>
          <w:b/>
          <w:noProof/>
        </w:rPr>
        <w:t xml:space="preserve">osiguranje kvalitete </w:t>
      </w:r>
      <w:r>
        <w:rPr>
          <w:b/>
          <w:i/>
          <w:noProof/>
        </w:rPr>
        <w:t>kvalifikacija</w:t>
      </w:r>
      <w:r>
        <w:rPr>
          <w:b/>
          <w:noProof/>
        </w:rPr>
        <w:t xml:space="preserve"> u kojima se upućuje na europski kvalifikacijski okvir ima sljedeće značajke: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bavi se oblikovanjem kvalifikacija te primjenom pristupa usmjerenog na ishoda učenja;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obuhvaća postupak certificiranja, pri čemu se osiguravaju važeće i pouzdane ocjene u skladu s dogovorenim i transparentnim standardima temeljenima na ishodima učenja;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sastoji se od mehanizama povratnih informacija i postupaka za stalno unaprjeđivanje;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uključuje sve dionike u svim fazama postupka;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sastoji se od usklađenih metoda evaluacije, uz povezivanje samoocjene i vanjske revizije;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sastavni je dio unutarnjeg upravljanja, uključujući aktivnosti povjerene podizvođačima, u tijelima koja izdaju kvalifikacije u kojima se upućuje na europski kvalifikacijski okvir;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temelji se na jasnim ciljevima, standardima i smjernicama koji se mogu izmjeriti;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ima potporu u obliku odgovarajućih resursa;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uključuje sustavnu i cikličnu evaluaciju koju provode vanjska nadzorna tijela, barem na temelju načela iz ovog Priloga u pogledu unutarnjih sustava osiguranja kvalitete povezanih s kvalifikacijama; 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uključuje objavljivanje rezultata evaluacije, uključujući elektroničku dostupnost na nacionalnoj i europskoj razini.</w:t>
      </w:r>
    </w:p>
    <w:p>
      <w:pPr>
        <w:rPr>
          <w:noProof/>
        </w:rPr>
      </w:pPr>
      <w:r>
        <w:rPr>
          <w:noProof/>
        </w:rPr>
        <w:t>Vanjska tijela ili agencije navedeni u načelu 9. trebali bi podlijegati cikličnoj vanjskoj reviziji koju provode nadležna tijela. Rezultat te vanjske revizije izvan područja visokog obrazovanja trebao bi biti javno dostupan u elektroničkom obliku u europskom registru.</w:t>
      </w:r>
    </w:p>
    <w:p>
      <w:pPr>
        <w:spacing w:before="360" w:after="0" w:line="360" w:lineRule="auto"/>
        <w:jc w:val="center"/>
        <w:rPr>
          <w:rFonts w:eastAsia="Calibri"/>
          <w:b/>
          <w:noProof/>
          <w:szCs w:val="24"/>
        </w:rPr>
      </w:pPr>
      <w:r>
        <w:rPr>
          <w:noProof/>
        </w:rPr>
        <w:br w:type="page"/>
      </w:r>
      <w:r>
        <w:rPr>
          <w:b/>
          <w:noProof/>
        </w:rPr>
        <w:t>PRILOG V.</w:t>
      </w:r>
    </w:p>
    <w:p>
      <w:pPr>
        <w:spacing w:line="360" w:lineRule="auto"/>
        <w:jc w:val="center"/>
        <w:rPr>
          <w:rFonts w:eastAsia="Calibri"/>
          <w:noProof/>
          <w:szCs w:val="24"/>
        </w:rPr>
      </w:pPr>
      <w:bookmarkStart w:id="1" w:name="ControlPages"/>
      <w:bookmarkEnd w:id="1"/>
      <w:r>
        <w:rPr>
          <w:b/>
          <w:noProof/>
        </w:rPr>
        <w:t>Načela za sustave bodovanja povezane s europskim kvalifikacijskim okvirom</w:t>
      </w: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Europski kvalifikacijski okvir i nacionalni kvalifikacijski okviri, kad su dopunjeni sustavima bodovanja, bolja su potpora pojedincima pri kretanju: i. među različitim razinama obrazovanja i osposobljavanja, ii. unutar i između sektora obrazovanja i osposobljavanja, iii. između obrazovanja i osposobljavanja te tržišta rada i iv. unutar i preko granica. Različiti sustavi bodovanja, usko povezani sa sustavima i okvirima kvalifikacija, trebali bi biti kompatibilni radi potpore prijelazima i olakšavanja napretka. </w:t>
      </w:r>
    </w:p>
    <w:p>
      <w:pPr>
        <w:rPr>
          <w:rFonts w:eastAsia="Calibri"/>
          <w:noProof/>
          <w:szCs w:val="24"/>
        </w:rPr>
      </w:pPr>
      <w:r>
        <w:rPr>
          <w:noProof/>
        </w:rPr>
        <w:t>U tu bi svrhu sustavi bodovanja povezani s upućivanjem na europski kvalifikacijski okvir u kvalifikacijama trebali biti u skladu sa sljedećim načelima: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trebalo bi uspostaviti sustave bodovanja radi stvaranja prilagodljivih načina učenja, u korist učenika;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pri oblikovanju i razvijanju kvalifikacija trebalo bi sustavno primjenjivati pristup usmjeren na ishode učenja i relevantne mehanizme bodovanja kako bi se omogućio prijenos (dijelova) kvalifikacija i napredak u učenju;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sustavima bodovanja trebao bi se omogućiti prijenos ishoda učenja i napredak učenika preko institucionalnih i nacionalnih granica;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sustavi bodovanja moraju se temeljiti na jasnom i transparentnom osiguranju kvalitete;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bodovi koje stekne pojedinac trebalo bi dokumentirati, pri čemu se navode postignuti ishodi učenja, njihova razina, naziv nadležne institucije za dodjeljivanje bodova i, prema potrebi, odgovarajuća vrijednost bodova;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sustavi za prijenos i prikupljanje bodova trebali bi tvoriti sinergije s mehanizmima za vrednovanje neformalnog i informalnog učenja kako bi zajedno olakšali i promicali prijenos i napredak; 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 xml:space="preserve">sustave bodovanja trebalo bi razvijati i unaprjeđivati suradnjom među dionicima na nacionalnoj i europskoj razini. </w:t>
      </w:r>
    </w:p>
    <w:p>
      <w:pPr>
        <w:spacing w:line="360" w:lineRule="auto"/>
        <w:ind w:left="720"/>
        <w:rPr>
          <w:rFonts w:eastAsia="Calibri"/>
          <w:noProof/>
          <w:szCs w:val="24"/>
        </w:rPr>
      </w:pPr>
    </w:p>
    <w:p>
      <w:pPr>
        <w:autoSpaceDE w:val="0"/>
        <w:autoSpaceDN w:val="0"/>
        <w:adjustRightInd w:val="0"/>
        <w:spacing w:before="0" w:after="200" w:line="276" w:lineRule="auto"/>
        <w:jc w:val="center"/>
        <w:rPr>
          <w:rFonts w:eastAsia="Times New Roman"/>
          <w:b/>
          <w:noProof/>
          <w:szCs w:val="20"/>
        </w:rPr>
      </w:pPr>
      <w:r>
        <w:rPr>
          <w:noProof/>
        </w:rPr>
        <w:br w:type="page"/>
      </w:r>
      <w:r>
        <w:rPr>
          <w:b/>
          <w:noProof/>
        </w:rPr>
        <w:t>PRILOG VI.</w:t>
      </w:r>
    </w:p>
    <w:p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noProof/>
          <w:szCs w:val="24"/>
        </w:rPr>
      </w:pPr>
      <w:r>
        <w:rPr>
          <w:b/>
          <w:noProof/>
        </w:rPr>
        <w:t>Indikativni elementi zajedničkog formata za elektroničko objavljivanje informacija o kvalifikacijama</w:t>
      </w:r>
    </w:p>
    <w:p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062"/>
        <w:gridCol w:w="5009"/>
        <w:gridCol w:w="1350"/>
      </w:tblGrid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</w:rPr>
              <w:t>PODACI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</w:rPr>
              <w:t>Obvezno / 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Naziv kvalifikacije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Predmet*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Zemlja/regija (oznaka)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Razina europskog kvalifikacijskog okvira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1868" w:type="dxa"/>
            <w:vMerge w:val="restart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Opis kvalifikacije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ili</w:t>
            </w:r>
          </w:p>
        </w:tc>
        <w:tc>
          <w:tcPr>
            <w:tcW w:w="5009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znanje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1868" w:type="dxa"/>
            <w:vMerge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5009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vještine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1868" w:type="dxa"/>
            <w:vMerge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5009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odgovornost/samostalnost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1868" w:type="dxa"/>
            <w:vMerge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ili</w:t>
            </w:r>
          </w:p>
        </w:tc>
        <w:tc>
          <w:tcPr>
            <w:tcW w:w="5009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polje za slobodan unos teksta u kojem se opisuju očekivanja od učenika u pogledu znanja, razumijevanja i sposobnosti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 w:line="276" w:lineRule="auto"/>
              <w:jc w:val="left"/>
              <w:rPr>
                <w:rFonts w:eastAsia="Times New Roman"/>
                <w:noProof/>
                <w:szCs w:val="20"/>
                <w:vertAlign w:val="superscript"/>
              </w:rPr>
            </w:pPr>
            <w:r>
              <w:rPr>
                <w:noProof/>
              </w:rPr>
              <w:t>Tijelo koje dodjeljuje kvalifikaciju**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Bodovi / teoretsko radno opterećenje potrebno za postizanje ishoda učenja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Unutarnji postupci osiguranja kvalitete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Vanjsko tijelo za praćenje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Dodatne informacije o kvalifikaciji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Izvor informacija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Poveznica na relevantni dopunsku ispravu o kvalifikaciji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URL kvalifikacije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Jezik informacije (oznaka)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Zahtjevi za upis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Datum isteka (prema potrebi)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Načini stjecanja kvalifikacije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  <w:tr>
        <w:tc>
          <w:tcPr>
            <w:tcW w:w="7939" w:type="dxa"/>
            <w:gridSpan w:val="3"/>
            <w:shd w:val="clear" w:color="auto" w:fill="auto"/>
            <w:vAlign w:val="center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Povezanost sa zanimanjima</w:t>
            </w:r>
          </w:p>
        </w:tc>
        <w:tc>
          <w:tcPr>
            <w:tcW w:w="1350" w:type="dxa"/>
            <w:shd w:val="clear" w:color="auto" w:fill="auto"/>
          </w:tcPr>
          <w:p>
            <w:pPr>
              <w:spacing w:before="40" w:after="40"/>
              <w:contextualSpacing/>
              <w:jc w:val="left"/>
              <w:rPr>
                <w:rFonts w:eastAsia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nije obvezno</w:t>
            </w:r>
          </w:p>
        </w:tc>
      </w:tr>
    </w:tbl>
    <w:p>
      <w:pPr>
        <w:spacing w:line="276" w:lineRule="auto"/>
        <w:rPr>
          <w:rFonts w:eastAsia="Calibri"/>
          <w:noProof/>
          <w:sz w:val="20"/>
          <w:szCs w:val="20"/>
        </w:rPr>
      </w:pPr>
      <w:r>
        <w:rPr>
          <w:noProof/>
          <w:sz w:val="20"/>
        </w:rPr>
        <w:t>* ISCED FoET2013</w:t>
      </w:r>
    </w:p>
    <w:p>
      <w:pPr>
        <w:spacing w:line="276" w:lineRule="auto"/>
        <w:rPr>
          <w:rFonts w:eastAsia="Calibri"/>
          <w:noProof/>
          <w:sz w:val="20"/>
          <w:szCs w:val="20"/>
        </w:rPr>
      </w:pPr>
      <w:r>
        <w:rPr>
          <w:noProof/>
          <w:sz w:val="20"/>
        </w:rPr>
        <w:t>** Minimalne tražene informacije o tijelu koje dodjeljuje kvalifikaciju trebale bi omogućiti pronalazak informacija o tijelu koje dodjeljuje kvalifikaciju. To bi bio naziv tijela koje dodjeljuje kvalifikaciju, ili, ako je primjenjivo, naziva grupe tijela koja dodjeljuje kvalifikaciju, uz URL i informacije za kontakt.</w:t>
      </w:r>
    </w:p>
    <w:sectPr>
      <w:headerReference w:type="default" r:id="rId22"/>
      <w:footerReference w:type="default" r:id="rId23"/>
      <w:headerReference w:type="first" r:id="rId24"/>
      <w:footerReference w:type="first" r:id="rId25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142" w:hanging="142"/>
      </w:pPr>
      <w:r>
        <w:rPr>
          <w:rStyle w:val="FootnoteReference"/>
        </w:rPr>
        <w:footnoteRef/>
      </w:r>
      <w:r>
        <w:tab/>
      </w:r>
      <w:r>
        <w:rPr>
          <w:sz w:val="16"/>
        </w:rPr>
        <w:t>Ishodi učenja opis su onoga što učenik zna, razumije i za što je sposoban nakon završenog procesa učenja. Općenito ih se klasificira kao „znanje, vještine i kompetencije”. U kontekstu europskog kvalifikacijskog okvira posljednji je element ograničen na „odgovornost/samostalnost” jer su njegovi deskriptori odraz opisa koje su države članice zajednički usuglasile za primjenu ove Preporuke, a ti opisi ne odgovaraju u potpunosti konceptualnim definicijama.</w:t>
      </w:r>
    </w:p>
  </w:footnote>
  <w:footnote w:id="3">
    <w:p>
      <w:pPr>
        <w:pStyle w:val="FootnoteText"/>
        <w:ind w:left="113" w:hanging="113"/>
      </w:pPr>
      <w:r>
        <w:rPr>
          <w:rStyle w:val="FootnoteReference"/>
        </w:rPr>
        <w:footnoteRef/>
      </w:r>
      <w:r>
        <w:tab/>
        <w:t>Ta zajednička načela potpuno su usklađena s Europskim standardima i smjernicama za osiguranje kvalitete u europskom prostoru visokog obrazovanja i s Europskim osiguranjem kvalitete u strukovnom obrazovanju i osposobljavanju (EQAVET).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3F4C5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89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3A68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170E4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3F410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19881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94E74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426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6-13 16:09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 "/>
    <w:docVar w:name="LW_ANNEX_NBR_FIRST" w:val="1"/>
    <w:docVar w:name="LW_ANNEX_NBR_LAST" w:val="6"/>
    <w:docVar w:name="LW_CONFIDENCE" w:val=" "/>
    <w:docVar w:name="LW_CONST_RESTREINT_UE" w:val="RESTREINT UE"/>
    <w:docVar w:name="LW_CORRIGENDUM" w:val="&lt;UNUSED&gt;"/>
    <w:docVar w:name="LW_COVERPAGE_GUID" w:val="A27D96432FC94390AD532D58A4839D43"/>
    <w:docVar w:name="LW_CROSSREFERENCE" w:val="&lt;UNUSED&gt;"/>
    <w:docVar w:name="LW_DocType" w:val="ANNEX"/>
    <w:docVar w:name="LW_EMISSION" w:val="10.6.2016."/>
    <w:docVar w:name="LW_EMISSION_ISODATE" w:val="2016-06-10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europskom kvalifikacijskom okviru za cjelo\u382?ivotno u\u269?enje i o stavljanju izvan snage Preporuke Europskog parlamenta i Vije\u263?a od 23. travnja 2008. o uspostavi europskog kvalifikacijskog okvira za cjelo\u382?ivotno u\u269?enje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383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ijedlogu Preporuke Vije\u263?a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8A2A-BD39-4054-B944-16DA247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11</Pages>
  <Words>2334</Words>
  <Characters>15501</Characters>
  <Application>Microsoft Office Word</Application>
  <DocSecurity>0</DocSecurity>
  <Lines>378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SANDEN Karin (EAC)</dc:creator>
  <cp:lastModifiedBy>DIGIT/A3</cp:lastModifiedBy>
  <cp:revision>7</cp:revision>
  <cp:lastPrinted>2016-04-08T15:00:00Z</cp:lastPrinted>
  <dcterms:created xsi:type="dcterms:W3CDTF">2016-06-13T09:06:00Z</dcterms:created>
  <dcterms:modified xsi:type="dcterms:W3CDTF">2016-06-13T14:09:00Z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6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