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330C402C30D465DB9391A78852BF622" style="width:451.25pt;height:487.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2013/0279 (COD)</w:t>
      </w:r>
    </w:p>
    <w:p>
      <w:pPr>
        <w:pStyle w:val="Typedudocument"/>
        <w:rPr>
          <w:noProof/>
        </w:rPr>
      </w:pPr>
      <w:r>
        <w:rPr>
          <w:noProof/>
        </w:rPr>
        <w:t>ΑΝΑΚΟΙΝΩΣΗ ΤΗΣ ΕΠΙΤΡΟΠΗΣ</w:t>
      </w:r>
      <w:r>
        <w:rPr>
          <w:noProof/>
        </w:rPr>
        <w:br/>
        <w:t>ΠΡΟΣ ΤΟ ΕΥΡΩΠΑΪΚΟ ΚΟΙΝΟΒΟΥΛΙΟ</w:t>
      </w:r>
      <w:r>
        <w:rPr>
          <w:noProof/>
        </w:rPr>
        <w:br/>
      </w:r>
      <w:r>
        <w:rPr>
          <w:noProof/>
        </w:rPr>
        <w:br/>
        <w:t>σύμφωνα με το άρθρο 294 παράγραφος 6 της Συνθήκης για τη λειτουργία της Ευρωπαϊκής Ένωσης</w:t>
      </w:r>
      <w:r>
        <w:rPr>
          <w:noProof/>
        </w:rPr>
        <w:br/>
      </w:r>
      <w:r>
        <w:rPr>
          <w:noProof/>
        </w:rPr>
        <w:br/>
        <w:t>σχετικά με τη</w:t>
      </w:r>
    </w:p>
    <w:p>
      <w:pPr>
        <w:pStyle w:val="Titreobjet"/>
        <w:rPr>
          <w:noProof/>
        </w:rPr>
      </w:pPr>
      <w:r>
        <w:rPr>
          <w:noProof/>
        </w:rPr>
        <w:t>θέση του Συμβουλίου για την έγκριση πρότασης κανονισμού του Ευρωπαϊκού Κοινοβουλίου και του Συμβουλίου για την τροποποίηση του κανονισμού (ΕΚ) αριθ. 471/2009 του Συμβουλίου για τις κοινοτικές στατιστικές του εξωτερικού εμπορίου με τις τρίτες χώρες όσον αφορά την ανάθεση κατ’ εξουσιοδότηση και εκτελεστικών αρμοδιοτήτων στην Επιτροπή για την έγκριση ορισμένων μέτρων</w:t>
      </w:r>
    </w:p>
    <w:p>
      <w:pPr>
        <w:pStyle w:val="IntrtEEE"/>
        <w:rPr>
          <w:noProof/>
        </w:rPr>
      </w:pPr>
      <w:r>
        <w:rPr>
          <w:noProof/>
        </w:rPr>
        <w:t>(Κείμενο που παρουσιάζει ενδιαφέρον για τον ΕΟΧ)</w:t>
      </w:r>
    </w:p>
    <w:p>
      <w:pPr>
        <w:pStyle w:val="ManualHeading1"/>
        <w:rPr>
          <w:noProof/>
        </w:rPr>
      </w:pPr>
      <w:r>
        <w:rPr>
          <w:noProof/>
        </w:rPr>
        <w:t>1.</w:t>
      </w:r>
      <w:r>
        <w:rPr>
          <w:noProof/>
        </w:rPr>
        <w:tab/>
        <w:t>Ιστορικό</w:t>
      </w:r>
    </w:p>
    <w:tbl>
      <w:tblPr>
        <w:tblW w:w="9287" w:type="dxa"/>
        <w:tblLook w:val="04A0" w:firstRow="1" w:lastRow="0" w:firstColumn="1" w:lastColumn="0" w:noHBand="0" w:noVBand="1"/>
      </w:tblPr>
      <w:tblGrid>
        <w:gridCol w:w="6803"/>
        <w:gridCol w:w="2484"/>
      </w:tblGrid>
      <w:tr>
        <w:tc>
          <w:tcPr>
            <w:tcW w:w="6803" w:type="dxa"/>
            <w:shd w:val="clear" w:color="auto" w:fill="auto"/>
          </w:tcPr>
          <w:p>
            <w:pPr>
              <w:jc w:val="left"/>
              <w:rPr>
                <w:noProof/>
              </w:rPr>
            </w:pPr>
            <w:r>
              <w:rPr>
                <w:noProof/>
              </w:rPr>
              <w:t>Ημερομηνία διαβίβασης της πρότασης στο Ευρωπαϊκό Κοινοβούλιο και στο Συμβούλιο</w:t>
            </w:r>
            <w:r>
              <w:rPr>
                <w:noProof/>
              </w:rPr>
              <w:br/>
              <w:t>[έγγραφο COM(2013) 0579 final — 2013/0279(COD)]:</w:t>
            </w:r>
            <w:r>
              <w:rPr>
                <w:noProof/>
              </w:rPr>
              <w:br/>
            </w:r>
          </w:p>
        </w:tc>
        <w:tc>
          <w:tcPr>
            <w:tcW w:w="2484" w:type="dxa"/>
            <w:shd w:val="clear" w:color="auto" w:fill="auto"/>
          </w:tcPr>
          <w:p>
            <w:pPr>
              <w:jc w:val="left"/>
              <w:rPr>
                <w:noProof/>
              </w:rPr>
            </w:pPr>
            <w:r>
              <w:rPr>
                <w:noProof/>
              </w:rPr>
              <w:t>8 Αυγούστου 2013.</w:t>
            </w:r>
          </w:p>
        </w:tc>
      </w:tr>
      <w:tr>
        <w:tc>
          <w:tcPr>
            <w:tcW w:w="6803" w:type="dxa"/>
            <w:shd w:val="clear" w:color="auto" w:fill="auto"/>
          </w:tcPr>
          <w:p>
            <w:pPr>
              <w:jc w:val="left"/>
              <w:rPr>
                <w:noProof/>
              </w:rPr>
            </w:pPr>
            <w:r>
              <w:rPr>
                <w:noProof/>
              </w:rPr>
              <w:t>Ημερομηνία γνωμοδότησης της Ευρωπαϊκής Οικονομικής και Κοινωνικής Επιτροπής:</w:t>
            </w:r>
          </w:p>
        </w:tc>
        <w:tc>
          <w:tcPr>
            <w:tcW w:w="2484" w:type="dxa"/>
            <w:shd w:val="clear" w:color="auto" w:fill="auto"/>
          </w:tcPr>
          <w:p>
            <w:pPr>
              <w:jc w:val="left"/>
              <w:rPr>
                <w:noProof/>
              </w:rPr>
            </w:pPr>
            <w:r>
              <w:rPr>
                <w:noProof/>
              </w:rPr>
              <w:t>Άνευ αντικειμένου.</w:t>
            </w:r>
          </w:p>
        </w:tc>
      </w:tr>
      <w:tr>
        <w:tc>
          <w:tcPr>
            <w:tcW w:w="6803" w:type="dxa"/>
            <w:shd w:val="clear" w:color="auto" w:fill="auto"/>
          </w:tcPr>
          <w:p>
            <w:pPr>
              <w:jc w:val="left"/>
              <w:rPr>
                <w:noProof/>
              </w:rPr>
            </w:pPr>
            <w:r>
              <w:rPr>
                <w:noProof/>
              </w:rPr>
              <w:t>Ημερομηνία καθορισμού της θέσης του Ευρωπαϊκού Κοινοβουλίου σε πρώτη ανάγνωση:</w:t>
            </w:r>
          </w:p>
        </w:tc>
        <w:tc>
          <w:tcPr>
            <w:tcW w:w="2484" w:type="dxa"/>
            <w:shd w:val="clear" w:color="auto" w:fill="auto"/>
          </w:tcPr>
          <w:p>
            <w:pPr>
              <w:jc w:val="left"/>
              <w:rPr>
                <w:noProof/>
              </w:rPr>
            </w:pPr>
            <w:r>
              <w:rPr>
                <w:noProof/>
              </w:rPr>
              <w:t>12 Μαρτίου 2014.</w:t>
            </w:r>
          </w:p>
        </w:tc>
      </w:tr>
      <w:tr>
        <w:tc>
          <w:tcPr>
            <w:tcW w:w="6803" w:type="dxa"/>
            <w:shd w:val="clear" w:color="auto" w:fill="auto"/>
          </w:tcPr>
          <w:p>
            <w:pPr>
              <w:jc w:val="left"/>
              <w:rPr>
                <w:noProof/>
              </w:rPr>
            </w:pPr>
            <w:r>
              <w:rPr>
                <w:noProof/>
              </w:rPr>
              <w:t>Ημερομηνία διαβίβασης της τροποποιημένης πρότασης:</w:t>
            </w:r>
          </w:p>
        </w:tc>
        <w:tc>
          <w:tcPr>
            <w:tcW w:w="2484" w:type="dxa"/>
            <w:shd w:val="clear" w:color="auto" w:fill="auto"/>
          </w:tcPr>
          <w:p>
            <w:pPr>
              <w:jc w:val="left"/>
              <w:rPr>
                <w:noProof/>
              </w:rPr>
            </w:pPr>
            <w:r>
              <w:rPr>
                <w:noProof/>
              </w:rPr>
              <w:t>Άνευ αντικειμένου.</w:t>
            </w:r>
          </w:p>
        </w:tc>
      </w:tr>
      <w:tr>
        <w:tc>
          <w:tcPr>
            <w:tcW w:w="6803" w:type="dxa"/>
            <w:shd w:val="clear" w:color="auto" w:fill="auto"/>
          </w:tcPr>
          <w:p>
            <w:pPr>
              <w:rPr>
                <w:noProof/>
              </w:rPr>
            </w:pPr>
            <w:r>
              <w:rPr>
                <w:noProof/>
              </w:rPr>
              <w:t>Ημερομηνία καθορισμού της θέσης του Συμβουλίου:</w:t>
            </w:r>
          </w:p>
        </w:tc>
        <w:tc>
          <w:tcPr>
            <w:tcW w:w="2484" w:type="dxa"/>
            <w:shd w:val="clear" w:color="auto" w:fill="auto"/>
          </w:tcPr>
          <w:p>
            <w:pPr>
              <w:jc w:val="left"/>
              <w:rPr>
                <w:noProof/>
              </w:rPr>
            </w:pPr>
            <w:r>
              <w:rPr>
                <w:noProof/>
              </w:rPr>
              <w:t>16 Ιουνίου 2016.</w:t>
            </w:r>
          </w:p>
        </w:tc>
      </w:tr>
    </w:tbl>
    <w:p>
      <w:pPr>
        <w:pStyle w:val="ManualHeading1"/>
        <w:rPr>
          <w:noProof/>
        </w:rPr>
      </w:pPr>
      <w:r>
        <w:rPr>
          <w:noProof/>
        </w:rPr>
        <w:t>2.</w:t>
      </w:r>
      <w:r>
        <w:rPr>
          <w:noProof/>
        </w:rPr>
        <w:tab/>
        <w:t>Στοχοσ της πρότασης της Επιτροπής</w:t>
      </w:r>
    </w:p>
    <w:p>
      <w:pPr>
        <w:rPr>
          <w:noProof/>
        </w:rPr>
      </w:pPr>
      <w:r>
        <w:rPr>
          <w:noProof/>
        </w:rPr>
        <w:t>Στόχος της πρότασης της Επιτροπής είναι η τροποποίηση του κανονισμού (ΕΚ) αριθ. 471/2009, ώστε ο εν λόγω κανονισμός να ευθυγραμμιστεί με το νέο θεσμικό πλαίσιο μετά την έναρξη ισχύος της Συνθήκης για τη λειτουργία της Ευρωπαϊκής Ένωσης.</w:t>
      </w:r>
    </w:p>
    <w:p>
      <w:pPr>
        <w:rPr>
          <w:noProof/>
        </w:rPr>
      </w:pPr>
      <w:r>
        <w:rPr>
          <w:noProof/>
        </w:rPr>
        <w:t>Προτείνεται:</w:t>
      </w:r>
    </w:p>
    <w:p>
      <w:pPr>
        <w:ind w:left="567" w:hanging="425"/>
        <w:rPr>
          <w:noProof/>
        </w:rPr>
      </w:pPr>
      <w:r>
        <w:rPr>
          <w:noProof/>
        </w:rPr>
        <w:t>•</w:t>
      </w:r>
      <w:r>
        <w:rPr>
          <w:noProof/>
        </w:rPr>
        <w:tab/>
        <w:t>να εξουσιοδοτηθεί η Επιτροπή να εκδίδει κατ’ εξουσιοδότηση πράξεις για τη συμπλήρωση ή την τροποποίηση των κανόνων που αφορούν ορισμένες διατάξεις, προκειμένου να ληφθούν υπόψη οι τροποποιήσεις του τελωνειακού κώδικα ή οι διατάξεις που απορρέουν από διεθνείς συμβάσεις, οι αλλαγές που είναι απαραίτητες για μεθοδολογικούς λόγους και η ανάγκη να δημιουργηθεί ένα αποτελεσματικό σύστημα συλλογής στοιχείων και κατάρτισης στατιστικών,</w:t>
      </w:r>
    </w:p>
    <w:p>
      <w:pPr>
        <w:ind w:left="567" w:hanging="425"/>
        <w:rPr>
          <w:noProof/>
        </w:rPr>
      </w:pPr>
      <w:r>
        <w:rPr>
          <w:noProof/>
        </w:rPr>
        <w:lastRenderedPageBreak/>
        <w:t>•</w:t>
      </w:r>
      <w:r>
        <w:rPr>
          <w:noProof/>
        </w:rPr>
        <w:tab/>
        <w:t>να ανατεθούν εκτελεστικές αρμοδιότητες στην Επιτροπή, ώστε να μπορεί να εγκρίνει μέτρα, σύμφωνα με τη διαδικασία εξέτασης, όσον αφορά ορισμένες διατάξεις, προκειμένου να εξασφαλιστούν ενιαίοι όροι εφαρμογής του κανονισμού (ΕΚ) αριθ. 471/2009,</w:t>
      </w:r>
    </w:p>
    <w:p>
      <w:pPr>
        <w:ind w:left="567" w:hanging="425"/>
        <w:rPr>
          <w:noProof/>
        </w:rPr>
      </w:pPr>
      <w:r>
        <w:rPr>
          <w:noProof/>
        </w:rPr>
        <w:t>και επιπλέον</w:t>
      </w:r>
    </w:p>
    <w:p>
      <w:pPr>
        <w:ind w:left="567" w:hanging="425"/>
        <w:rPr>
          <w:noProof/>
          <w:color w:val="000000"/>
          <w:szCs w:val="24"/>
          <w:lang w:eastAsia="en-GB"/>
        </w:rPr>
      </w:pPr>
      <w:r>
        <w:rPr>
          <w:noProof/>
        </w:rPr>
        <w:t>•</w:t>
      </w:r>
      <w:r>
        <w:rPr>
          <w:noProof/>
        </w:rPr>
        <w:tab/>
        <w:t>να αντικατασταθεί η αναφορά στην επιτροπή Extrastat από αναφορά στην επιτροπή του ευρωπαϊκού στατιστικού συστήματος (ΕΕΣΣ), στο πλαίσιο της γενικής αναδιάρθρωσης και του εξορθολογισμού του ευρωπαϊκού στατιστικού συστήματος (ΕΣΣ).</w:t>
      </w:r>
    </w:p>
    <w:p>
      <w:pPr>
        <w:pStyle w:val="ManualHeading1"/>
        <w:rPr>
          <w:noProof/>
        </w:rPr>
      </w:pPr>
      <w:r>
        <w:rPr>
          <w:noProof/>
        </w:rPr>
        <w:t>3.</w:t>
      </w:r>
      <w:r>
        <w:rPr>
          <w:noProof/>
        </w:rPr>
        <w:tab/>
        <w:t>Παρατηρήσεις για τη θέση του Συμβουλίου</w:t>
      </w:r>
    </w:p>
    <w:p>
      <w:pPr>
        <w:pStyle w:val="ManualHeading2"/>
        <w:rPr>
          <w:noProof/>
        </w:rPr>
      </w:pPr>
      <w:r>
        <w:rPr>
          <w:noProof/>
        </w:rPr>
        <w:t>3.1</w:t>
      </w:r>
      <w:r>
        <w:rPr>
          <w:noProof/>
        </w:rPr>
        <w:tab/>
        <w:t>Γενικές παρατηρήσεις</w:t>
      </w:r>
    </w:p>
    <w:p>
      <w:pPr>
        <w:widowControl w:val="0"/>
        <w:rPr>
          <w:noProof/>
        </w:rPr>
      </w:pPr>
      <w:r>
        <w:rPr>
          <w:noProof/>
        </w:rPr>
        <w:t>Η θέση του Συμβουλίου αντικατοπτρίζει, αφενός, την προσωρινή πολιτική συμφωνία στην οποία κατέληξαν το Συμβούλιο, η Επιτροπή Διεθνούς Εμπορίου (ΙΝΤΑ) του Ευρωπαϊκού Κοινοβουλίου και η Επιτροπή κατά τον άτυπο τριμερή διάλογο στις 8 Δεκεμβρίου 2014 και, αφετέρου, τη νέα διοργανική συμφωνία για τη βελτίωση της νομοθεσίας, που εγκρίθηκε και τέθηκε σε ισχύ στις 13 Απριλίου 2016</w:t>
      </w:r>
      <w:r>
        <w:rPr>
          <w:rStyle w:val="FootnoteAnchor"/>
          <w:noProof/>
        </w:rPr>
        <w:footnoteReference w:id="1"/>
      </w:r>
      <w:r>
        <w:rPr>
          <w:noProof/>
        </w:rPr>
        <w:t>.</w:t>
      </w:r>
    </w:p>
    <w:p>
      <w:pPr>
        <w:widowControl w:val="0"/>
        <w:rPr>
          <w:noProof/>
          <w:szCs w:val="24"/>
        </w:rPr>
      </w:pPr>
      <w:r>
        <w:rPr>
          <w:noProof/>
          <w:szCs w:val="24"/>
        </w:rPr>
        <w:t>Πράγματι, το κύριο θέμα στο οποίο προσέκρουε ο φάκελος ήταν το ζήτημα της διαβούλευσης με τα κράτη μέλη κατά την κατάρτιση κατ’</w:t>
      </w:r>
      <w:r>
        <w:rPr>
          <w:noProof/>
          <w:szCs w:val="24"/>
          <w:lang w:val="en-US"/>
        </w:rPr>
        <w:t> </w:t>
      </w:r>
      <w:r>
        <w:rPr>
          <w:noProof/>
          <w:szCs w:val="24"/>
        </w:rPr>
        <w:t>εξουσιοδότηση πράξεων από την Επιτροπή. Αποφασίστηκε να υπάρξει αναμονή έως ότου τεθεί σε ισχύ η νέα διοργανική συμφωνία.</w:t>
      </w:r>
    </w:p>
    <w:p>
      <w:pPr>
        <w:widowControl w:val="0"/>
        <w:rPr>
          <w:noProof/>
        </w:rPr>
      </w:pPr>
      <w:r>
        <w:rPr>
          <w:noProof/>
        </w:rPr>
        <w:t xml:space="preserve">Το Συμβούλιο καθόρισε τη θέση του σε πρώτη ανάγνωση στις 16 Ιουνίου 2016. Οι τροπολογίες </w:t>
      </w:r>
      <w:r>
        <w:rPr>
          <w:noProof/>
          <w:szCs w:val="24"/>
        </w:rPr>
        <w:t>διευκρινίζουν κυρίως ορισμένες ειδικές υποχρεώσεις των κρατών μελών (μεταξύ άλλων, προθεσμίες διαβίβασης) απευθείας στη βασική πράξη, αντί της παροχής εξουσιοδότησης στην Επιτροπή για καθορισμό τους με κατ’ εξουσιοδότηση πράξη, όπως είχε προταθεί προηγουμένως. Η Επιτροπή θεωρεί ότι, ούτως ή άλλως, αυτές οι νομικές υποχρεώσεις δεν θα χρειαστεί να τροποποιηθούν μακροπρόθεσμα και ότι, κατά συνέπεια, η μεταφορά τους από τις κατ’ εξουσιοδότηση πράξεις στη βασική πράξη δεν δημιουργεί κανένα πρόβλημα ευελιξίας· ως εκ τούτου, δεν έχει αντίρρηση για τις εν λόγω τροπολογίες του Συμβουλίου.</w:t>
      </w:r>
    </w:p>
    <w:p>
      <w:pPr>
        <w:pStyle w:val="ManualHeading2"/>
        <w:rPr>
          <w:noProof/>
        </w:rPr>
      </w:pPr>
      <w:r>
        <w:rPr>
          <w:noProof/>
        </w:rPr>
        <w:t>3.2</w:t>
      </w:r>
      <w:r>
        <w:rPr>
          <w:noProof/>
        </w:rPr>
        <w:tab/>
        <w:t>Παρατηρήσεις όσον αφορά τις τροπολογίες που ενέκρινε το Κοινοβούλιο</w:t>
      </w:r>
    </w:p>
    <w:p>
      <w:pPr>
        <w:pStyle w:val="ManualHeading3"/>
        <w:rPr>
          <w:noProof/>
        </w:rPr>
      </w:pPr>
      <w:r>
        <w:rPr>
          <w:noProof/>
        </w:rPr>
        <w:t>3.2.1.</w:t>
      </w:r>
      <w:r>
        <w:rPr>
          <w:noProof/>
        </w:rPr>
        <w:tab/>
        <w:t>Τροπολογίες του Ευρωπαϊκού Κοινοβουλίου που ενσωματώθηκαν πλήρως, εν μέρει ή καταρχήν στη θέση του Συμβουλίου σε πρώτη ανάγνωση</w:t>
      </w:r>
    </w:p>
    <w:p>
      <w:pPr>
        <w:pStyle w:val="Text1"/>
        <w:ind w:left="0"/>
        <w:rPr>
          <w:noProof/>
        </w:rPr>
      </w:pPr>
      <w:r>
        <w:rPr>
          <w:noProof/>
        </w:rPr>
        <w:t>Η ανάθεση στην Επιτροπή της αρμοδιότητας να εκδίδει πράξεις κατ’ εξουσιοδότηση, η οποία αρχικά είχε προταθεί για αόριστο χρονικό διάστημα, περιορίστηκε σε περίοδο πέντε ετών, όπως προτείνεται στην τροπολογία 7 του Ευρωπαϊκού Κοινοβουλίου.</w:t>
      </w:r>
    </w:p>
    <w:p>
      <w:pPr>
        <w:pStyle w:val="ManualHeading3"/>
        <w:rPr>
          <w:noProof/>
        </w:rPr>
      </w:pPr>
      <w:r>
        <w:rPr>
          <w:noProof/>
        </w:rPr>
        <w:t>3.2.2.</w:t>
      </w:r>
      <w:r>
        <w:rPr>
          <w:noProof/>
        </w:rPr>
        <w:tab/>
        <w:t>Τροπολογίες του Ευρωπαϊκού Κοινοβουλίου που δεν περιελήφθησαν στη θέση του Συμβουλίου σε πρώτη ανάγνωση</w:t>
      </w:r>
    </w:p>
    <w:p>
      <w:pPr>
        <w:pStyle w:val="Text1"/>
        <w:ind w:left="0"/>
        <w:rPr>
          <w:noProof/>
        </w:rPr>
      </w:pPr>
      <w:r>
        <w:rPr>
          <w:noProof/>
        </w:rPr>
        <w:t>Κατά την πρώτη ανάγνωση, το 2014, το Ευρωπαϊκό Κοινοβούλιο πρότεινε τροπολογίες οι οποίες ουσιαστικά θα καταργούσαν όλες τις εξουσίες «επιτροπολογίας» που πρότεινε η Επιτροπή. Αυτό δεν ήταν αποδεκτό για το Συμβούλιο ή για την Επιτροπή.</w:t>
      </w:r>
    </w:p>
    <w:p>
      <w:pPr>
        <w:pStyle w:val="ManualHeading2"/>
        <w:rPr>
          <w:noProof/>
        </w:rPr>
      </w:pPr>
      <w:r>
        <w:rPr>
          <w:noProof/>
        </w:rPr>
        <w:lastRenderedPageBreak/>
        <w:t>3.3</w:t>
      </w:r>
      <w:r>
        <w:rPr>
          <w:noProof/>
        </w:rPr>
        <w:tab/>
        <w:t>Νέες διατάξεις που εισάγει το Συμβούλιο και θέση της Επιτροπής</w:t>
      </w:r>
    </w:p>
    <w:p>
      <w:pPr>
        <w:pStyle w:val="Text1"/>
        <w:ind w:left="0"/>
        <w:rPr>
          <w:noProof/>
        </w:rPr>
      </w:pPr>
      <w:r>
        <w:rPr>
          <w:noProof/>
        </w:rPr>
        <w:t>Η τυποποιημένη αιτιολογική σκέψη και τα σημεία που προβλέπει η νέα διοργανική συμφωνία της 13ης Απριλίου 2016. Η Επιτροπή υποστηρίζει πλήρως αυτή την προσθήκη.</w:t>
      </w:r>
    </w:p>
    <w:p>
      <w:pPr>
        <w:widowControl w:val="0"/>
        <w:rPr>
          <w:noProof/>
        </w:rPr>
      </w:pPr>
    </w:p>
    <w:p>
      <w:pPr>
        <w:pStyle w:val="ManualHeading1"/>
        <w:rPr>
          <w:noProof/>
        </w:rPr>
      </w:pPr>
      <w:r>
        <w:rPr>
          <w:noProof/>
        </w:rPr>
        <w:t>4.</w:t>
      </w:r>
      <w:r>
        <w:rPr>
          <w:noProof/>
        </w:rPr>
        <w:tab/>
        <w:t>ΣΥΜΠΕΡΑΣΜΑ</w:t>
      </w:r>
    </w:p>
    <w:p>
      <w:pPr>
        <w:rPr>
          <w:noProof/>
        </w:rPr>
      </w:pPr>
      <w:r>
        <w:rPr>
          <w:noProof/>
        </w:rPr>
        <w:t>Η Επιτροπή υποστηρίζει τη συμβιβαστική λύση που επιτεύχθηκε, διότι ή λύση αυτή συνάδει με τις προσπάθειες της Επιτροπής για εναρμόνιση της νομοθεσίας που ίσχυε πριν από τη Συνθήκη της Λισαβόνας. Αντικατοπτρίζει επίσης την ισορροπία μεταξύ των κατ’ εξουσιοδότηση και των εκτελεστικών πράξεων, όπως προβλεπόταν στην αρχική πρόταση της Επιτροπής. Επιπλέον, πρόκειται για επιτυχή εφαρμογή της νέας διοργανικής συμφωνίας για τη βελτίωση της νομοθεσίας</w:t>
      </w:r>
      <w:r>
        <w:rPr>
          <w:noProof/>
          <w:szCs w:val="24"/>
        </w:rPr>
        <w: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lang w:val="fr-BE"/>
        </w:rPr>
        <w:tab/>
        <w:t>ΕΕ L 123 της 12.5.2016,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1895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C94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0066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D882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A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320D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309C8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E9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removePersonalInformation/>
  <w:removeDateAndTime/>
  <w:hideSpellingErrors/>
  <w:hideGrammaticalErrors/>
  <w:attachedTemplate r:id="rId1"/>
  <w:revisionView w:markup="0"/>
  <w:doNotTrackFormatting/>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4:58: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330C402C30D465DB9391A78852BF622"/>
    <w:docVar w:name="LW_CROSSREFERENCE" w:val="&lt;UNUSED&gt;"/>
    <w:docVar w:name="LW_DocType" w:val="COM"/>
    <w:docVar w:name="LW_EMISSION" w:val="21.6.2016"/>
    <w:docVar w:name="LW_EMISSION_ISODATE" w:val="2016-06-21"/>
    <w:docVar w:name="LW_EMISSION_LOCATION" w:val="BRX"/>
    <w:docVar w:name="LW_EMISSION_PREFIX" w:val="\u914?\u961?\u965?\u958?\u941?\u955?\u955?\u949?\u962?, "/>
    <w:docVar w:name="LW_EMISSION_SUFFIX" w:val=" "/>
    <w:docVar w:name="LW_ID_DOCMODEL" w:val="SJ-028"/>
    <w:docVar w:name="LW_ID_DOCSTRUCTURE" w:val="COM/PL/CODEC"/>
    <w:docVar w:name="LW_ID_DOCTYPE" w:val="SJ-028"/>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79"/>
    <w:docVar w:name="LW_REF.II.NEW.CP_YEAR" w:val="2013"/>
    <w:docVar w:name="LW_REF.INST.NEW" w:val="COM"/>
    <w:docVar w:name="LW_REF.INST.NEW_ADOPTED" w:val="final"/>
    <w:docVar w:name="LW_REF.INST.NEW_TEXT" w:val="(2016) 420"/>
    <w:docVar w:name="LW_REF.INTERNE" w:val="&lt;UNUSED&gt;"/>
    <w:docVar w:name="LW_SOUS.TITRE.OBJ.CP" w:val="&lt;UNUSED&gt;"/>
    <w:docVar w:name="LW_SUPERTITRE" w:val="&lt;UNUSED&gt;"/>
    <w:docVar w:name="LW_TITRE.OBJ.CP" w:val="\u952?\u941?\u963?\u951? \u964?\u959?\u965? \u931?\u965?\u956?\u946?\u959?\u965?\u955?\u943?\u959?\u965? \u947?\u953?\u945? \u964?\u951?\u957? \u941?\u947?\u954?\u961?\u953?\u963?\u951? \u960?\u961?\u972?\u964?\u945?\u963?\u951?\u962? \u954?\u945?\u957?\u959?\u957?\u953?\u963?\u956?\u959?\u973? \u964?\u959?\u965? \u917?\u965?\u961?\u969?\u960?\u945?\u970?\u954?\u959?\u973? \u922?\u959?\u953?\u957?\u959?\u946?\u959?\u965?\u955?\u943?\u959?\u965? \u954?\u945?\u953? \u964?\u959?\u965? \u931?\u965?\u956?\u946?\u959?\u965?\u955?\u943?\u959?\u965? \u947?\u953?\u945? \u964?\u951?\u957? \u964?\u961?\u959?\u960?\u959?\u960?\u959?\u943?\u951?\u963?\u951? \u964?\u959?\u965? \u954?\u945?\u957?\u959?\u957?\u953?\u963?\u956?\u959?\u973? (\u917?\u922?) \u945?\u961?\u953?\u952?. 471/2009 \u964?\u959?\u965? \u931?\u965?\u956?\u946?\u959?\u965?\u955?\u943?\u959?\u965? \u947?\u953?\u945? \u964?\u953?\u962? \u954?\u959?\u953?\u957?\u959?\u964?\u953?\u954?\u941?\u962? \u963?\u964?\u945?\u964?\u953?\u963?\u964?\u953?\u954?\u941?\u962? \u964?\u959?\u965? \u949?\u958?\u969?\u964?\u949?\u961?\u953?\u954?\u959?\u973? \u949?\u956?\u960?\u959?\u961?\u943?\u959?\u965? \u956?\u949? \u964?\u953?\u962? \u964?\u961?\u943?\u964?\u949?\u962? \u967?\u974?\u961?\u949?\u962? \u972?\u963?\u959?\u957? \u945?\u966?\u959?\u961?\u940? \u964?\u951?\u957? \u945?\u957?\u940?\u952?\u949?\u963?\u951? \u954?\u945?\u964?\u8217? \u949?\u958?\u959?\u965?\u963?\u953?\u959?\u948?\u972?\u964?\u951?\u963?\u951? \u954?\u945?\u953? \u949?\u954?\u964?\u949?\u955?\u949?\u963?\u964?\u953?\u954?\u974?\u957? \u945?\u961?\u956?\u959?\u948?\u953?\u959?\u964?\u942?\u964?\u969?\u957? \u963?\u964?\u951?\u957? \u917?\u960?\u953?\u964?\u961?\u959?\u960?\u942? \u947?\u953?\u945? \u964?\u951?\u957? \u941?\u947?\u954?\u961?\u953?\u963?\u951? \u959?\u961?\u953?\u963?\u956?\u941?\u957?\u969?\u957? \u956?\u941?\u964?\u961?\u969?\u957?"/>
    <w:docVar w:name="LW_TYPE.DOC.CP" w:val="\u913?\u925?\u913?\u922?\u927?\u921?\u925?\u937?\u931?\u919? \u932?\u919?\u931? \u917?\u928?\u921?\u932?\u929?\u927?\u928?\u919?\u931?_x000b_\u928?\u929?\u927?\u931? \u932?\u927? \u917?\u933?\u929?\u937?\u928?\u913?\u938?\u922?\u927? \u922?\u927?\u921?\u925?\u927?\u914?\u927?\u933?\u923?\u921?\u927?_x000b__x000b_\u963?\u973?\u956?\u966?\u969?\u957?\u945? \u956?\u949? \u964?\u959? \u940?\u961?\u952?\u961?\u959? 294 \u960?\u945?\u961?\u940?\u947?\u961?\u945?\u966?\u959?\u962? 6 \u964?\u951?\u962? \u931?\u965?\u957?\u952?\u942?\u954?\u951?\u962? \u947?\u953?\u945? \u964?\u951? \u955?\u949?\u953?\u964?\u959?\u965?\u961?\u947?\u943?\u945? \u964?\u951?\u962? \u917?\u965?\u961?\u969?\u960?\u945?\u970?\u954?\u942?\u962? \u904?\u957?\u969?\u963?\u951?\u962?_x000b__x000b_\u963?\u967?\u949?\u964?\u953?\u954?\u940? \u956?\u949? \u964?\u95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character" w:customStyle="1" w:styleId="FootnoteAnchor">
    <w:name w:val="Footnote Anchor"/>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character" w:customStyle="1" w:styleId="FootnoteAnchor">
    <w:name w:val="Footnote Anchor"/>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8B50-83B1-4490-9651-254B4706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729</Words>
  <Characters>4424</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2016-06-20T14:22:00Z</dcterms:created>
  <dcterms:modified xsi:type="dcterms:W3CDTF">2016-06-21T12:58:00Z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COM/PL/CODEC</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SJ-028</vt:lpwstr>
  </property>
  <property fmtid="{D5CDD505-2E9C-101B-9397-08002B2CF9AE}" pid="8" name="DQCStatus">
    <vt:lpwstr>Green (DQC version 03)</vt:lpwstr>
  </property>
</Properties>
</file>