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BF" w:rsidRDefault="00273D63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EBF6DBC326142D9AD0A2A0E9789E789" style="width:450.75pt;height:366pt">
            <v:imagedata r:id="rId9" o:title=""/>
          </v:shape>
        </w:pict>
      </w:r>
    </w:p>
    <w:p w:rsidR="007151BF" w:rsidRDefault="007151BF">
      <w:pPr>
        <w:rPr>
          <w:noProof/>
        </w:rPr>
        <w:sectPr w:rsidR="007151BF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151BF" w:rsidRDefault="00273D63">
      <w:pPr>
        <w:pStyle w:val="Exposdesmotifstitre"/>
        <w:rPr>
          <w:noProof/>
        </w:rPr>
      </w:pPr>
      <w:r>
        <w:rPr>
          <w:noProof/>
        </w:rPr>
        <w:lastRenderedPageBreak/>
        <w:t>DŮVODOVÁ ZPRÁVA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 w:rsidR="007151BF" w:rsidRDefault="00273D63">
      <w:pPr>
        <w:pStyle w:val="ManualHeading2"/>
        <w:rPr>
          <w:rFonts w:eastAsia="Arial Unicode MS"/>
          <w:noProof/>
        </w:rPr>
      </w:pPr>
      <w:r>
        <w:rPr>
          <w:noProof/>
        </w:rPr>
        <w:tab/>
        <w:t>Odůvodnění a cíle návrhu</w:t>
      </w:r>
    </w:p>
    <w:p w:rsidR="007151BF" w:rsidRDefault="00273D63">
      <w:pPr>
        <w:pStyle w:val="Text1"/>
        <w:ind w:firstLine="1"/>
        <w:rPr>
          <w:noProof/>
        </w:rPr>
      </w:pPr>
      <w:r>
        <w:rPr>
          <w:noProof/>
        </w:rPr>
        <w:t>Přetrvávající finanční a hospodářská krize vyvinula tlak na vnitrostátní finanční zdroje, jelikož členské státy provádějí nezbytné politiky fiskální konsolidace. V této souvislosti je s ohledem na investice v oblasti růstu a zaměstnanosti obzvláště důležit</w:t>
      </w:r>
      <w:r>
        <w:rPr>
          <w:noProof/>
        </w:rPr>
        <w:t xml:space="preserve">é zajistit bezproblémové provádění programů podporovaných z evropských strukturálních a investičních fondů (ESI fondů).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Provádění programů je často komplikované, v neposlední řadě v důsledku problémů s likviditou způsobených fiskální konsolidací. Platí to</w:t>
      </w:r>
      <w:r>
        <w:rPr>
          <w:noProof/>
        </w:rPr>
        <w:t xml:space="preserve"> zejména v členských státech, které jsou krizí postiženy nejvíce a obdržely finanční pomoc v rámci ozdravného programu.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Aby tyto členské státy mohly pokračovat v provádění programů ESI fondů a financovat projekty, umožňuje článek 24 nařízení Evropského pa</w:t>
      </w:r>
      <w:r>
        <w:rPr>
          <w:noProof/>
        </w:rPr>
        <w:t>rlamentu a Rady (EU) č. 1303/2013 ze dne 17. prosince 2013</w:t>
      </w:r>
      <w:r>
        <w:rPr>
          <w:rStyle w:val="FootnoteReference"/>
          <w:noProof/>
        </w:rPr>
        <w:footnoteReference w:id="1"/>
      </w:r>
      <w:r>
        <w:rPr>
          <w:noProof/>
        </w:rPr>
        <w:t>, aby Komise v období od 1. ledna 2014 do 30. června 2016 poskytovala zemím, jež jsou po 21. prosinci 2013 příjemci finanční pomoci, vyšší platby.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Ve výše uvedeném období bylo pro vyšší platby způs</w:t>
      </w:r>
      <w:r>
        <w:rPr>
          <w:noProof/>
        </w:rPr>
        <w:t>obilých pět zemí: Kypr, Řecko, Irsko, Portugalsko a Rumunsko.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Článek 120 nařízení (EU) č. 1303/2013 dále stanoví, že pro období od 1. ledna 2014 do 30. června 2017 má maximální míra spolufinancování na úrovni každé priority pro všechny operační programy po</w:t>
      </w:r>
      <w:r>
        <w:rPr>
          <w:noProof/>
        </w:rPr>
        <w:t>dporované z EFRR a ESF na Kypru činit 85 % namísto 50 %, jež se uplatňují pro rozvinutější regiony</w:t>
      </w:r>
      <w:r>
        <w:rPr>
          <w:rStyle w:val="FootnoteReference"/>
          <w:noProof/>
        </w:rPr>
        <w:footnoteReference w:id="2"/>
      </w:r>
      <w:r>
        <w:rPr>
          <w:noProof/>
        </w:rPr>
        <w:t>. Tato výjimečná míra spolufinancování byla Kypru poskytnuta vzhledem k jeho obtížné ekonomické situaci. Tím, že rozšíří potřebný fiskální prostor pro invest</w:t>
      </w:r>
      <w:r>
        <w:rPr>
          <w:noProof/>
        </w:rPr>
        <w:t>ice podporované z politiky soudržnosti, pomůže překlenout období vysokých nároků na veřejné investice na jedné straně a trvalého úsilí o fiskální konsolidaci na straně druhé.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Podle čl. 24 odst. 3 a čl. 120 odst. 3 nařízení (EU) č. 1303/2013 má Komise tato </w:t>
      </w:r>
      <w:r>
        <w:rPr>
          <w:noProof/>
        </w:rPr>
        <w:t>dvě finanční ustanovení přezkoumat a v případě potřeby předložit do 30. června 2016 legislativní návrh s cílem jejich případného prodloužení.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Tento návrh by Komisi umožnil poskytovat zvýšené platby kterémukoli členskému státu, jenž bude po 30. červnu 2016 </w:t>
      </w:r>
      <w:r>
        <w:rPr>
          <w:noProof/>
        </w:rPr>
        <w:t xml:space="preserve">příjemcem finanční pomoci, po dobu, kdy se na něj tento mechanismus podpory bude vztahovat, a to beze změny celkové výše prostředků přidělených z ESI fondů na období 2014–2020. Návrh by rovněž umožnil, </w:t>
      </w:r>
      <w:r>
        <w:rPr>
          <w:noProof/>
        </w:rPr>
        <w:lastRenderedPageBreak/>
        <w:t>aby se pro Kypr až do uzavření programu uplatňovala ma</w:t>
      </w:r>
      <w:r>
        <w:rPr>
          <w:noProof/>
        </w:rPr>
        <w:t>ximální míra spolufinancování 85 %.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Uvedená opatření by poskytla dodatečné finanční prostředky či potřebnou rozpočtovou flexibilitu usnadňující provádění programů ESI fondů v praxi.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ab/>
      </w:r>
      <w:r>
        <w:rPr>
          <w:noProof/>
          <w:color w:val="000000"/>
          <w:u w:color="000000"/>
          <w:bdr w:val="nil"/>
        </w:rPr>
        <w:t>Obecné souvislosti a platné předpisy vztahující se na oblast návrhu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Článe</w:t>
      </w:r>
      <w:r>
        <w:rPr>
          <w:noProof/>
        </w:rPr>
        <w:t>k 24 nařízení (EU) č. 1303/2013 stanoví, že na žádost členského státu s dočasnými rozpočtovými problémy, tj. zemí, které jsou po 21. prosinci 2013 příjemci finanční pomoci v rámci ozdravného programu, lze průběžné platby navýšit o 10 procentních bodů nad m</w:t>
      </w:r>
      <w:r>
        <w:rPr>
          <w:noProof/>
        </w:rPr>
        <w:t xml:space="preserve">íru spolufinancování platnou pro jednotlivé priority v rámci EFRR, ESF a Fondu soudržnosti nebo pro jednotlivá opatření v rámci EZFRV a ENRF.  Toto ustanovení nyní platí do 30. června 2016.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Kromě toho čl. 120 odst. 3 nařízení (EU) č. 1303/2013 stanoví, že</w:t>
      </w:r>
      <w:r>
        <w:rPr>
          <w:noProof/>
        </w:rPr>
        <w:t xml:space="preserve"> pro období od 1. ledna 2014 do 30. června 2017 má maximální míra spolufinancování na úrovni každé priority pro všechny operační programy podporované z EFRR a ESF na Kypru činit 85 % namísto 50 %, jež se uplatňují pro rozvinutější regiony.</w:t>
      </w:r>
    </w:p>
    <w:p w:rsidR="007151BF" w:rsidRDefault="00273D63">
      <w:pPr>
        <w:pStyle w:val="ManualHeading2"/>
        <w:rPr>
          <w:rFonts w:eastAsia="Arial Unicode MS"/>
          <w:noProof/>
        </w:rPr>
      </w:pPr>
      <w:r>
        <w:rPr>
          <w:noProof/>
        </w:rPr>
        <w:tab/>
        <w:t>Soulad s ostatn</w:t>
      </w:r>
      <w:r>
        <w:rPr>
          <w:noProof/>
        </w:rPr>
        <w:t>ími politikami Unie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Návrh je v souladu s ostatními návrhy a iniciativami přijatými Evropskou komisí v reakci na finanční krizi.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 PROPORCIONALITA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Právní základ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Nařízení (EU) č. 1303/2013 stanoví společná pravidla pro </w:t>
      </w:r>
      <w:r>
        <w:rPr>
          <w:noProof/>
        </w:rPr>
        <w:t>evropské strukturální a investiční fondy. Uvedené nařízení, založené na zásadě sdíleného řízení, na němž se podílejí Evropská komise a členské státy, obsahuje ustanovení pro proces programování, jakož i opatření pro řízení programů (včetně finančního řízen</w:t>
      </w:r>
      <w:r>
        <w:rPr>
          <w:noProof/>
        </w:rPr>
        <w:t>í), monitorování, finanční kontrolu a hodnocení projektů.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Podle čl. 24 odst. 3 a čl. 120 odst. 3 nařízení (EU) č. 1303/2013 má Komise obě výše uvedená finanční ustanovení přezkoumat a v případě potřeby předložit do 30. června 2016 legislativní návrh za úče</w:t>
      </w:r>
      <w:r>
        <w:rPr>
          <w:noProof/>
        </w:rPr>
        <w:t>lem jejich případného prodloužení.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 xml:space="preserve">Subsidiarita (v případě nevýlučné pravomoci)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Návrh je v souladu se zásadou subsidiarity, protože poskytuje vyšší podporu z ESI fondů některým členským státům, které mají vážné obtíže, zejména problémy s hospodářským </w:t>
      </w:r>
      <w:r>
        <w:rPr>
          <w:noProof/>
        </w:rPr>
        <w:t>růstem, finanční stabilitou a se zhoršením schodku a zadlužení, což je mj. způsobeno i mezinárodním hospodářským a finančním prostředím. V této souvislosti je nezbytné vytvořit na úrovni Evropské unie přechodný mechanismus, který Komisi umožní zvýšit úhrad</w:t>
      </w:r>
      <w:r>
        <w:rPr>
          <w:noProof/>
        </w:rPr>
        <w:t>u nákladů na základě certifikovaných výdajů v rámci ESI fondů a poskytnout vyšší míru spolufinancování pro všechny operační programy podporované z EFRR a ESF na Kypru.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Proporcionalita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Návrh je v souladu se zásadou proporcionality: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Prodloužení období, běhe</w:t>
      </w:r>
      <w:r>
        <w:rPr>
          <w:noProof/>
        </w:rPr>
        <w:t xml:space="preserve">m něhož se mají vyplácet navýšené průběžné platby, je přiměřené vzhledem k přetrvávající hospodářské krizi a dalším snahám o pomoc členským státům s rozpočtovými problémy, které jsou příjemci finanční pomoci v rámci ozdravného programu.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lastRenderedPageBreak/>
        <w:t>Prodloužení období</w:t>
      </w:r>
      <w:r>
        <w:rPr>
          <w:noProof/>
        </w:rPr>
        <w:t>, během něhož se bude pro Kypr uplatňovat vyšší míra spolufinancování, je přiměřené vzhledem k obtížné hospodářské situaci na Kypru. Prostřednictvím rozšíření potřebného fiskálního prostoru pro investice tak pomůže překlenout období vysokých nároků na veře</w:t>
      </w:r>
      <w:r>
        <w:rPr>
          <w:noProof/>
        </w:rPr>
        <w:t>jné investice na Kypru na jedné straně a trvalého úsilí o fiskální konsolidaci na straně druhé.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Volba nástroje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Navrhovaný nástroj: změna současného nařízení.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Komise prozkoumala možnosti, které skýtá právní rámec, a s ohledem na dosavadní zkušenosti považu</w:t>
      </w:r>
      <w:r>
        <w:rPr>
          <w:noProof/>
        </w:rPr>
        <w:t>je za nutné navrhnout změny obecného nařízení.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noProof/>
        </w:rPr>
        <w:t>EX POST</w:t>
      </w:r>
      <w:r>
        <w:rPr>
          <w:noProof/>
        </w:rPr>
        <w:t>, KONZULTACÍ SE ZÚČASTNĚNÝMI STRANAMI A POSOUZENÍ DOPADŮ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 xml:space="preserve">Hodnocení </w:t>
      </w:r>
      <w:r>
        <w:rPr>
          <w:i/>
          <w:noProof/>
        </w:rPr>
        <w:t>ex post</w:t>
      </w:r>
      <w:r>
        <w:rPr>
          <w:noProof/>
        </w:rPr>
        <w:t xml:space="preserve"> / kontroly účelnosti platných právních předpisů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Nebylo provedeno hodnocení </w:t>
      </w:r>
      <w:r>
        <w:rPr>
          <w:i/>
          <w:noProof/>
        </w:rPr>
        <w:t>ex post</w:t>
      </w:r>
      <w:r>
        <w:rPr>
          <w:noProof/>
        </w:rPr>
        <w:t xml:space="preserve"> ani kontrola účelnost</w:t>
      </w:r>
      <w:r>
        <w:rPr>
          <w:noProof/>
        </w:rPr>
        <w:t>i platných právních předpisů.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Konzultace se zúčastněnými stranami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S externími zúčastněnými stranami nebyly vedeny konzultace.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Sběr a využití výsledků odborných konzultací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Nebylo třeba využít externích odborných konzultací.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Posouzení dopadů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Návrh by Komi</w:t>
      </w:r>
      <w:r>
        <w:rPr>
          <w:noProof/>
        </w:rPr>
        <w:t>si umožnil navýšit platby pro členský stát, na který se vztahuje ozdravný program, v období po 30. červnu 2016. Toto období bude trvat až do 30. června roku následujícího po kalendářním roku, v němž daný členský stát přestane být příjemcem finanční pomoci.</w:t>
      </w:r>
      <w:r>
        <w:rPr>
          <w:noProof/>
        </w:rPr>
        <w:t xml:space="preserve"> Tento přístup je konzistentní s účetním obdobím ESI fondů, které trvá od 1. července do 30. června. Období způsobilosti tak bude prodlouženo o maximálně 18 měsíců.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Zvýšení bude odpovídat částce vypočítané použitím navýšení o deset procentních bodů nad mír</w:t>
      </w:r>
      <w:r>
        <w:rPr>
          <w:noProof/>
        </w:rPr>
        <w:t>y spolufinancování platné pro priority (v rámci EFRR, ESF a Fondu soudržnosti) nebo opatření (v rámci EZFRV a ENRF) programů na nově certifikované výdaje předložené během daného období do dosažení stropu pro platby.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Návrh by rovněž umožnil, aby Komise pro </w:t>
      </w:r>
      <w:r>
        <w:rPr>
          <w:noProof/>
        </w:rPr>
        <w:t>fondy EFRR a ESF na Kypru prodloužila uplatňování výjimečné míry spolufinancování 85 % až do uzavření programu.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Celková výše finančních prostředků přidělených z fondů na dané období dotčeným zemím a na dotčené programy se nezmění.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Účelnost a zjednodušován</w:t>
      </w:r>
      <w:r>
        <w:rPr>
          <w:noProof/>
        </w:rPr>
        <w:t>í právních předpisů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Nejedná se o iniciativu v rámci Programu pro účelnost a účinnost právních předpisů (REFIT).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Základní práva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Návrh nemá žádné dopady na ochranu základních práv.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Prostředky na závazky nebudou ovlivněny, neboť se </w:t>
      </w:r>
      <w:r>
        <w:rPr>
          <w:noProof/>
        </w:rPr>
        <w:t>nenavrhuje žádná změna maximálních částek z finančních prostředků ESI fondů stanovených v operačních programech na programové období 2014–2020.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V případě prostředků na platby spojených s prodloužením platnosti ustanovení o zvýšení plateb podle článku 24 mů</w:t>
      </w:r>
      <w:r>
        <w:rPr>
          <w:noProof/>
        </w:rPr>
        <w:t>že návrh vést k vyšším platbám pro dotčené členské státy. Dodatečné prostředky na platby vyplývající z tohoto návrhu mohou znamenat dočasné zvýšení prostředků na platby, jež bude kompenzováno nižšími platbami na konci životního cyklu programů na období 201</w:t>
      </w:r>
      <w:r>
        <w:rPr>
          <w:noProof/>
        </w:rPr>
        <w:t>4–2020. Z navrhované úpravy nevyplývají žádné změny v ročních stropech prostředků na závazky a platby víceletého finančního rámce, které jsou stanoveny v příloze I nařízení (EU) č. 1311/2013.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Plány provádění a monitorování, hodnocení a po</w:t>
      </w:r>
      <w:r>
        <w:rPr>
          <w:noProof/>
        </w:rPr>
        <w:t>dávání zpráv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Nevztahuje se na tento návrh. Pro monitorování provádění tohoto návrhu lze využít stávající kontrolní systémy ESI fondů.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Informativní dokumenty (u směrnic)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Nevztahuje se na tento návrh.</w:t>
      </w:r>
    </w:p>
    <w:p w:rsidR="007151BF" w:rsidRDefault="00273D63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Podrobné vysvětlení konkrétních ustanovení návrhu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Jelik</w:t>
      </w:r>
      <w:r>
        <w:rPr>
          <w:noProof/>
        </w:rPr>
        <w:t>ož Řecko, Kypr, Irsko, Rumunsko a Portugalsko prováděly po 21. prosinci 2013 ozdravný program v souladu s čl. 24 odst. 1 nařízení (EU) č. 1303/2013, bylo pro 10% zvýšení průběžných plateb, pro něž byla podána žádost před 30. červnem 2016, způsobilých pět z</w:t>
      </w:r>
      <w:r>
        <w:rPr>
          <w:noProof/>
        </w:rPr>
        <w:t>emí. Programy finanční pomoci pro Kypr, Irsko, Portugalsko a Rumunsko již mezitím byly ukončeny. Jedinou zemí, která ke dni 30. června 2016 provádí ozdravný program, je tedy Řecko.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Zdá se, že další přezkum způsobilosti pro zvýšení plateb v období 2014–2020</w:t>
      </w:r>
      <w:r>
        <w:rPr>
          <w:noProof/>
        </w:rPr>
        <w:t xml:space="preserve"> již není nezbytný, neboť země provádějící ozdravné programy potřebují mít jistotu ohledně časového rámce a výše plateb EU.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Protože Kypr se s EU dohodl na ozdravném programu v březnu 2013, stanoví čl. 120 odst. 3 nařízení (EU) č. 1303/2013 výjimečnou míru </w:t>
      </w:r>
      <w:r>
        <w:rPr>
          <w:noProof/>
        </w:rPr>
        <w:t>spolufinancování ve výši 85 % pro všechny operační programy na Kypru podporované z EFRR a ESF v období od 1. ledna 2014 do 30. června 2017.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Kypr ukončil svůj ozdravný program na konci března 2016. Hospodářská situace na Kypru je však stále obtížná, což je </w:t>
      </w:r>
      <w:r>
        <w:rPr>
          <w:noProof/>
        </w:rPr>
        <w:t>patrno z jeho pomalého hospodářského růstu, poklesu investic, vysoké nezaměstnanosti a problémů ve finančním sektoru.</w:t>
      </w:r>
    </w:p>
    <w:p w:rsidR="007151BF" w:rsidRDefault="00273D63">
      <w:pPr>
        <w:pStyle w:val="Text1"/>
        <w:rPr>
          <w:rFonts w:eastAsia="Arial Unicode MS"/>
          <w:noProof/>
        </w:rPr>
      </w:pPr>
      <w:r>
        <w:rPr>
          <w:noProof/>
        </w:rPr>
        <w:t xml:space="preserve">V zájmu snížení tlaku na státní rozpočet a urychlení tolik potřebných investic se navrhuje, aby bylo uplatňování 85% míry spolufinancování na všechny operační programy na Kypru podporované z EFRR a ESF prodlouženo až do uzavření programu. </w:t>
      </w:r>
    </w:p>
    <w:p w:rsidR="007151BF" w:rsidRDefault="007151BF">
      <w:pPr>
        <w:rPr>
          <w:noProof/>
        </w:rPr>
        <w:sectPr w:rsidR="007151BF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7151BF" w:rsidRDefault="00273D63">
      <w:pPr>
        <w:pStyle w:val="Rfrenceinterinstitutionnelle"/>
        <w:rPr>
          <w:noProof/>
        </w:rPr>
      </w:pPr>
      <w:r>
        <w:rPr>
          <w:noProof/>
        </w:rPr>
        <w:t>2016/0193 (COD)</w:t>
      </w:r>
    </w:p>
    <w:p w:rsidR="007151BF" w:rsidRDefault="00273D63">
      <w:pPr>
        <w:pStyle w:val="Statut"/>
        <w:rPr>
          <w:noProof/>
        </w:rPr>
      </w:pPr>
      <w:r>
        <w:rPr>
          <w:noProof/>
        </w:rPr>
        <w:t>Návrh</w:t>
      </w:r>
    </w:p>
    <w:p w:rsidR="007151BF" w:rsidRDefault="00273D63">
      <w:pPr>
        <w:pStyle w:val="Typedudocument"/>
        <w:rPr>
          <w:noProof/>
        </w:rPr>
      </w:pPr>
      <w:r>
        <w:rPr>
          <w:noProof/>
        </w:rPr>
        <w:t>NAŘÍZENÍ EVROPSKÉHO PARLAMENTU A RADY,</w:t>
      </w:r>
    </w:p>
    <w:p w:rsidR="007151BF" w:rsidRDefault="00273D63">
      <w:pPr>
        <w:pStyle w:val="Titreobjet"/>
        <w:rPr>
          <w:noProof/>
        </w:rPr>
      </w:pPr>
      <w:r>
        <w:rPr>
          <w:noProof/>
        </w:rPr>
        <w:t>kterým se mění nařízení (EU) č. 1303/2013, pokud jde o některá ustanovení týkající se finančního řízení pro ně</w:t>
      </w:r>
      <w:r>
        <w:rPr>
          <w:noProof/>
        </w:rPr>
        <w:t>které členské státy, jejichž finanční stabilita je postižena či ohrožena závažnými obtížemi</w:t>
      </w:r>
    </w:p>
    <w:p w:rsidR="007151BF" w:rsidRDefault="00273D63">
      <w:pPr>
        <w:pStyle w:val="Institutionquiagit"/>
        <w:rPr>
          <w:noProof/>
        </w:rPr>
      </w:pPr>
      <w:r>
        <w:rPr>
          <w:noProof/>
        </w:rPr>
        <w:t>EVROPSKÝ PARLAMENT A RADA EVROPSKÉ UNIE,</w:t>
      </w:r>
    </w:p>
    <w:p w:rsidR="007151BF" w:rsidRDefault="00273D63">
      <w:pPr>
        <w:rPr>
          <w:noProof/>
        </w:rPr>
      </w:pPr>
      <w:r>
        <w:rPr>
          <w:noProof/>
        </w:rPr>
        <w:t>s ohledem na Smlouvu o fungování Evropské unie, a zejména na článek 177 této smlouvy,</w:t>
      </w:r>
    </w:p>
    <w:p w:rsidR="007151BF" w:rsidRDefault="00273D63">
      <w:pPr>
        <w:rPr>
          <w:noProof/>
        </w:rPr>
      </w:pPr>
      <w:r>
        <w:rPr>
          <w:noProof/>
        </w:rPr>
        <w:t xml:space="preserve"> s ohledem na návrh Evropské komise,</w:t>
      </w:r>
    </w:p>
    <w:p w:rsidR="007151BF" w:rsidRDefault="00273D63">
      <w:pPr>
        <w:rPr>
          <w:noProof/>
        </w:rPr>
      </w:pPr>
      <w:r>
        <w:rPr>
          <w:noProof/>
        </w:rPr>
        <w:t>po postoupení návrhu legislativního aktu vnitrostátním parlamentům,</w:t>
      </w:r>
    </w:p>
    <w:p w:rsidR="007151BF" w:rsidRDefault="00273D63">
      <w:pPr>
        <w:rPr>
          <w:noProof/>
        </w:rPr>
      </w:pPr>
      <w:r>
        <w:rPr>
          <w:noProof/>
        </w:rPr>
        <w:t>s ohledem na stanovisko Evropského hospodářského a sociálního výboru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, </w:t>
      </w:r>
    </w:p>
    <w:p w:rsidR="007151BF" w:rsidRDefault="00273D63">
      <w:pPr>
        <w:rPr>
          <w:noProof/>
        </w:rPr>
      </w:pPr>
      <w:r>
        <w:rPr>
          <w:noProof/>
        </w:rPr>
        <w:t>s ohledem na stanovisko Výboru regionů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 w:rsidR="007151BF" w:rsidRDefault="00273D63">
      <w:pPr>
        <w:rPr>
          <w:noProof/>
        </w:rPr>
      </w:pPr>
      <w:r>
        <w:rPr>
          <w:noProof/>
        </w:rPr>
        <w:t>v souladu s řádným legislativním postupem,</w:t>
      </w:r>
    </w:p>
    <w:p w:rsidR="007151BF" w:rsidRDefault="00273D63">
      <w:pPr>
        <w:rPr>
          <w:noProof/>
        </w:rPr>
      </w:pPr>
      <w:r>
        <w:rPr>
          <w:noProof/>
        </w:rPr>
        <w:t>vzhledem k těmto důvodům:</w:t>
      </w:r>
    </w:p>
    <w:p w:rsidR="007151BF" w:rsidRDefault="00273D63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Podle čl. 24 odst. 3 nařízení (EU) č. 1303/2013 má Komise přezkoumat zvýšení průběžných plateb z evropských strukturálních a investičních fondů o částku odpovídající deseti procentním bodům nad míru spolufinancování platnou pro jednotlivé priority a opatře</w:t>
      </w:r>
      <w:r>
        <w:rPr>
          <w:noProof/>
        </w:rPr>
        <w:t>ní pro členské státy, které prováděly po 21. prosinci 2013 ozdravný program a požádaly, aby se na ně toto opatření stanovené ve zmíněném ustanovení vztahovalo do 30. června 2016, a předložit Evropskému parlamentu a Radě do 30. června 2016 zprávu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obsahujíc</w:t>
      </w:r>
      <w:r>
        <w:rPr>
          <w:noProof/>
        </w:rPr>
        <w:t>í hodnocení a v případě potřeby legislativní návrh.</w:t>
      </w:r>
    </w:p>
    <w:p w:rsidR="007151BF" w:rsidRDefault="00273D63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Pro zvýšené platby podle článku 24 nařízení (EU) č. 1303/2013 bylo způsobilých pět členských států: Rumunsko, Irsko, Portugalsko, Kypr a Řecko. Rumunsko, Irsko, Portugalsko a Kypr své ekonomické ozdra</w:t>
      </w:r>
      <w:r>
        <w:rPr>
          <w:noProof/>
        </w:rPr>
        <w:t xml:space="preserve">vné programy dokončily. Pouze Řecko dosud ozdravný program provádí a využívá související finanční pomoc až do konce třetího čtvrtletí roku 2018. Jelikož je finanční stabilita Řecka stále ohrožena závažnými obtížemi, měla by být prodloužena doba, po kterou </w:t>
      </w:r>
      <w:r>
        <w:rPr>
          <w:noProof/>
        </w:rPr>
        <w:t>jsou členským státům s dočasnými rozpočtovými problémy poskytovány zvýšené platby.</w:t>
      </w:r>
    </w:p>
    <w:p w:rsidR="007151BF" w:rsidRDefault="00273D63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Možnost využívat zvýšených plateb by nicméně měla skončit 30. června roku následujícího po kalendářním roku, v němž dotčený členský stát přestane být příjemcem finanční </w:t>
      </w:r>
      <w:r>
        <w:rPr>
          <w:noProof/>
        </w:rPr>
        <w:t>pomoci v rámci ozdravného programu.</w:t>
      </w:r>
    </w:p>
    <w:p w:rsidR="007151BF" w:rsidRDefault="00273D63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Podle čl. 120 odst. 3 nařízení (EU) č. 1303/2013 má Komise provést přezkum k posouzení toho, zda je odůvodněné zachovat maximální míru spolufinancování ve výši 85 % na úrovni každé priority pro všechny operační progr</w:t>
      </w:r>
      <w:r>
        <w:rPr>
          <w:noProof/>
        </w:rPr>
        <w:t>amy podporované z EFRR a ESF na Kypru po 30. červnu 2017, a případně předložit do 30. června 2016 legislativní návrh.</w:t>
      </w:r>
    </w:p>
    <w:p w:rsidR="007151BF" w:rsidRDefault="00273D63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Kypr ukončil svůj ozdravný program v březnu 2016. Hospodářská situace na Kypru je však stále obtížná, což je patrno z jeho pomalého ho</w:t>
      </w:r>
      <w:r>
        <w:rPr>
          <w:noProof/>
        </w:rPr>
        <w:t>spodářského růstu, poklesu investic, vysoké nezaměstnanosti a problémů ve finančním sektoru. V zájmu snížení tlaku na státní rozpočet a urychlení tolik potřebných investic by se tudíž uplatňování 85% míry spolufinancování na všechny operační programy na Ky</w:t>
      </w:r>
      <w:r>
        <w:rPr>
          <w:noProof/>
        </w:rPr>
        <w:t xml:space="preserve">pru podporované z EFRR a ESF mělo prodloužit až do uzavření programu. </w:t>
      </w:r>
    </w:p>
    <w:p w:rsidR="007151BF" w:rsidRDefault="00273D63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 cílem umožnit co nejrychlejší použití opatření stanovených tímto nařízením by toto nařízení mělo vstoupit v platnost prvním dnem po jeho vyhlášení v </w:t>
      </w:r>
      <w:r>
        <w:rPr>
          <w:i/>
          <w:noProof/>
        </w:rPr>
        <w:t>Úředním věstníku Evropské unie</w:t>
      </w:r>
      <w:r>
        <w:rPr>
          <w:noProof/>
        </w:rPr>
        <w:t>,</w:t>
      </w:r>
    </w:p>
    <w:p w:rsidR="007151BF" w:rsidRDefault="00273D63">
      <w:pPr>
        <w:pStyle w:val="Formuledadoption"/>
        <w:rPr>
          <w:noProof/>
        </w:rPr>
      </w:pPr>
      <w:r>
        <w:rPr>
          <w:noProof/>
        </w:rPr>
        <w:t>PŘIJALY TOTO NAŘÍZENÍ:</w:t>
      </w:r>
    </w:p>
    <w:p w:rsidR="007151BF" w:rsidRDefault="00273D63">
      <w:pPr>
        <w:pStyle w:val="Titrearticle"/>
        <w:rPr>
          <w:noProof/>
        </w:rPr>
      </w:pPr>
      <w:r>
        <w:rPr>
          <w:noProof/>
        </w:rPr>
        <w:t>Článek 1</w:t>
      </w:r>
    </w:p>
    <w:p w:rsidR="007151BF" w:rsidRDefault="00273D63">
      <w:pPr>
        <w:spacing w:before="0" w:after="200" w:line="276" w:lineRule="auto"/>
        <w:rPr>
          <w:noProof/>
        </w:rPr>
      </w:pPr>
      <w:r>
        <w:rPr>
          <w:noProof/>
        </w:rPr>
        <w:t>Nařízení (EU) č. 1303/2013 se mění takto:</w:t>
      </w:r>
    </w:p>
    <w:p w:rsidR="007151BF" w:rsidRDefault="00273D63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Článek 24 se nahrazuje tímto: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„</w:t>
      </w:r>
      <w:r>
        <w:rPr>
          <w:b/>
          <w:noProof/>
        </w:rPr>
        <w:t>Zvýšení plateb pro členské státy s dočasnými rozpočtovými problémy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1.  Na žádost členského státu lze průběžné platby navýšit o 10 procentních bodů nad míru spolufinancování platnou pro jednotlivé priority v rámci EFRR, ESF a Fondu soudržnosti nebo pro jednotlivá opatření v rámci EZFRV a ENRF.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Pokud členský stát po 21. pr</w:t>
      </w:r>
      <w:r>
        <w:rPr>
          <w:noProof/>
        </w:rPr>
        <w:t>osinci 2013 splňuje některou z následujících podmínek, uplatní se v případě žádostí o platby tohoto členského státu podaných na období do 30. června 2016 vyšší míra, která nesmí přesáhnout 100 %: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a) dotyčný členský stát obdržel půjčku od Unie na základě na</w:t>
      </w:r>
      <w:r>
        <w:rPr>
          <w:noProof/>
        </w:rPr>
        <w:t>řízení Rady (EU) č. 407/2010;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b) dotyčný členský stát obdržel střednědobou finanční pomoc v souladu s nařízením Rady (ES) č. 332/2002 pod podmínkou provádění makroekonomického ozdravného programu;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c) dotyčný členský stát má přístup k finanční pomoci pod po</w:t>
      </w:r>
      <w:r>
        <w:rPr>
          <w:noProof/>
        </w:rPr>
        <w:t>dmínkou provádění makroekonomického ozdravného programu, jak je uvedeno v nařízení (EU) č. 472/2013.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Jestliže členský stát splňuje některou z podmínek uvedených v druhém pododstavci po 30. červnu 2016, uplatní se vyšší míra na jeho žádosti o platby podané </w:t>
      </w:r>
      <w:r>
        <w:rPr>
          <w:noProof/>
        </w:rPr>
        <w:t>na období do 30. června roku následujícího po kalendářním roku, v němž je související finanční pomoc ukončena.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Tento odstavec se nevztahuje na programy podle nařízení o EÚS.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2.  Bez ohledu na odstavec 1 nesmí být podpora Unie poskytovaná prostřednictvím pr</w:t>
      </w:r>
      <w:r>
        <w:rPr>
          <w:noProof/>
        </w:rPr>
        <w:t>ůběžných plateb a plateb konečného zůstatku vyšší než veřejné výdaje nebo maximální výše podpory z ESI fondů pro jednotlivé priority v rámci EFRR, ESF a Fondu soudržnosti nebo pro jednotlivá opatření v rámci EZFRV a ENRF, jak je stanoveno v rozhodnutí Komi</w:t>
      </w:r>
      <w:r>
        <w:rPr>
          <w:noProof/>
        </w:rPr>
        <w:t>se o schválení programu, přičemž rozhodující je nižší částka.“</w:t>
      </w:r>
    </w:p>
    <w:p w:rsidR="007151BF" w:rsidRDefault="00273D63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Ustanovení čl. 120 odst. 3 se mění takto: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 xml:space="preserve">Druhý pododstavec se nahrazuje tímto: 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„Pro období od 1. ledna 2014 do uzavření programu nesmí být míra spolufinancování na úrovni každé priority p</w:t>
      </w:r>
      <w:r>
        <w:rPr>
          <w:noProof/>
        </w:rPr>
        <w:t xml:space="preserve">ro všechny operační programy na Kypru vyšší než 85 %.“  </w:t>
      </w:r>
    </w:p>
    <w:p w:rsidR="007151BF" w:rsidRDefault="00273D63">
      <w:pPr>
        <w:pStyle w:val="Titrearticle"/>
        <w:rPr>
          <w:noProof/>
        </w:rPr>
      </w:pPr>
      <w:r>
        <w:rPr>
          <w:noProof/>
        </w:rPr>
        <w:t>Článek 2</w:t>
      </w:r>
    </w:p>
    <w:p w:rsidR="007151BF" w:rsidRDefault="00273D63">
      <w:pPr>
        <w:rPr>
          <w:noProof/>
        </w:rPr>
      </w:pPr>
      <w:r>
        <w:rPr>
          <w:noProof/>
        </w:rPr>
        <w:t xml:space="preserve">Toto nařízení vstupuje v platnost prvním dnem po vyhlášení v </w:t>
      </w:r>
      <w:r>
        <w:rPr>
          <w:i/>
          <w:noProof/>
        </w:rPr>
        <w:t>Úředním věstníku Evropské unie</w:t>
      </w:r>
      <w:r>
        <w:rPr>
          <w:noProof/>
        </w:rPr>
        <w:t xml:space="preserve">. </w:t>
      </w:r>
    </w:p>
    <w:p w:rsidR="007151BF" w:rsidRDefault="00273D63">
      <w:pPr>
        <w:pStyle w:val="Applicationdirecte"/>
        <w:rPr>
          <w:noProof/>
        </w:rPr>
      </w:pPr>
      <w:r>
        <w:rPr>
          <w:noProof/>
        </w:rPr>
        <w:t>Toto nařízení je závazné v celém rozsahu a přímo použitelné ve všech členských státech.</w:t>
      </w:r>
    </w:p>
    <w:p w:rsidR="007151BF" w:rsidRDefault="00273D63">
      <w:pPr>
        <w:pStyle w:val="Fait"/>
        <w:rPr>
          <w:noProof/>
        </w:rPr>
      </w:pPr>
      <w:r>
        <w:rPr>
          <w:noProof/>
        </w:rPr>
        <w:t xml:space="preserve">V </w:t>
      </w:r>
      <w:r>
        <w:rPr>
          <w:noProof/>
        </w:rPr>
        <w:t>Bruselu dne</w:t>
      </w:r>
    </w:p>
    <w:p w:rsidR="007151BF" w:rsidRDefault="00273D63">
      <w:pPr>
        <w:pStyle w:val="Institutionquisigne"/>
        <w:rPr>
          <w:noProof/>
        </w:rPr>
      </w:pPr>
      <w:r>
        <w:rPr>
          <w:noProof/>
        </w:rPr>
        <w:t>Za Evropský parlament</w:t>
      </w:r>
      <w:r>
        <w:rPr>
          <w:noProof/>
        </w:rPr>
        <w:tab/>
        <w:t>Za Radu</w:t>
      </w:r>
    </w:p>
    <w:p w:rsidR="007151BF" w:rsidRDefault="00273D63">
      <w:pPr>
        <w:pStyle w:val="Personnequisigne"/>
        <w:rPr>
          <w:b/>
          <w:noProof/>
          <w:u w:val="single"/>
        </w:rPr>
      </w:pPr>
      <w:r>
        <w:rPr>
          <w:noProof/>
        </w:rPr>
        <w:t>předseda / předsedkyně</w:t>
      </w:r>
      <w:r>
        <w:rPr>
          <w:noProof/>
        </w:rPr>
        <w:tab/>
        <w:t>předseda / předsedkyně</w:t>
      </w:r>
      <w:r>
        <w:rPr>
          <w:noProof/>
        </w:rPr>
        <w:br w:type="page"/>
      </w:r>
    </w:p>
    <w:p w:rsidR="007151BF" w:rsidRDefault="00273D63">
      <w:pPr>
        <w:pStyle w:val="Fichefinanciretitre"/>
        <w:rPr>
          <w:noProof/>
        </w:rPr>
      </w:pPr>
      <w:r>
        <w:rPr>
          <w:noProof/>
        </w:rPr>
        <w:t>LEGISLATIVNÍ FINANČNÍ VÝKAZ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NÁZEV NÁVRHU: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Návrh nařízení Evropského parlamentu a Rady, kterým se mění nařízení Evropského parlamentu a Rady (EU) č. 1303/2013, pokud</w:t>
      </w:r>
      <w:r>
        <w:rPr>
          <w:noProof/>
        </w:rPr>
        <w:t xml:space="preserve"> jde o některá ustanovení týkající se finančního řízení pro některé členské státy, jejichž finanční stabilita je postižena či ohrožena závažnými obtížemi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RÁMEC ABM / ABB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Příslušné oblasti politik a související aktivita/aktivity: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Regionální politika, akt</w:t>
      </w:r>
      <w:r>
        <w:rPr>
          <w:noProof/>
        </w:rPr>
        <w:t>ivita ABB 13.03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Zaměstnanost a sociální věci, aktivita ABB 04.02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Fond soudržnosti, aktivita ABB 13.04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Rozvoj venkova, aktivita ABB 05.04</w:t>
      </w:r>
    </w:p>
    <w:p w:rsidR="007151BF" w:rsidRDefault="00273D63">
      <w:pPr>
        <w:pStyle w:val="Text1"/>
        <w:rPr>
          <w:noProof/>
          <w:highlight w:val="yellow"/>
        </w:rPr>
      </w:pPr>
      <w:r>
        <w:rPr>
          <w:noProof/>
        </w:rPr>
        <w:t>Rybolov, aktivita ABB 11.06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ROZPOČTOVÉ POLOŽKY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3.1</w:t>
      </w:r>
      <w:r>
        <w:rPr>
          <w:noProof/>
        </w:rPr>
        <w:tab/>
        <w:t>Rozpočtové položky (provozní položky a související položky na tec</w:t>
      </w:r>
      <w:r>
        <w:rPr>
          <w:noProof/>
        </w:rPr>
        <w:t>hnickou a administrativní pomoc (bývalé položky B.A)):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t>Nová navržená akce bude provedena na základě těchto rozpočtových položek: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13.036000 Méně rozvinuté regiony (EFRR)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13.036100 Přechodové regiony (EFRR)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13.036000 Rozvinutější regiony (EFRR)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13.036300 Dod</w:t>
      </w:r>
      <w:r>
        <w:rPr>
          <w:noProof/>
        </w:rPr>
        <w:t>atečný příděl pro nejvzdálenější a řídce osídlené regiony (EFRR)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13.046000 Fond soudržnosti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04.026000 Méně rozvinuté regiony (ESF)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04.026100 Přechodové regiony (ESF)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04.026200 Rozvinutější regiony (ESF)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04.026400 Iniciativa na podporu zaměstnanosti mladých</w:t>
      </w:r>
      <w:r>
        <w:rPr>
          <w:noProof/>
        </w:rPr>
        <w:t xml:space="preserve"> lidí (ESF)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05.046001 Rozvoj venkova (EZFRV)</w:t>
      </w:r>
    </w:p>
    <w:p w:rsidR="007151BF" w:rsidRDefault="00273D63">
      <w:pPr>
        <w:pStyle w:val="ListBullet1"/>
        <w:rPr>
          <w:noProof/>
        </w:rPr>
      </w:pPr>
      <w:r>
        <w:rPr>
          <w:noProof/>
        </w:rPr>
        <w:t>11.066000 Rybolov a akvakultura (ENRF)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3.2</w:t>
      </w:r>
      <w:r>
        <w:rPr>
          <w:noProof/>
        </w:rPr>
        <w:tab/>
        <w:t>Doba trvání akce a finančního dopadu:</w:t>
      </w:r>
    </w:p>
    <w:p w:rsidR="007151BF" w:rsidRDefault="00273D63">
      <w:pPr>
        <w:spacing w:after="240"/>
        <w:rPr>
          <w:noProof/>
        </w:rPr>
      </w:pPr>
      <w:r>
        <w:rPr>
          <w:noProof/>
        </w:rPr>
        <w:br w:type="page"/>
        <w:t>3.3</w:t>
      </w:r>
      <w:r>
        <w:rPr>
          <w:noProof/>
        </w:rPr>
        <w:tab/>
        <w:t>Rozpočtové charakteristiky: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095"/>
        <w:gridCol w:w="1024"/>
        <w:gridCol w:w="1031"/>
        <w:gridCol w:w="1478"/>
        <w:gridCol w:w="1649"/>
        <w:gridCol w:w="1363"/>
      </w:tblGrid>
      <w:tr w:rsidR="007151BF">
        <w:trPr>
          <w:jc w:val="center"/>
        </w:trPr>
        <w:tc>
          <w:tcPr>
            <w:tcW w:w="1136" w:type="dxa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Rozpočtová položka</w:t>
            </w:r>
          </w:p>
        </w:tc>
        <w:tc>
          <w:tcPr>
            <w:tcW w:w="2141" w:type="dxa"/>
            <w:gridSpan w:val="2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Druh výdaje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Nové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Příspěvek ESVO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Příspěvky od kandidátských zemí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Okruh ve </w:t>
            </w:r>
            <w:r>
              <w:rPr>
                <w:b/>
                <w:noProof/>
                <w:sz w:val="20"/>
              </w:rPr>
              <w:t>finančním výhledu</w:t>
            </w:r>
          </w:p>
        </w:tc>
      </w:tr>
      <w:tr w:rsidR="007151BF">
        <w:trPr>
          <w:jc w:val="center"/>
        </w:trPr>
        <w:tc>
          <w:tcPr>
            <w:tcW w:w="1136" w:type="dxa"/>
            <w:vAlign w:val="center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13.031600</w:t>
            </w:r>
          </w:p>
        </w:tc>
        <w:tc>
          <w:tcPr>
            <w:tcW w:w="11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Nepov.</w:t>
            </w:r>
          </w:p>
        </w:tc>
        <w:tc>
          <w:tcPr>
            <w:tcW w:w="103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Rozl.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č. 1b</w:t>
            </w:r>
          </w:p>
        </w:tc>
      </w:tr>
      <w:tr w:rsidR="007151BF">
        <w:trPr>
          <w:jc w:val="center"/>
        </w:trPr>
        <w:tc>
          <w:tcPr>
            <w:tcW w:w="1136" w:type="dxa"/>
          </w:tcPr>
          <w:p w:rsidR="007151BF" w:rsidRDefault="00273D63">
            <w:pPr>
              <w:rPr>
                <w:noProof/>
              </w:rPr>
            </w:pPr>
            <w:r>
              <w:rPr>
                <w:noProof/>
                <w:sz w:val="20"/>
              </w:rPr>
              <w:t>13.031800</w:t>
            </w:r>
          </w:p>
        </w:tc>
        <w:tc>
          <w:tcPr>
            <w:tcW w:w="11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Nepov.</w:t>
            </w:r>
          </w:p>
        </w:tc>
        <w:tc>
          <w:tcPr>
            <w:tcW w:w="103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Rozl.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č. 1b</w:t>
            </w:r>
          </w:p>
        </w:tc>
      </w:tr>
      <w:tr w:rsidR="007151BF">
        <w:trPr>
          <w:jc w:val="center"/>
        </w:trPr>
        <w:tc>
          <w:tcPr>
            <w:tcW w:w="113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04.0217</w:t>
            </w:r>
          </w:p>
        </w:tc>
        <w:tc>
          <w:tcPr>
            <w:tcW w:w="11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Nepov.</w:t>
            </w:r>
          </w:p>
        </w:tc>
        <w:tc>
          <w:tcPr>
            <w:tcW w:w="103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Rozl.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č. 1b</w:t>
            </w:r>
          </w:p>
        </w:tc>
      </w:tr>
      <w:tr w:rsidR="007151BF">
        <w:trPr>
          <w:jc w:val="center"/>
        </w:trPr>
        <w:tc>
          <w:tcPr>
            <w:tcW w:w="113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13.04.02</w:t>
            </w:r>
          </w:p>
        </w:tc>
        <w:tc>
          <w:tcPr>
            <w:tcW w:w="11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Nepov.</w:t>
            </w:r>
          </w:p>
        </w:tc>
        <w:tc>
          <w:tcPr>
            <w:tcW w:w="103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Rozl.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č. 1b</w:t>
            </w:r>
          </w:p>
        </w:tc>
      </w:tr>
      <w:tr w:rsidR="007151BF">
        <w:trPr>
          <w:jc w:val="center"/>
        </w:trPr>
        <w:tc>
          <w:tcPr>
            <w:tcW w:w="113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04.0219</w:t>
            </w:r>
          </w:p>
        </w:tc>
        <w:tc>
          <w:tcPr>
            <w:tcW w:w="11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Nepov.</w:t>
            </w:r>
          </w:p>
        </w:tc>
        <w:tc>
          <w:tcPr>
            <w:tcW w:w="103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Rozl.</w:t>
            </w:r>
          </w:p>
        </w:tc>
        <w:tc>
          <w:tcPr>
            <w:tcW w:w="104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49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65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NE</w:t>
            </w:r>
          </w:p>
        </w:tc>
        <w:tc>
          <w:tcPr>
            <w:tcW w:w="137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č. 1b</w:t>
            </w:r>
          </w:p>
        </w:tc>
      </w:tr>
    </w:tbl>
    <w:p w:rsidR="007151BF" w:rsidRDefault="00273D63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SHRNUTÍ ZDROJŮ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4.1</w:t>
      </w:r>
      <w:r>
        <w:rPr>
          <w:noProof/>
        </w:rPr>
        <w:tab/>
        <w:t>Finanční zdroje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4.1.1.</w:t>
      </w:r>
      <w:r>
        <w:rPr>
          <w:noProof/>
        </w:rPr>
        <w:tab/>
      </w:r>
      <w:r>
        <w:rPr>
          <w:noProof/>
        </w:rPr>
        <w:t xml:space="preserve">Shrnutí prostředků na závazky (PZ) a prostředků na platby (PP) </w:t>
      </w:r>
    </w:p>
    <w:p w:rsidR="007151BF" w:rsidRDefault="00273D63">
      <w:pPr>
        <w:rPr>
          <w:noProof/>
        </w:rPr>
      </w:pPr>
      <w:r>
        <w:rPr>
          <w:noProof/>
        </w:rPr>
        <w:t xml:space="preserve">Následující tabulky uvádějí odhadovaný dopad navrhovaných opatření v letech 2016 až 2020. Jelikož nejsou pro prostředky na závazky navrženy žádné nové finanční zdroje, v příslušných kolonkách </w:t>
      </w:r>
      <w:r>
        <w:rPr>
          <w:noProof/>
        </w:rPr>
        <w:t xml:space="preserve">tabulek se uvádí pouze „nepoužije se“. Návrh je tedy v souladu s víceletým finančním rámcem na období 2014–2020. </w:t>
      </w:r>
    </w:p>
    <w:p w:rsidR="007151BF" w:rsidRDefault="00273D63">
      <w:pPr>
        <w:rPr>
          <w:noProof/>
        </w:rPr>
      </w:pPr>
      <w:r>
        <w:rPr>
          <w:noProof/>
        </w:rPr>
        <w:t xml:space="preserve">U plateb může návrh vést k vyšším úhradám nákladů dotčeným členským státům. </w:t>
      </w:r>
    </w:p>
    <w:p w:rsidR="007151BF" w:rsidRDefault="00273D63">
      <w:pPr>
        <w:rPr>
          <w:noProof/>
        </w:rPr>
      </w:pPr>
      <w:r>
        <w:rPr>
          <w:noProof/>
        </w:rPr>
        <w:t>U plateb může návrh vést k vyšším úhradám nákladů dotčeným člensk</w:t>
      </w:r>
      <w:r>
        <w:rPr>
          <w:noProof/>
        </w:rPr>
        <w:t>ým státům. Na základě odhadu plateb z členských států revidovaného Komisí a prostředků na platby zahrnutých do rozpočtu na rok 2016 a do návrhu rozpočtu na rok 2017 by měly potřebné prostředky na platby dosáhnout přibližně 544 milionů EUR. V důsledku dodat</w:t>
      </w:r>
      <w:r>
        <w:rPr>
          <w:noProof/>
        </w:rPr>
        <w:t>ečných prostředků na platby u tohoto návrhu dojde ke zvýšení prostředků na platby v letech 2016 a 2017, což bude vyrovnáno do ukončení životního cyklu programů. Z navrhované úpravy nevyplývají žádné změny v ročních stropech prostředků na závazky a platby v</w:t>
      </w:r>
      <w:r>
        <w:rPr>
          <w:noProof/>
        </w:rPr>
        <w:t xml:space="preserve">íceletého finančního rámce, které jsou stanoveny v příloze I nařízení (EU) č. 1311/2013. </w:t>
      </w:r>
    </w:p>
    <w:p w:rsidR="007151BF" w:rsidRDefault="00273D63">
      <w:pPr>
        <w:rPr>
          <w:noProof/>
        </w:rPr>
      </w:pPr>
      <w:r>
        <w:rPr>
          <w:noProof/>
        </w:rPr>
        <w:t>Na základě žádosti členského státu o využití uvedené akce a s přihlédnutím k vývoji u předkládání žádostí o průběžné platby přezkoumá Komise v roce 2016 a 2017 potřeb</w:t>
      </w:r>
      <w:r>
        <w:rPr>
          <w:noProof/>
        </w:rPr>
        <w:t>u vyplacení dodatečných prostředků a rozpočtovému orgánu popřípadě navrhne odpovídající opatření.</w:t>
      </w:r>
    </w:p>
    <w:p w:rsidR="007151BF" w:rsidRDefault="00273D63">
      <w:pPr>
        <w:rPr>
          <w:noProof/>
        </w:rPr>
      </w:pPr>
      <w:r>
        <w:rPr>
          <w:noProof/>
        </w:rPr>
        <w:t>Pro období od roku 2018 nebyly provedeny žádné odhady a případné dopady budou řešeny v rámci rozpočtového procesu na příslušné roky.</w:t>
      </w:r>
    </w:p>
    <w:p w:rsidR="007151BF" w:rsidRDefault="007151BF">
      <w:pPr>
        <w:rPr>
          <w:noProof/>
        </w:rPr>
        <w:sectPr w:rsidR="007151B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151BF" w:rsidRDefault="00273D63">
      <w:pPr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v milio</w:t>
      </w:r>
      <w:r>
        <w:rPr>
          <w:i/>
          <w:noProof/>
          <w:sz w:val="20"/>
        </w:rPr>
        <w:t>nech EUR (zaokrouhleno na 3 desetinná místa)</w:t>
      </w:r>
    </w:p>
    <w:tbl>
      <w:tblPr>
        <w:tblW w:w="8952" w:type="dxa"/>
        <w:tblInd w:w="312" w:type="dxa"/>
        <w:tblLayout w:type="fixed"/>
        <w:tblLook w:val="0000" w:firstRow="0" w:lastRow="0" w:firstColumn="0" w:lastColumn="0" w:noHBand="0" w:noVBand="0"/>
      </w:tblPr>
      <w:tblGrid>
        <w:gridCol w:w="2335"/>
        <w:gridCol w:w="701"/>
        <w:gridCol w:w="720"/>
        <w:gridCol w:w="720"/>
        <w:gridCol w:w="720"/>
        <w:gridCol w:w="720"/>
        <w:gridCol w:w="720"/>
        <w:gridCol w:w="720"/>
        <w:gridCol w:w="840"/>
        <w:gridCol w:w="756"/>
      </w:tblGrid>
      <w:tr w:rsidR="007151BF">
        <w:trPr>
          <w:cantSplit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51BF" w:rsidRDefault="007151BF">
            <w:pPr>
              <w:jc w:val="center"/>
              <w:rPr>
                <w:noProof/>
                <w:sz w:val="22"/>
              </w:rPr>
            </w:pPr>
          </w:p>
          <w:p w:rsidR="007151BF" w:rsidRDefault="00273D63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Druh výdajů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Oddíl č.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+ 5 a násl.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 w:rsidR="007151BF">
        <w:trPr>
          <w:cantSplit/>
        </w:trPr>
        <w:tc>
          <w:tcPr>
            <w:tcW w:w="30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273D63">
            <w:pPr>
              <w:spacing w:before="60" w:after="60"/>
              <w:rPr>
                <w:noProof/>
              </w:rPr>
            </w:pPr>
            <w:r>
              <w:rPr>
                <w:b/>
                <w:noProof/>
                <w:sz w:val="22"/>
              </w:rPr>
              <w:t>Provozní výdaje</w:t>
            </w:r>
            <w:r>
              <w:rPr>
                <w:rStyle w:val="FootnoteReference"/>
                <w:b/>
                <w:noProof/>
                <w:sz w:val="22"/>
              </w:rPr>
              <w:footnoteReference w:id="6"/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151BF" w:rsidRDefault="007151BF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Prostředky na závazky (PZ)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8.1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Prostředky na platby (PP)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7151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+252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+292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-544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0)</w:t>
            </w:r>
          </w:p>
        </w:tc>
      </w:tr>
      <w:tr w:rsidR="007151BF">
        <w:trPr>
          <w:cantSplit/>
        </w:trPr>
        <w:tc>
          <w:tcPr>
            <w:tcW w:w="591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Správní výdaje v rámci referenční částky</w:t>
            </w:r>
            <w:r>
              <w:rPr>
                <w:rStyle w:val="FootnoteReference"/>
                <w:b/>
                <w:noProof/>
                <w:sz w:val="20"/>
              </w:rPr>
              <w:footnoteReference w:id="7"/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:sz w:val="20"/>
                <w:szCs w:val="20"/>
              </w:rPr>
            </w:pP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Technická a administrativní pomoc (NP)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8.2.4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nepoužije se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3756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REFERENČNÍ ČÁSTKA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18" w:space="0" w:color="auto"/>
            </w:tcBorders>
          </w:tcPr>
          <w:p w:rsidR="007151BF" w:rsidRDefault="007151BF">
            <w:pPr>
              <w:spacing w:before="60" w:after="60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Prostředky na závazky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7151BF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a+c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Prostředky na platby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7151BF">
            <w:pPr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b+c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 xml:space="preserve">nepoužije </w:t>
            </w:r>
            <w:r>
              <w:rPr>
                <w:b/>
                <w:noProof/>
                <w:sz w:val="20"/>
              </w:rPr>
              <w:t>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0,000</w:t>
            </w:r>
          </w:p>
          <w:p w:rsidR="007151BF" w:rsidRDefault="007151BF">
            <w:pPr>
              <w:spacing w:before="60" w:after="60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  <w:tr w:rsidR="007151BF">
        <w:trPr>
          <w:cantSplit/>
        </w:trPr>
        <w:tc>
          <w:tcPr>
            <w:tcW w:w="7356" w:type="dxa"/>
            <w:gridSpan w:val="8"/>
            <w:tcBorders>
              <w:top w:val="single" w:sz="18" w:space="0" w:color="auto"/>
              <w:bottom w:val="single" w:sz="8" w:space="0" w:color="auto"/>
            </w:tcBorders>
          </w:tcPr>
          <w:p w:rsidR="007151BF" w:rsidRDefault="00273D63">
            <w:pPr>
              <w:spacing w:before="60" w:after="60"/>
              <w:rPr>
                <w:noProof/>
              </w:rPr>
            </w:pPr>
            <w:r>
              <w:rPr>
                <w:b/>
                <w:noProof/>
                <w:sz w:val="22"/>
              </w:rPr>
              <w:t xml:space="preserve">Správní výdaje </w:t>
            </w:r>
            <w:r>
              <w:rPr>
                <w:b/>
                <w:noProof/>
                <w:sz w:val="22"/>
                <w:u w:val="single"/>
              </w:rPr>
              <w:t>nezahrnuté</w:t>
            </w:r>
            <w:r>
              <w:rPr>
                <w:b/>
                <w:noProof/>
                <w:sz w:val="22"/>
              </w:rPr>
              <w:t xml:space="preserve"> v referenční částce</w:t>
            </w:r>
            <w:r>
              <w:rPr>
                <w:rStyle w:val="FootnoteReference"/>
                <w:b/>
                <w:noProof/>
                <w:sz w:val="22"/>
              </w:rPr>
              <w:footnoteReference w:id="8"/>
            </w:r>
          </w:p>
        </w:tc>
        <w:tc>
          <w:tcPr>
            <w:tcW w:w="840" w:type="dxa"/>
            <w:tcBorders>
              <w:top w:val="single" w:sz="1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  <w:tc>
          <w:tcPr>
            <w:tcW w:w="756" w:type="dxa"/>
            <w:tcBorders>
              <w:top w:val="single" w:sz="18" w:space="0" w:color="auto"/>
              <w:bottom w:val="single" w:sz="8" w:space="0" w:color="auto"/>
            </w:tcBorders>
          </w:tcPr>
          <w:p w:rsidR="007151BF" w:rsidRDefault="007151BF">
            <w:pPr>
              <w:spacing w:before="60" w:after="60"/>
              <w:rPr>
                <w:noProof/>
              </w:rPr>
            </w:pP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Lidské zdroje a související výdaje (NP)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8.2.5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Administrativní výdaje, kromě nákladů na lidské zdroje a souvisejících nákladů, nezahrnuté v referenční částce (NP)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8.2.6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rPr>
          <w:b/>
          <w:noProof/>
        </w:rPr>
      </w:pPr>
      <w:r>
        <w:rPr>
          <w:b/>
          <w:noProof/>
        </w:rPr>
        <w:t xml:space="preserve">Celkové orientační finanční náklady zásahu </w:t>
      </w:r>
    </w:p>
    <w:tbl>
      <w:tblPr>
        <w:tblW w:w="8952" w:type="dxa"/>
        <w:tblInd w:w="312" w:type="dxa"/>
        <w:tblLayout w:type="fixed"/>
        <w:tblLook w:val="0000" w:firstRow="0" w:lastRow="0" w:firstColumn="0" w:lastColumn="0" w:noHBand="0" w:noVBand="0"/>
      </w:tblPr>
      <w:tblGrid>
        <w:gridCol w:w="2335"/>
        <w:gridCol w:w="701"/>
        <w:gridCol w:w="540"/>
        <w:gridCol w:w="720"/>
        <w:gridCol w:w="900"/>
        <w:gridCol w:w="720"/>
        <w:gridCol w:w="720"/>
        <w:gridCol w:w="720"/>
        <w:gridCol w:w="720"/>
        <w:gridCol w:w="876"/>
      </w:tblGrid>
      <w:tr w:rsidR="007151BF">
        <w:trPr>
          <w:cantSplit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PZ CELKEM včetně nákladů na lidské zdroje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7151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a+c+d+e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151BF" w:rsidRDefault="00273D63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PP CELKEM včetně nákladů na lidské zdroje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7151BF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b+c+d+e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7151BF">
      <w:pPr>
        <w:rPr>
          <w:b/>
          <w:noProof/>
        </w:rPr>
        <w:sectPr w:rsidR="007151B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151BF" w:rsidRDefault="00273D63">
      <w:pPr>
        <w:rPr>
          <w:b/>
          <w:noProof/>
        </w:rPr>
      </w:pPr>
      <w:r>
        <w:rPr>
          <w:b/>
          <w:noProof/>
        </w:rPr>
        <w:t>Spoluúčast</w:t>
      </w:r>
    </w:p>
    <w:p w:rsidR="007151BF" w:rsidRDefault="00273D63">
      <w:pPr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v milionech EUR (zaokrouhleno na 3 desetinná místa)</w:t>
      </w:r>
    </w:p>
    <w:tbl>
      <w:tblPr>
        <w:tblW w:w="8076" w:type="dxa"/>
        <w:tblInd w:w="312" w:type="dxa"/>
        <w:tblLayout w:type="fixed"/>
        <w:tblLook w:val="0000" w:firstRow="0" w:lastRow="0" w:firstColumn="0" w:lastColumn="0" w:noHBand="0" w:noVBand="0"/>
      </w:tblPr>
      <w:tblGrid>
        <w:gridCol w:w="2335"/>
        <w:gridCol w:w="584"/>
        <w:gridCol w:w="681"/>
        <w:gridCol w:w="720"/>
        <w:gridCol w:w="720"/>
        <w:gridCol w:w="720"/>
        <w:gridCol w:w="720"/>
        <w:gridCol w:w="720"/>
        <w:gridCol w:w="876"/>
      </w:tblGrid>
      <w:tr w:rsidR="007151BF">
        <w:trPr>
          <w:cantSplit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Spolufinancující subjekt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1BF" w:rsidRDefault="007151BF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+ 5 a násl.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……………………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f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PZ CELKEM včetně spolufinancování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51BF" w:rsidRDefault="00273D63">
            <w:pPr>
              <w:spacing w:before="60" w:after="6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a+c+d+e+f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Style w:val="ManualHeading3"/>
        <w:spacing w:before="360"/>
        <w:ind w:left="851" w:hanging="851"/>
        <w:rPr>
          <w:noProof/>
        </w:rPr>
      </w:pPr>
      <w:r>
        <w:rPr>
          <w:noProof/>
        </w:rPr>
        <w:t>4.1.2</w:t>
      </w:r>
      <w:r>
        <w:rPr>
          <w:noProof/>
        </w:rPr>
        <w:tab/>
        <w:t xml:space="preserve">Soulad s finančním </w:t>
      </w:r>
      <w:r>
        <w:rPr>
          <w:noProof/>
        </w:rPr>
        <w:t>plánem</w:t>
      </w:r>
    </w:p>
    <w:p w:rsidR="007151BF" w:rsidRDefault="00273D63">
      <w:pPr>
        <w:pStyle w:val="Poin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 je v souladu se stávajícím finančním plánem.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 si vyžádá změnu plánu a úpravu příslušného okruhu finančního výhledu.</w:t>
      </w:r>
    </w:p>
    <w:p w:rsidR="007151BF" w:rsidRDefault="00273D63">
      <w:pPr>
        <w:pStyle w:val="Text1"/>
        <w:spacing w:after="240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 může vyžadovat použití ustanovení interinstitucionální dohody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(tj. nástroje pro flexibilitu nebo revizi finan</w:t>
      </w:r>
      <w:r>
        <w:rPr>
          <w:noProof/>
        </w:rPr>
        <w:t>čního výhledu).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4.1.3</w:t>
      </w:r>
      <w:r>
        <w:rPr>
          <w:noProof/>
        </w:rPr>
        <w:tab/>
        <w:t>Finanční dopady na straně příjmů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Návrh nemá žádné finanční dopady na příjmy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 má finanční dopady na příjmy s následujícím účinkem:</w:t>
      </w:r>
    </w:p>
    <w:p w:rsidR="007151BF" w:rsidRDefault="00273D63">
      <w:pPr>
        <w:pStyle w:val="NormalRight"/>
        <w:rPr>
          <w:i/>
          <w:noProof/>
          <w:sz w:val="20"/>
        </w:rPr>
      </w:pPr>
      <w:r>
        <w:rPr>
          <w:i/>
          <w:noProof/>
          <w:sz w:val="20"/>
        </w:rPr>
        <w:t>v milionech EUR (zaokrouhleno na 1 desetinné místo)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268"/>
        <w:gridCol w:w="685"/>
        <w:gridCol w:w="141"/>
        <w:gridCol w:w="647"/>
        <w:gridCol w:w="648"/>
        <w:gridCol w:w="648"/>
        <w:gridCol w:w="647"/>
        <w:gridCol w:w="648"/>
        <w:gridCol w:w="648"/>
      </w:tblGrid>
      <w:tr w:rsidR="007151BF">
        <w:trPr>
          <w:cantSplit/>
        </w:trPr>
        <w:tc>
          <w:tcPr>
            <w:tcW w:w="964" w:type="dxa"/>
            <w:tcBorders>
              <w:right w:val="nil"/>
            </w:tcBorders>
          </w:tcPr>
          <w:p w:rsidR="007151BF" w:rsidRDefault="007151BF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7151BF" w:rsidRDefault="007151BF">
            <w:pPr>
              <w:rPr>
                <w:noProof/>
                <w:sz w:val="18"/>
              </w:rPr>
            </w:pPr>
          </w:p>
        </w:tc>
        <w:tc>
          <w:tcPr>
            <w:tcW w:w="685" w:type="dxa"/>
            <w:vMerge w:val="restart"/>
            <w:tcBorders>
              <w:left w:val="nil"/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Před</w:t>
            </w:r>
            <w:r>
              <w:rPr>
                <w:noProof/>
                <w:sz w:val="16"/>
              </w:rPr>
              <w:br/>
              <w:t xml:space="preserve">akcí </w:t>
            </w:r>
            <w:r>
              <w:rPr>
                <w:noProof/>
                <w:sz w:val="16"/>
              </w:rPr>
              <w:br/>
            </w:r>
            <w:r>
              <w:rPr>
                <w:noProof/>
              </w:rPr>
              <w:t>[rok n-1]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7151BF" w:rsidRDefault="007151B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886" w:type="dxa"/>
            <w:gridSpan w:val="6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Situace po akci</w:t>
            </w:r>
          </w:p>
        </w:tc>
      </w:tr>
      <w:tr w:rsidR="007151BF">
        <w:trPr>
          <w:cantSplit/>
        </w:trPr>
        <w:tc>
          <w:tcPr>
            <w:tcW w:w="964" w:type="dxa"/>
            <w:tcBorders>
              <w:top w:val="nil"/>
              <w:bottom w:val="nil"/>
            </w:tcBorders>
          </w:tcPr>
          <w:p w:rsidR="007151BF" w:rsidRDefault="00273D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Rozpočtová položka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Příjmy</w:t>
            </w:r>
          </w:p>
        </w:tc>
        <w:tc>
          <w:tcPr>
            <w:tcW w:w="685" w:type="dxa"/>
            <w:vMerge/>
            <w:tcBorders>
              <w:bottom w:val="nil"/>
            </w:tcBorders>
          </w:tcPr>
          <w:p w:rsidR="007151BF" w:rsidRDefault="007151B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151BF" w:rsidRDefault="007151B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647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[rok n]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[n+1]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[n+2]</w:t>
            </w:r>
          </w:p>
        </w:tc>
        <w:tc>
          <w:tcPr>
            <w:tcW w:w="647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[n+3]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[n+4]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t>[n+5]</w:t>
            </w:r>
            <w:r>
              <w:rPr>
                <w:rStyle w:val="FootnoteReference"/>
                <w:noProof/>
              </w:rPr>
              <w:footnoteReference w:id="10"/>
            </w:r>
          </w:p>
        </w:tc>
      </w:tr>
      <w:tr w:rsidR="007151BF">
        <w:trPr>
          <w:cantSplit/>
        </w:trPr>
        <w:tc>
          <w:tcPr>
            <w:tcW w:w="96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151BF" w:rsidRDefault="007151BF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7151BF" w:rsidRDefault="00273D63">
            <w:pPr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a) Příjmy v absolutním vyjádření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151BF" w:rsidRDefault="007151BF">
            <w:pPr>
              <w:rPr>
                <w:noProof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151BF" w:rsidRDefault="007151BF">
            <w:pPr>
              <w:rPr>
                <w:noProof/>
              </w:rPr>
            </w:pPr>
          </w:p>
        </w:tc>
        <w:tc>
          <w:tcPr>
            <w:tcW w:w="647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7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bottom w:val="nil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</w:trPr>
        <w:tc>
          <w:tcPr>
            <w:tcW w:w="96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151BF" w:rsidRDefault="007151BF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nil"/>
            </w:tcBorders>
          </w:tcPr>
          <w:p w:rsidR="007151BF" w:rsidRDefault="00273D63">
            <w:pPr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b) Změna v příjmech</w:t>
            </w:r>
          </w:p>
        </w:tc>
        <w:tc>
          <w:tcPr>
            <w:tcW w:w="68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151BF" w:rsidRDefault="00273D63">
            <w:pPr>
              <w:rPr>
                <w:noProof/>
              </w:rPr>
            </w:pPr>
            <w:r>
              <w:rPr>
                <w:i/>
                <w:noProof/>
                <w:sz w:val="18"/>
              </w:rPr>
              <w:t xml:space="preserve"> </w:t>
            </w:r>
            <w:r>
              <w:rPr>
                <w:i/>
                <w:noProof/>
                <w:sz w:val="18"/>
                <w:szCs w:val="18"/>
              </w:rPr>
              <w:sym w:font="Symbol" w:char="F044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151BF" w:rsidRDefault="007151BF">
            <w:pPr>
              <w:rPr>
                <w:noProof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</w:t>
            </w:r>
            <w:r>
              <w:rPr>
                <w:noProof/>
                <w:sz w:val="20"/>
              </w:rPr>
              <w:t xml:space="preserve"> se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Style w:val="Text1"/>
        <w:rPr>
          <w:noProof/>
        </w:rPr>
      </w:pPr>
      <w:r>
        <w:rPr>
          <w:b/>
          <w:i/>
          <w:noProof/>
        </w:rPr>
        <w:t>(Upřesněte prosím každou příjmovou rozpočtovou položku, které se to týká, a dochází-li k dopadu na více rozpočtových položek, přidejte příslušný počet řádků.)</w:t>
      </w:r>
    </w:p>
    <w:p w:rsidR="007151BF" w:rsidRDefault="00273D63">
      <w:pPr>
        <w:pStyle w:val="ManualHeading2"/>
        <w:spacing w:after="240"/>
        <w:ind w:left="851" w:hanging="851"/>
        <w:rPr>
          <w:noProof/>
        </w:rPr>
      </w:pPr>
      <w:r>
        <w:rPr>
          <w:noProof/>
        </w:rPr>
        <w:t>4.2</w:t>
      </w:r>
      <w:r>
        <w:rPr>
          <w:noProof/>
        </w:rPr>
        <w:tab/>
        <w:t xml:space="preserve">Lidské zdroje – pracovníci na plný úvazek (včetně úředníků, </w:t>
      </w:r>
      <w:r>
        <w:rPr>
          <w:noProof/>
        </w:rPr>
        <w:t>dočasných zaměstnanců a externích pracovníků) – viz podrobnosti v bodě 8.2.1</w:t>
      </w:r>
    </w:p>
    <w:tbl>
      <w:tblPr>
        <w:tblW w:w="0" w:type="auto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30"/>
        <w:gridCol w:w="772"/>
        <w:gridCol w:w="851"/>
        <w:gridCol w:w="851"/>
        <w:gridCol w:w="851"/>
        <w:gridCol w:w="851"/>
      </w:tblGrid>
      <w:tr w:rsidR="007151BF">
        <w:trPr>
          <w:cantSplit/>
        </w:trPr>
        <w:tc>
          <w:tcPr>
            <w:tcW w:w="2268" w:type="dxa"/>
            <w:tcBorders>
              <w:top w:val="single" w:sz="12" w:space="0" w:color="auto"/>
            </w:tcBorders>
          </w:tcPr>
          <w:p w:rsidR="007151BF" w:rsidRDefault="007151BF">
            <w:pPr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Roční potřeba</w:t>
            </w:r>
          </w:p>
        </w:tc>
        <w:tc>
          <w:tcPr>
            <w:tcW w:w="930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772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151BF" w:rsidRDefault="007151BF">
            <w:pPr>
              <w:jc w:val="center"/>
              <w:rPr>
                <w:noProof/>
                <w:sz w:val="20"/>
                <w:szCs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 + 5 a násl.</w:t>
            </w:r>
          </w:p>
        </w:tc>
      </w:tr>
      <w:tr w:rsidR="007151BF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Celkový objem lidských zdrojů</w:t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151BF" w:rsidRDefault="00273D63">
            <w:pPr>
              <w:spacing w:before="60" w:after="60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</w:r>
      <w:r>
        <w:rPr>
          <w:noProof/>
        </w:rPr>
        <w:t>CHARAKTERISTIKY A CÍLE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5.1</w:t>
      </w:r>
      <w:r>
        <w:rPr>
          <w:noProof/>
        </w:rPr>
        <w:tab/>
        <w:t>Potřeba, která má být uspokojena v krátkodobém nebo dlouhodobém horizontu</w:t>
      </w:r>
    </w:p>
    <w:p w:rsidR="007151BF" w:rsidRDefault="00273D63">
      <w:pPr>
        <w:spacing w:after="240"/>
        <w:rPr>
          <w:noProof/>
        </w:rPr>
      </w:pPr>
      <w:r>
        <w:rPr>
          <w:noProof/>
        </w:rPr>
        <w:t>Přetrvávající finanční a hospodářská krize zvyšuje tlak na vnitrostátní finanční zdroje a členské státy snižují své rozpočty. V této souvislosti je obzvláš</w:t>
      </w:r>
      <w:r>
        <w:rPr>
          <w:noProof/>
        </w:rPr>
        <w:t>tě důležité zajistit bezproblémové provádění programů ESI fondů, které ekonomice poskytují finanční zdroje. Aby členské státy mohly pokračovat v provádění programů ESI fondů a uvolňovat prostředky na projekty, umožňuje tento návrh Komisi zvýšit členským st</w:t>
      </w:r>
      <w:r>
        <w:rPr>
          <w:noProof/>
        </w:rPr>
        <w:t xml:space="preserve">átům platby po dobu, během níž využívají finanční pomoci v rámci ozdravných programů. 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5.2</w:t>
      </w:r>
      <w:r>
        <w:rPr>
          <w:noProof/>
        </w:rPr>
        <w:tab/>
        <w:t>Přidaná hodnota zásahu ze strany Společenství, provázanost návrhu s dalšími finančními nástroji a možná synergie</w:t>
      </w:r>
    </w:p>
    <w:p w:rsidR="007151BF" w:rsidRDefault="00273D63">
      <w:pPr>
        <w:spacing w:after="240"/>
        <w:rPr>
          <w:noProof/>
        </w:rPr>
      </w:pPr>
      <w:r>
        <w:rPr>
          <w:noProof/>
        </w:rPr>
        <w:t>Návrh umožní pokračovat v provádění programů, poskyt</w:t>
      </w:r>
      <w:r>
        <w:rPr>
          <w:noProof/>
        </w:rPr>
        <w:t>ovat finanční prostředky ekonomice a zároveň pomoci snížit zatížení veřejných výdajů.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5.3</w:t>
      </w:r>
      <w:r>
        <w:rPr>
          <w:noProof/>
        </w:rPr>
        <w:tab/>
        <w:t>Cíle, očekávané výsledky a související ukazatele návrhu v kontextu rámce ABM</w:t>
      </w:r>
    </w:p>
    <w:p w:rsidR="007151BF" w:rsidRDefault="00273D63">
      <w:pPr>
        <w:rPr>
          <w:noProof/>
        </w:rPr>
      </w:pPr>
      <w:r>
        <w:rPr>
          <w:noProof/>
        </w:rPr>
        <w:t xml:space="preserve">Cílem je pomoci těm členským státům, které jsou nejvíce postiženy finanční krizí, aby </w:t>
      </w:r>
      <w:r>
        <w:rPr>
          <w:noProof/>
        </w:rPr>
        <w:t>mohly pokračovat v provádění programů v praxi, a tedy poskytnout ekonomice finanční prostředky.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5.4</w:t>
      </w:r>
      <w:r>
        <w:rPr>
          <w:noProof/>
        </w:rPr>
        <w:tab/>
        <w:t>Způsob provádění (orientační)</w:t>
      </w:r>
    </w:p>
    <w:p w:rsidR="007151BF" w:rsidRDefault="00273D63">
      <w:pPr>
        <w:rPr>
          <w:noProof/>
        </w:rPr>
      </w:pPr>
      <w:r>
        <w:rPr>
          <w:noProof/>
        </w:rPr>
        <w:t>Uveďte způsob(y) realizace akce.</w:t>
      </w:r>
    </w:p>
    <w:p w:rsidR="007151BF" w:rsidRDefault="00273D63"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spolu s členskými státy</w:t>
      </w:r>
    </w:p>
    <w:p w:rsidR="007151BF" w:rsidRDefault="00273D63"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MONITOROVÁNÍ A HODNOCENÍ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6.1</w:t>
      </w:r>
      <w:r>
        <w:rPr>
          <w:noProof/>
        </w:rPr>
        <w:tab/>
        <w:t>Monitorovací systém</w:t>
      </w:r>
    </w:p>
    <w:p w:rsidR="007151BF" w:rsidRDefault="00273D63">
      <w:pPr>
        <w:spacing w:after="240"/>
        <w:rPr>
          <w:noProof/>
        </w:rPr>
      </w:pPr>
      <w:r>
        <w:rPr>
          <w:noProof/>
        </w:rPr>
        <w:t>Není zapotřebí, n</w:t>
      </w:r>
      <w:r>
        <w:rPr>
          <w:noProof/>
        </w:rPr>
        <w:t>eboť spadá do již existujícího monitorování evropských strukturálních a investičních fondů.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6.2</w:t>
      </w:r>
      <w:r>
        <w:rPr>
          <w:noProof/>
        </w:rPr>
        <w:tab/>
        <w:t>Hodnocení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6.2.1</w:t>
      </w:r>
      <w:r>
        <w:rPr>
          <w:noProof/>
        </w:rPr>
        <w:tab/>
        <w:t>Hodnocení předem (ex ante)</w:t>
      </w:r>
    </w:p>
    <w:p w:rsidR="007151BF" w:rsidRDefault="00273D63">
      <w:pPr>
        <w:rPr>
          <w:noProof/>
        </w:rPr>
      </w:pPr>
      <w:r>
        <w:rPr>
          <w:noProof/>
        </w:rPr>
        <w:t>Nepoužije se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6.2.2</w:t>
      </w:r>
      <w:r>
        <w:rPr>
          <w:noProof/>
        </w:rPr>
        <w:tab/>
        <w:t>Opatření přijatá po průběžném / následném hodnocení (ex post) (na základě podobných zkušeností z m</w:t>
      </w:r>
      <w:r>
        <w:rPr>
          <w:noProof/>
        </w:rPr>
        <w:t>inulosti)</w:t>
      </w:r>
    </w:p>
    <w:p w:rsidR="007151BF" w:rsidRDefault="00273D63">
      <w:pPr>
        <w:rPr>
          <w:noProof/>
        </w:rPr>
      </w:pPr>
      <w:r>
        <w:rPr>
          <w:noProof/>
        </w:rPr>
        <w:t>Nepoužije se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6.2.3</w:t>
      </w:r>
      <w:r>
        <w:rPr>
          <w:noProof/>
        </w:rPr>
        <w:tab/>
        <w:t>Podmínky a periodicita budoucího hodnocení</w:t>
      </w:r>
    </w:p>
    <w:p w:rsidR="007151BF" w:rsidRDefault="00273D63">
      <w:pPr>
        <w:spacing w:after="240"/>
        <w:rPr>
          <w:noProof/>
        </w:rPr>
      </w:pPr>
      <w:r>
        <w:rPr>
          <w:noProof/>
        </w:rPr>
        <w:t>Nepoužije se</w:t>
      </w:r>
    </w:p>
    <w:p w:rsidR="007151BF" w:rsidRDefault="00273D63">
      <w:pPr>
        <w:pStyle w:val="ManualHeading1"/>
        <w:spacing w:before="240"/>
        <w:ind w:left="851" w:hanging="851"/>
        <w:rPr>
          <w:smallCaps w:val="0"/>
          <w:noProof/>
        </w:rPr>
      </w:pPr>
      <w:r>
        <w:rPr>
          <w:noProof/>
        </w:rPr>
        <w:t>7.</w:t>
      </w:r>
      <w:r>
        <w:rPr>
          <w:noProof/>
        </w:rPr>
        <w:tab/>
        <w:t xml:space="preserve">OPATŘENÍ PROTI PODVODŮM </w:t>
      </w:r>
    </w:p>
    <w:p w:rsidR="007151BF" w:rsidRDefault="00273D63">
      <w:pPr>
        <w:rPr>
          <w:b/>
          <w:caps/>
          <w:noProof/>
        </w:rPr>
      </w:pPr>
      <w:r>
        <w:rPr>
          <w:b/>
          <w:caps/>
          <w:noProof/>
        </w:rPr>
        <w:t>Nepoužije se</w:t>
      </w:r>
    </w:p>
    <w:p w:rsidR="007151BF" w:rsidRDefault="007151BF">
      <w:pPr>
        <w:rPr>
          <w:i/>
          <w:noProof/>
        </w:rPr>
        <w:sectPr w:rsidR="007151B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151BF" w:rsidRDefault="00273D63">
      <w:pPr>
        <w:pStyle w:val="ManualHeading1"/>
        <w:rPr>
          <w:noProof/>
        </w:rPr>
      </w:pPr>
      <w:r>
        <w:rPr>
          <w:noProof/>
        </w:rPr>
        <w:t>8.</w:t>
      </w:r>
      <w:r>
        <w:rPr>
          <w:noProof/>
        </w:rPr>
        <w:tab/>
        <w:t>PODROBNOSTI O ZDROJÍCH</w:t>
      </w:r>
    </w:p>
    <w:p w:rsidR="007151BF" w:rsidRDefault="00273D63">
      <w:pPr>
        <w:pStyle w:val="ManualHeading2"/>
        <w:rPr>
          <w:noProof/>
        </w:rPr>
      </w:pPr>
      <w:r>
        <w:rPr>
          <w:noProof/>
        </w:rPr>
        <w:t>8.1</w:t>
      </w:r>
      <w:r>
        <w:rPr>
          <w:noProof/>
        </w:rPr>
        <w:tab/>
        <w:t>Cíle návrhu z hlediska jejich finanční náročnosti</w:t>
      </w:r>
    </w:p>
    <w:p w:rsidR="007151BF" w:rsidRDefault="00273D63">
      <w:pPr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 xml:space="preserve">Prostředky na závazky </w:t>
      </w:r>
      <w:r>
        <w:rPr>
          <w:i/>
          <w:noProof/>
          <w:sz w:val="20"/>
        </w:rPr>
        <w:t>v milionech EUR (zaokrouhleno na 3 desetinná místa)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780"/>
        <w:gridCol w:w="648"/>
        <w:gridCol w:w="738"/>
        <w:gridCol w:w="777"/>
        <w:gridCol w:w="738"/>
        <w:gridCol w:w="777"/>
        <w:gridCol w:w="738"/>
        <w:gridCol w:w="777"/>
        <w:gridCol w:w="738"/>
        <w:gridCol w:w="777"/>
        <w:gridCol w:w="738"/>
        <w:gridCol w:w="777"/>
        <w:gridCol w:w="738"/>
        <w:gridCol w:w="777"/>
        <w:gridCol w:w="738"/>
        <w:gridCol w:w="777"/>
      </w:tblGrid>
      <w:tr w:rsidR="007151BF">
        <w:trPr>
          <w:trHeight w:val="378"/>
        </w:trPr>
        <w:tc>
          <w:tcPr>
            <w:tcW w:w="0" w:type="auto"/>
            <w:vMerge w:val="restart"/>
          </w:tcPr>
          <w:p w:rsidR="007151BF" w:rsidRDefault="00273D63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(Je třeba uvést názvy cílů, akcí a výstupů)</w:t>
            </w:r>
          </w:p>
        </w:tc>
        <w:tc>
          <w:tcPr>
            <w:tcW w:w="780" w:type="dxa"/>
            <w:vMerge w:val="restart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Druh výstupu</w:t>
            </w:r>
          </w:p>
        </w:tc>
        <w:tc>
          <w:tcPr>
            <w:tcW w:w="537" w:type="dxa"/>
            <w:vMerge w:val="restart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Prům. nákl.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n+1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n+2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n+3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n+4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Rok n+5 a násl.</w:t>
            </w:r>
          </w:p>
        </w:tc>
        <w:tc>
          <w:tcPr>
            <w:tcW w:w="0" w:type="auto"/>
            <w:gridSpan w:val="2"/>
          </w:tcPr>
          <w:p w:rsidR="007151BF" w:rsidRDefault="00273D63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</w:tr>
      <w:tr w:rsidR="007151BF">
        <w:trPr>
          <w:trHeight w:val="482"/>
        </w:trPr>
        <w:tc>
          <w:tcPr>
            <w:tcW w:w="0" w:type="auto"/>
            <w:vMerge/>
          </w:tcPr>
          <w:p w:rsidR="007151BF" w:rsidRDefault="007151BF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80" w:type="dxa"/>
            <w:vMerge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Počet </w:t>
            </w:r>
            <w:r>
              <w:rPr>
                <w:noProof/>
                <w:sz w:val="16"/>
              </w:rPr>
              <w:t>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Počet výstupů</w:t>
            </w:r>
          </w:p>
        </w:tc>
        <w:tc>
          <w:tcPr>
            <w:tcW w:w="0" w:type="auto"/>
          </w:tcPr>
          <w:p w:rsidR="007151BF" w:rsidRDefault="00273D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Náklady celkem</w:t>
            </w:r>
          </w:p>
        </w:tc>
      </w:tr>
      <w:tr w:rsidR="007151BF">
        <w:tc>
          <w:tcPr>
            <w:tcW w:w="0" w:type="auto"/>
          </w:tcPr>
          <w:p w:rsidR="007151BF" w:rsidRDefault="00273D63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OPERAČNÍ CÍL č. 1 Podpora provádění operačních programů</w:t>
            </w:r>
          </w:p>
        </w:tc>
        <w:tc>
          <w:tcPr>
            <w:tcW w:w="780" w:type="dxa"/>
            <w:tcBorders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</w:tr>
      <w:tr w:rsidR="007151BF">
        <w:trPr>
          <w:trHeight w:val="271"/>
        </w:trPr>
        <w:tc>
          <w:tcPr>
            <w:tcW w:w="0" w:type="auto"/>
          </w:tcPr>
          <w:p w:rsidR="007151BF" w:rsidRDefault="007151BF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80" w:type="dxa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7" w:type="dxa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0,000</w:t>
            </w: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0,000</w:t>
            </w: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0,000</w:t>
            </w:r>
          </w:p>
        </w:tc>
      </w:tr>
      <w:tr w:rsidR="007151BF">
        <w:tc>
          <w:tcPr>
            <w:tcW w:w="0" w:type="auto"/>
          </w:tcPr>
          <w:p w:rsidR="007151BF" w:rsidRDefault="00273D6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NÁKLADY</w:t>
            </w:r>
            <w:r>
              <w:rPr>
                <w:b/>
                <w:noProof/>
                <w:sz w:val="16"/>
              </w:rPr>
              <w:t xml:space="preserve"> CELKEM</w:t>
            </w:r>
          </w:p>
        </w:tc>
        <w:tc>
          <w:tcPr>
            <w:tcW w:w="780" w:type="dxa"/>
          </w:tcPr>
          <w:p w:rsidR="007151BF" w:rsidRDefault="007151BF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37" w:type="dxa"/>
          </w:tcPr>
          <w:p w:rsidR="007151BF" w:rsidRDefault="007151BF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0,000</w:t>
            </w: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0,000</w:t>
            </w: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51BF" w:rsidRDefault="007151BF">
            <w:pPr>
              <w:jc w:val="right"/>
              <w:rPr>
                <w:b/>
                <w:noProof/>
                <w:sz w:val="16"/>
                <w:szCs w:val="16"/>
              </w:rPr>
            </w:pPr>
          </w:p>
          <w:p w:rsidR="007151BF" w:rsidRDefault="00273D63">
            <w:pPr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0,000</w:t>
            </w:r>
          </w:p>
        </w:tc>
      </w:tr>
    </w:tbl>
    <w:p w:rsidR="007151BF" w:rsidRDefault="007151BF">
      <w:pPr>
        <w:rPr>
          <w:noProof/>
        </w:rPr>
        <w:sectPr w:rsidR="007151BF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259" w:right="1440" w:bottom="1259" w:left="1440" w:header="709" w:footer="709" w:gutter="0"/>
          <w:cols w:space="708"/>
          <w:docGrid w:linePitch="360"/>
        </w:sectPr>
      </w:pPr>
    </w:p>
    <w:p w:rsidR="007151BF" w:rsidRDefault="00273D63">
      <w:pPr>
        <w:pStyle w:val="ManualHeading2"/>
        <w:rPr>
          <w:noProof/>
        </w:rPr>
      </w:pPr>
      <w:r>
        <w:rPr>
          <w:noProof/>
        </w:rPr>
        <w:t>8.2</w:t>
      </w:r>
      <w:r>
        <w:rPr>
          <w:noProof/>
        </w:rPr>
        <w:tab/>
        <w:t>Administrativní výdaje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8.2.1</w:t>
      </w:r>
      <w:r>
        <w:rPr>
          <w:noProof/>
        </w:rPr>
        <w:tab/>
        <w:t>Počet a druh lidských zdrojů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84"/>
        <w:gridCol w:w="1127"/>
        <w:gridCol w:w="1127"/>
        <w:gridCol w:w="1128"/>
        <w:gridCol w:w="1128"/>
        <w:gridCol w:w="1128"/>
        <w:gridCol w:w="1128"/>
      </w:tblGrid>
      <w:tr w:rsidR="007151BF">
        <w:trPr>
          <w:trHeight w:val="678"/>
        </w:trPr>
        <w:tc>
          <w:tcPr>
            <w:tcW w:w="1040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Pracovní místa</w:t>
            </w:r>
          </w:p>
        </w:tc>
        <w:tc>
          <w:tcPr>
            <w:tcW w:w="884" w:type="dxa"/>
          </w:tcPr>
          <w:p w:rsidR="007151BF" w:rsidRDefault="007151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932" w:type="dxa"/>
            <w:gridSpan w:val="6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Zaměstnanci využití k </w:t>
            </w:r>
            <w:r>
              <w:rPr>
                <w:noProof/>
                <w:sz w:val="20"/>
              </w:rPr>
              <w:t>řízení akce ze stávajících a/nebo dodatečných zdrojů (</w:t>
            </w:r>
            <w:r>
              <w:rPr>
                <w:b/>
                <w:noProof/>
                <w:sz w:val="20"/>
              </w:rPr>
              <w:t>počet pracovních míst / plných pracovních úvazků</w:t>
            </w:r>
            <w:r>
              <w:rPr>
                <w:noProof/>
                <w:sz w:val="20"/>
              </w:rPr>
              <w:t>)</w:t>
            </w:r>
          </w:p>
        </w:tc>
      </w:tr>
      <w:tr w:rsidR="007151BF">
        <w:trPr>
          <w:trHeight w:val="383"/>
        </w:trPr>
        <w:tc>
          <w:tcPr>
            <w:tcW w:w="1040" w:type="dxa"/>
          </w:tcPr>
          <w:p w:rsidR="007151BF" w:rsidRDefault="007151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84" w:type="dxa"/>
          </w:tcPr>
          <w:p w:rsidR="007151BF" w:rsidRDefault="007151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1154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n+1</w:t>
            </w:r>
          </w:p>
        </w:tc>
        <w:tc>
          <w:tcPr>
            <w:tcW w:w="115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n+2</w:t>
            </w:r>
          </w:p>
        </w:tc>
        <w:tc>
          <w:tcPr>
            <w:tcW w:w="115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n+3</w:t>
            </w:r>
          </w:p>
        </w:tc>
        <w:tc>
          <w:tcPr>
            <w:tcW w:w="115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n+4</w:t>
            </w:r>
          </w:p>
        </w:tc>
        <w:tc>
          <w:tcPr>
            <w:tcW w:w="1156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Rok n+5</w:t>
            </w:r>
          </w:p>
        </w:tc>
      </w:tr>
      <w:tr w:rsidR="0071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0" w:type="dxa"/>
            <w:vMerge w:val="restart"/>
          </w:tcPr>
          <w:p w:rsidR="007151BF" w:rsidRDefault="00273D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Úředníci nebo dočasní zaměstnanci (XX 01 01)</w:t>
            </w:r>
          </w:p>
        </w:tc>
        <w:tc>
          <w:tcPr>
            <w:tcW w:w="884" w:type="dxa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A*/AD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40" w:type="dxa"/>
            <w:vMerge/>
          </w:tcPr>
          <w:p w:rsidR="007151BF" w:rsidRDefault="007151B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84" w:type="dxa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B*, C*/AST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c>
          <w:tcPr>
            <w:tcW w:w="1924" w:type="dxa"/>
            <w:gridSpan w:val="2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Zaměstnanci financovaní podle článku XX 01 02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c>
          <w:tcPr>
            <w:tcW w:w="1924" w:type="dxa"/>
            <w:gridSpan w:val="2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Ostatní </w:t>
            </w:r>
            <w:r>
              <w:rPr>
                <w:noProof/>
                <w:sz w:val="20"/>
              </w:rPr>
              <w:t>zaměstnanci financovaní podle článku XX 01 04/05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547"/>
        </w:trPr>
        <w:tc>
          <w:tcPr>
            <w:tcW w:w="1924" w:type="dxa"/>
            <w:gridSpan w:val="2"/>
            <w:vAlign w:val="center"/>
          </w:tcPr>
          <w:p w:rsidR="007151BF" w:rsidRDefault="00273D63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4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156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Style w:val="ManualHeading3"/>
        <w:spacing w:before="360"/>
        <w:ind w:left="851" w:hanging="851"/>
        <w:rPr>
          <w:noProof/>
        </w:rPr>
      </w:pPr>
      <w:r>
        <w:rPr>
          <w:noProof/>
        </w:rPr>
        <w:t>8.2.2</w:t>
      </w:r>
      <w:r>
        <w:rPr>
          <w:noProof/>
        </w:rPr>
        <w:tab/>
        <w:t>Popis úkolů, které vyplývají z akce</w:t>
      </w:r>
    </w:p>
    <w:p w:rsidR="007151BF" w:rsidRDefault="00273D63">
      <w:pPr>
        <w:rPr>
          <w:noProof/>
        </w:rPr>
      </w:pPr>
      <w:r>
        <w:rPr>
          <w:noProof/>
        </w:rPr>
        <w:t>Nepoužije se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8.2.3</w:t>
      </w:r>
      <w:r>
        <w:rPr>
          <w:noProof/>
        </w:rPr>
        <w:tab/>
        <w:t>Původ lidských zdrojů (statutární pracovní místa)</w:t>
      </w:r>
    </w:p>
    <w:p w:rsidR="007151BF" w:rsidRDefault="00273D63">
      <w:pPr>
        <w:rPr>
          <w:i/>
          <w:noProof/>
        </w:rPr>
      </w:pPr>
      <w:r>
        <w:rPr>
          <w:i/>
          <w:noProof/>
        </w:rPr>
        <w:t>(Pokud existuje více zdrojů, uveďte vždy počet pracovních míst z každého zdroje)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Pracovní místa vyčleněná v současnosti na řízení programu, která mají být nahrazena nebo prodloužena.</w:t>
      </w:r>
    </w:p>
    <w:p w:rsidR="007151BF" w:rsidRDefault="00273D63">
      <w:pPr>
        <w:pStyle w:val="Text1"/>
        <w:rPr>
          <w:noProof/>
          <w:sz w:val="20"/>
          <w:szCs w:val="20"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>Pracovní místa předběžně vyčleněná v rámci procesu RPS/PNR na rok n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Pracovní místa, o něž je třeba požádat v příštím procesu RPS/PNR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Pracovní místa, jež mají být obsazena převedením stávajících zdrojů v rámci řídícího útvaru (interní přeobsazování)</w:t>
      </w:r>
    </w:p>
    <w:p w:rsidR="007151BF" w:rsidRDefault="00273D63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</w:t>
      </w:r>
      <w:r>
        <w:rPr>
          <w:noProof/>
        </w:rPr>
        <w:t>racovní místa požadovaná pro rok n, avšak neplánovaná v procesu RPS/PNR dotyčného roku</w:t>
      </w:r>
    </w:p>
    <w:p w:rsidR="007151BF" w:rsidRDefault="007151BF">
      <w:pPr>
        <w:pStyle w:val="Text1"/>
        <w:spacing w:after="0"/>
        <w:rPr>
          <w:noProof/>
        </w:rPr>
        <w:sectPr w:rsidR="007151BF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151BF" w:rsidRDefault="00273D63">
      <w:pPr>
        <w:pStyle w:val="ManualHeading3"/>
        <w:rPr>
          <w:noProof/>
        </w:rPr>
      </w:pPr>
      <w:r>
        <w:rPr>
          <w:noProof/>
        </w:rPr>
        <w:t>8.2.4</w:t>
      </w:r>
      <w:r>
        <w:rPr>
          <w:noProof/>
        </w:rPr>
        <w:tab/>
        <w:t xml:space="preserve">Další administrativní výdaje zahrnuté v referenční částce </w:t>
      </w:r>
      <w:r>
        <w:rPr>
          <w:noProof/>
        </w:rPr>
        <w:t>(XX 01 04/05 – Výdaje na správu a řízení)</w:t>
      </w:r>
    </w:p>
    <w:p w:rsidR="007151BF" w:rsidRDefault="00273D63">
      <w:pPr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v milionech EUR (zaokrouhleno na 3 desetinná místa)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994"/>
        <w:gridCol w:w="994"/>
        <w:gridCol w:w="994"/>
        <w:gridCol w:w="994"/>
        <w:gridCol w:w="994"/>
        <w:gridCol w:w="994"/>
        <w:gridCol w:w="1039"/>
      </w:tblGrid>
      <w:tr w:rsidR="007151BF">
        <w:trPr>
          <w:trHeight w:val="625"/>
        </w:trPr>
        <w:tc>
          <w:tcPr>
            <w:tcW w:w="3688" w:type="dxa"/>
          </w:tcPr>
          <w:p w:rsidR="007151BF" w:rsidRDefault="00273D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Rozpočtová položka</w:t>
            </w:r>
          </w:p>
          <w:p w:rsidR="007151BF" w:rsidRDefault="00273D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(číslo a okruh)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n+1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n+2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n+3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n+4</w:t>
            </w:r>
          </w:p>
        </w:tc>
        <w:tc>
          <w:tcPr>
            <w:tcW w:w="0" w:type="auto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Rok n+5 </w:t>
            </w:r>
          </w:p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násl.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ind w:left="360" w:hanging="360"/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20"/>
              </w:rPr>
              <w:t xml:space="preserve">Technická a administrativní pomoc (včetně souvisejících </w:t>
            </w:r>
            <w:r>
              <w:rPr>
                <w:b/>
                <w:noProof/>
                <w:sz w:val="20"/>
              </w:rPr>
              <w:t>personálních nákladů)</w:t>
            </w:r>
          </w:p>
        </w:tc>
        <w:tc>
          <w:tcPr>
            <w:tcW w:w="701" w:type="dxa"/>
            <w:tcBorders>
              <w:right w:val="nil"/>
            </w:tcBorders>
            <w:shd w:val="pct10" w:color="auto" w:fill="auto"/>
            <w:vAlign w:val="center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pct10" w:color="auto" w:fill="auto"/>
          </w:tcPr>
          <w:p w:rsidR="007151BF" w:rsidRDefault="007151BF">
            <w:pPr>
              <w:rPr>
                <w:noProof/>
                <w:sz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pct10" w:color="auto" w:fill="auto"/>
            <w:vAlign w:val="center"/>
          </w:tcPr>
          <w:p w:rsidR="007151BF" w:rsidRDefault="007151BF">
            <w:pPr>
              <w:rPr>
                <w:noProof/>
                <w:sz w:val="20"/>
              </w:rPr>
            </w:pP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Výkonné agentury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Další technická a administrativní pomoc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pStyle w:val="Text1"/>
              <w:ind w:left="600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 interní (</w:t>
            </w:r>
            <w:r>
              <w:rPr>
                <w:i/>
                <w:noProof/>
                <w:sz w:val="20"/>
                <w:szCs w:val="20"/>
              </w:rPr>
              <w:t>intra muros</w:t>
            </w:r>
            <w:r>
              <w:rPr>
                <w:noProof/>
                <w:sz w:val="20"/>
                <w:szCs w:val="20"/>
              </w:rPr>
              <w:t>)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pStyle w:val="Text1"/>
              <w:ind w:left="600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 externí (</w:t>
            </w:r>
            <w:r>
              <w:rPr>
                <w:i/>
                <w:noProof/>
                <w:sz w:val="20"/>
                <w:szCs w:val="20"/>
              </w:rPr>
              <w:t>extra muros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0"/>
        </w:trPr>
        <w:tc>
          <w:tcPr>
            <w:tcW w:w="3688" w:type="dxa"/>
            <w:vAlign w:val="center"/>
          </w:tcPr>
          <w:p w:rsidR="007151BF" w:rsidRDefault="00273D63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Technická a administrativní pomoc celkem</w:t>
            </w:r>
          </w:p>
        </w:tc>
        <w:tc>
          <w:tcPr>
            <w:tcW w:w="701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Style w:val="ManualHeading3"/>
        <w:spacing w:before="360"/>
        <w:ind w:left="851" w:hanging="851"/>
        <w:rPr>
          <w:noProof/>
        </w:rPr>
      </w:pPr>
      <w:r>
        <w:rPr>
          <w:noProof/>
        </w:rPr>
        <w:t>8.2.5</w:t>
      </w:r>
      <w:r>
        <w:rPr>
          <w:noProof/>
        </w:rPr>
        <w:tab/>
        <w:t>Finanční náklady na lidské zdroje a související náklady nezahrnuté do referenční částky</w:t>
      </w:r>
    </w:p>
    <w:p w:rsidR="007151BF" w:rsidRDefault="00273D63">
      <w:pPr>
        <w:jc w:val="right"/>
        <w:rPr>
          <w:i/>
          <w:noProof/>
          <w:sz w:val="20"/>
          <w:szCs w:val="20"/>
        </w:rPr>
      </w:pPr>
      <w:r>
        <w:rPr>
          <w:i/>
          <w:noProof/>
          <w:sz w:val="20"/>
        </w:rPr>
        <w:t>v milionech EUR (zaokrouhleno</w:t>
      </w:r>
      <w:r>
        <w:rPr>
          <w:i/>
          <w:noProof/>
          <w:sz w:val="20"/>
        </w:rPr>
        <w:t xml:space="preserve"> na 3 desetinná místa)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1193"/>
        <w:gridCol w:w="1193"/>
        <w:gridCol w:w="1194"/>
        <w:gridCol w:w="1194"/>
        <w:gridCol w:w="1194"/>
        <w:gridCol w:w="1194"/>
      </w:tblGrid>
      <w:tr w:rsidR="007151BF">
        <w:trPr>
          <w:trHeight w:val="391"/>
        </w:trPr>
        <w:tc>
          <w:tcPr>
            <w:tcW w:w="0" w:type="auto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Druh lidských zdrojů</w:t>
            </w:r>
          </w:p>
        </w:tc>
        <w:tc>
          <w:tcPr>
            <w:tcW w:w="100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100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n+1</w:t>
            </w:r>
          </w:p>
        </w:tc>
        <w:tc>
          <w:tcPr>
            <w:tcW w:w="100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n+2</w:t>
            </w:r>
          </w:p>
        </w:tc>
        <w:tc>
          <w:tcPr>
            <w:tcW w:w="1009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n+3</w:t>
            </w:r>
          </w:p>
        </w:tc>
        <w:tc>
          <w:tcPr>
            <w:tcW w:w="1008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n+4</w:t>
            </w:r>
          </w:p>
        </w:tc>
        <w:tc>
          <w:tcPr>
            <w:tcW w:w="1009" w:type="dxa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Rok n+5 </w:t>
            </w:r>
          </w:p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násl.</w:t>
            </w:r>
          </w:p>
        </w:tc>
      </w:tr>
      <w:tr w:rsidR="007151BF">
        <w:trPr>
          <w:cantSplit/>
          <w:trHeight w:val="684"/>
        </w:trPr>
        <w:tc>
          <w:tcPr>
            <w:tcW w:w="0" w:type="auto"/>
            <w:vAlign w:val="center"/>
          </w:tcPr>
          <w:p w:rsidR="007151BF" w:rsidRDefault="00273D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Úředníci nebo dočasní zaměstnanci (XX 01 01)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0" w:type="auto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  <w:trHeight w:val="684"/>
        </w:trPr>
        <w:tc>
          <w:tcPr>
            <w:tcW w:w="0" w:type="auto"/>
            <w:vAlign w:val="center"/>
          </w:tcPr>
          <w:p w:rsidR="007151BF" w:rsidRDefault="00273D63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Zaměstnanci financovaní podle </w:t>
            </w:r>
            <w:r>
              <w:rPr>
                <w:noProof/>
                <w:sz w:val="20"/>
              </w:rPr>
              <w:t>článku XX 01 02 (pomocní pracovníci, přidělení národní odborníci, smluvní zaměstnanci atd.)</w:t>
            </w:r>
          </w:p>
          <w:p w:rsidR="007151BF" w:rsidRDefault="00273D63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(upřesněte rozpočtovou položku)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cantSplit/>
          <w:trHeight w:val="303"/>
        </w:trPr>
        <w:tc>
          <w:tcPr>
            <w:tcW w:w="0" w:type="auto"/>
            <w:vAlign w:val="center"/>
          </w:tcPr>
          <w:p w:rsidR="007151BF" w:rsidRDefault="00273D63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Náklady na lidské zdroje a související náklady celkem</w:t>
            </w:r>
            <w:r>
              <w:rPr>
                <w:b/>
                <w:noProof/>
                <w:sz w:val="20"/>
              </w:rPr>
              <w:t xml:space="preserve"> (NEZAHRNUTÉ do referenční částky)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8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1009" w:type="dxa"/>
          </w:tcPr>
          <w:p w:rsidR="007151BF" w:rsidRDefault="00273D63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7151BF">
      <w:pPr>
        <w:rPr>
          <w:noProof/>
        </w:rPr>
        <w:sectPr w:rsidR="007151B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Výpočet – </w:t>
      </w:r>
      <w:r>
        <w:rPr>
          <w:b/>
          <w:i/>
          <w:noProof/>
        </w:rPr>
        <w:t>Úředníci a dočasní zaměstnanci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</w:rPr>
      </w:pPr>
      <w:r>
        <w:rPr>
          <w:i/>
          <w:noProof/>
        </w:rPr>
        <w:t>Případně by měl být uveden odkaz na bod 8.2.1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</w:rPr>
      </w:pPr>
      <w:r>
        <w:rPr>
          <w:noProof/>
        </w:rPr>
        <w:t>nepoužije se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Výpočet – </w:t>
      </w:r>
      <w:r>
        <w:rPr>
          <w:b/>
          <w:i/>
          <w:noProof/>
        </w:rPr>
        <w:t xml:space="preserve">Zaměstnanci </w:t>
      </w:r>
      <w:r>
        <w:rPr>
          <w:b/>
          <w:i/>
          <w:noProof/>
        </w:rPr>
        <w:t>financovaní podle článku XX 01 02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</w:rPr>
      </w:pPr>
      <w:r>
        <w:rPr>
          <w:i/>
          <w:noProof/>
        </w:rPr>
        <w:t>Případně by měl být uveden odkaz na bod 8.2.1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nepoužije se</w:t>
      </w:r>
    </w:p>
    <w:p w:rsidR="007151BF" w:rsidRDefault="00273D63">
      <w:pPr>
        <w:pStyle w:val="ManualHeading3"/>
        <w:rPr>
          <w:noProof/>
        </w:rPr>
      </w:pPr>
      <w:r>
        <w:rPr>
          <w:noProof/>
        </w:rPr>
        <w:t>8.2.6</w:t>
      </w:r>
      <w:r>
        <w:rPr>
          <w:noProof/>
        </w:rPr>
        <w:tab/>
        <w:t>Další administrativní výdaje nezahrnuté do referenční částky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3"/>
        <w:gridCol w:w="703"/>
        <w:gridCol w:w="703"/>
        <w:gridCol w:w="703"/>
        <w:gridCol w:w="703"/>
        <w:gridCol w:w="703"/>
        <w:gridCol w:w="907"/>
      </w:tblGrid>
      <w:tr w:rsidR="007151BF">
        <w:trPr>
          <w:trHeight w:val="420"/>
        </w:trPr>
        <w:tc>
          <w:tcPr>
            <w:tcW w:w="881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151BF" w:rsidRDefault="00273D63">
            <w:pPr>
              <w:jc w:val="right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v milionech EUR (zaokrouhleno na 3 desetinná místa)</w:t>
            </w:r>
          </w:p>
        </w:tc>
      </w:tr>
      <w:tr w:rsidR="007151BF">
        <w:trPr>
          <w:trHeight w:val="420"/>
        </w:trPr>
        <w:tc>
          <w:tcPr>
            <w:tcW w:w="3686" w:type="dxa"/>
            <w:vAlign w:val="center"/>
          </w:tcPr>
          <w:p w:rsidR="007151BF" w:rsidRDefault="007151BF">
            <w:pPr>
              <w:ind w:left="360" w:hanging="360"/>
              <w:rPr>
                <w:b/>
                <w:noProof/>
                <w:sz w:val="20"/>
              </w:rPr>
            </w:pPr>
          </w:p>
        </w:tc>
        <w:tc>
          <w:tcPr>
            <w:tcW w:w="703" w:type="dxa"/>
            <w:vAlign w:val="center"/>
          </w:tcPr>
          <w:p w:rsidR="007151BF" w:rsidRDefault="007151BF">
            <w:pPr>
              <w:jc w:val="center"/>
              <w:rPr>
                <w:noProof/>
                <w:sz w:val="20"/>
              </w:rPr>
            </w:pPr>
          </w:p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n+1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n+2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n+3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 n+4</w:t>
            </w:r>
          </w:p>
        </w:tc>
        <w:tc>
          <w:tcPr>
            <w:tcW w:w="703" w:type="dxa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0"/>
              </w:rPr>
              <w:t xml:space="preserve"> n+5</w:t>
            </w:r>
          </w:p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násl.</w:t>
            </w:r>
          </w:p>
        </w:tc>
        <w:tc>
          <w:tcPr>
            <w:tcW w:w="907" w:type="dxa"/>
            <w:vAlign w:val="center"/>
          </w:tcPr>
          <w:p w:rsidR="007151BF" w:rsidRDefault="00273D6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 w:rsidR="007151BF">
        <w:trPr>
          <w:trHeight w:val="455"/>
        </w:trPr>
        <w:tc>
          <w:tcPr>
            <w:tcW w:w="3686" w:type="dxa"/>
            <w:vAlign w:val="center"/>
          </w:tcPr>
          <w:p w:rsidR="007151BF" w:rsidRDefault="00273D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XX 01 02 11 01 – Služební cesty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54"/>
        </w:trPr>
        <w:tc>
          <w:tcPr>
            <w:tcW w:w="3686" w:type="dxa"/>
            <w:vAlign w:val="center"/>
          </w:tcPr>
          <w:p w:rsidR="007151BF" w:rsidRDefault="00273D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XX 01 02 11 02 – Schůze a konference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</w:t>
            </w:r>
            <w:r>
              <w:rPr>
                <w:noProof/>
                <w:sz w:val="20"/>
              </w:rPr>
              <w:t xml:space="preserve">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54"/>
        </w:trPr>
        <w:tc>
          <w:tcPr>
            <w:tcW w:w="3686" w:type="dxa"/>
            <w:vAlign w:val="center"/>
          </w:tcPr>
          <w:p w:rsidR="007151BF" w:rsidRDefault="00273D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XX 01 02 11 03 – Výbory 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54"/>
        </w:trPr>
        <w:tc>
          <w:tcPr>
            <w:tcW w:w="3686" w:type="dxa"/>
            <w:vAlign w:val="center"/>
          </w:tcPr>
          <w:p w:rsidR="007151BF" w:rsidRDefault="00273D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XX 01 02 11 04 – Studie a konzultace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35"/>
        </w:trPr>
        <w:tc>
          <w:tcPr>
            <w:tcW w:w="3686" w:type="dxa"/>
            <w:vAlign w:val="center"/>
          </w:tcPr>
          <w:p w:rsidR="007151BF" w:rsidRDefault="00273D6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XX 01 02 11 05 – Informační systémy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6"/>
        </w:trPr>
        <w:tc>
          <w:tcPr>
            <w:tcW w:w="3686" w:type="dxa"/>
            <w:vAlign w:val="center"/>
          </w:tcPr>
          <w:p w:rsidR="007151BF" w:rsidRDefault="00273D63">
            <w:pPr>
              <w:ind w:left="360" w:hanging="360"/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2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20"/>
              </w:rPr>
              <w:t>Ostatní výdaje na řízení celkem (XX 01 02 11)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26"/>
        </w:trPr>
        <w:tc>
          <w:tcPr>
            <w:tcW w:w="3686" w:type="dxa"/>
            <w:vAlign w:val="center"/>
          </w:tcPr>
          <w:p w:rsidR="007151BF" w:rsidRDefault="00273D63">
            <w:pPr>
              <w:ind w:left="360" w:hanging="360"/>
              <w:jc w:val="lef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</w:t>
            </w:r>
            <w:r>
              <w:rPr>
                <w:noProof/>
              </w:rPr>
              <w:tab/>
            </w:r>
            <w:r>
              <w:rPr>
                <w:b/>
                <w:noProof/>
                <w:sz w:val="20"/>
                <w:szCs w:val="20"/>
              </w:rPr>
              <w:t>Ostatní výdaje administrativního charakteru</w:t>
            </w:r>
            <w:r>
              <w:rPr>
                <w:noProof/>
                <w:sz w:val="20"/>
                <w:szCs w:val="20"/>
              </w:rPr>
              <w:t xml:space="preserve"> (upřesněte i s odkazem na rozpočtovou položku)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  <w:tr w:rsidR="007151BF">
        <w:trPr>
          <w:trHeight w:val="473"/>
        </w:trPr>
        <w:tc>
          <w:tcPr>
            <w:tcW w:w="3686" w:type="dxa"/>
            <w:vAlign w:val="center"/>
          </w:tcPr>
          <w:p w:rsidR="007151BF" w:rsidRDefault="00273D63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Administrativní výdaje celkem, kromě nákladů</w:t>
            </w:r>
            <w:r>
              <w:rPr>
                <w:b/>
                <w:noProof/>
                <w:sz w:val="20"/>
              </w:rPr>
              <w:t xml:space="preserve"> na lidské zdroje a souvisejících nákladů (NEZAHRNUTÉ do referenční částky)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703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  <w:tc>
          <w:tcPr>
            <w:tcW w:w="907" w:type="dxa"/>
            <w:vAlign w:val="center"/>
          </w:tcPr>
          <w:p w:rsidR="007151BF" w:rsidRDefault="00273D63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nepoužije se</w:t>
            </w:r>
          </w:p>
        </w:tc>
      </w:tr>
    </w:tbl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Výpočet – </w:t>
      </w:r>
      <w:r>
        <w:rPr>
          <w:b/>
          <w:i/>
          <w:noProof/>
        </w:rPr>
        <w:t xml:space="preserve">Další administrativní výdaje </w:t>
      </w:r>
      <w:r>
        <w:rPr>
          <w:b/>
          <w:i/>
          <w:noProof/>
          <w:u w:val="single"/>
        </w:rPr>
        <w:t>nezahrnuté</w:t>
      </w:r>
      <w:r>
        <w:rPr>
          <w:b/>
          <w:i/>
          <w:noProof/>
        </w:rPr>
        <w:t xml:space="preserve"> do referenční částky</w:t>
      </w:r>
    </w:p>
    <w:p w:rsidR="007151BF" w:rsidRDefault="00273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</w:rPr>
        <w:t>nepoužije se</w:t>
      </w:r>
    </w:p>
    <w:sectPr w:rsidR="007151BF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BF" w:rsidRDefault="00273D63">
      <w:pPr>
        <w:spacing w:before="0" w:after="0"/>
      </w:pPr>
      <w:r>
        <w:separator/>
      </w:r>
    </w:p>
  </w:endnote>
  <w:endnote w:type="continuationSeparator" w:id="0">
    <w:p w:rsidR="007151BF" w:rsidRDefault="00273D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273D6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273D6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</w:instrText>
    </w:r>
    <w:r>
      <w:instrText xml:space="preserve">GEFORMAT </w:instrText>
    </w:r>
    <w:r>
      <w:fldChar w:fldCharType="separate"/>
    </w:r>
    <w:r w:rsidR="002F460F">
      <w:rPr>
        <w:noProof/>
      </w:rPr>
      <w:t>14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273D63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F460F">
      <w:rPr>
        <w:noProof/>
      </w:rPr>
      <w:t>15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273D63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BF" w:rsidRDefault="00273D63">
      <w:pPr>
        <w:spacing w:before="0" w:after="0"/>
      </w:pPr>
      <w:r>
        <w:separator/>
      </w:r>
    </w:p>
  </w:footnote>
  <w:footnote w:type="continuationSeparator" w:id="0">
    <w:p w:rsidR="007151BF" w:rsidRDefault="00273D63">
      <w:pPr>
        <w:spacing w:before="0" w:after="0"/>
      </w:pPr>
      <w:r>
        <w:continuationSeparator/>
      </w:r>
    </w:p>
  </w:footnote>
  <w:footnote w:id="1">
    <w:p w:rsidR="007151BF" w:rsidRDefault="00273D63"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Nařízení Evropského parlamentu a Rady (EU) č. 1303/2013 ze dne 17. prosince 2013 o společných ustanoveních o Evropském fondu pro regionální rozvoj, Evropském sociálním fondu, Fondu soudržnosti, Evropském zemědělském fondu pro rozvoj venkova a Evropském n</w:t>
      </w:r>
      <w:r>
        <w:t>ámořním a rybářském fondu, o obecných ustanoveních o Evropském fondu pro regionální rozvoj, Evropském sociálním fondu, Fondu soudržnosti a Evropském námořním a rybářském fondu a o zrušení nařízení Rady (ES) č. 1083/2006 (Úř. věst. L 347, 20.12.2013, s. 320</w:t>
      </w:r>
      <w:r>
        <w:t>).</w:t>
      </w:r>
    </w:p>
  </w:footnote>
  <w:footnote w:id="2">
    <w:p w:rsidR="007151BF" w:rsidRDefault="00273D63">
      <w:pPr>
        <w:pStyle w:val="FootnoteText"/>
        <w:ind w:left="851" w:hanging="851"/>
      </w:pPr>
      <w:r>
        <w:rPr>
          <w:rStyle w:val="FootnoteReference"/>
        </w:rPr>
        <w:footnoteRef/>
      </w:r>
      <w:r>
        <w:tab/>
        <w:t>Viz čl. 120 odst. 3 písm. e) nařízení (EU) č. 1303/2013. Kypr je pro programové období 2014–2020 zařazen mezi rozvinutější regiony. Viz příloha III prováděcího rozhodnutí Komise ze dne 18. února 2014, kterým se stanoví seznam regionů způsobilých pro f</w:t>
      </w:r>
      <w:r>
        <w:t>inancování z Evropského fondu pro regionální rozvoj a Evropského sociálního fondu a seznam členských států způsobilých pro financování z Fondu soudržnosti pro období 2014–2020 (oznámeno pod číslem C(2014) 974, Úř. věst. 50, 20.2.2014, s. 22).</w:t>
      </w:r>
    </w:p>
  </w:footnote>
  <w:footnote w:id="3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Úř. věst. C</w:t>
      </w:r>
      <w:r>
        <w:t xml:space="preserve"> , , s. .</w:t>
      </w:r>
    </w:p>
  </w:footnote>
  <w:footnote w:id="4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Úř. věst. C , , s. .</w:t>
      </w:r>
    </w:p>
  </w:footnote>
  <w:footnote w:id="5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COM(2016) 414 final.</w:t>
      </w:r>
    </w:p>
  </w:footnote>
  <w:footnote w:id="6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Výdaje, které nespadají pod kapitolu xx 01 příslušné hlavy xx.</w:t>
      </w:r>
    </w:p>
  </w:footnote>
  <w:footnote w:id="7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Výdaje v rámci článku xx 01 04 hlavy xx.</w:t>
      </w:r>
    </w:p>
  </w:footnote>
  <w:footnote w:id="8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Výdaje v rámci kapitoly xx 01 kromě článků xx 01 04 nebo xx 01 05.</w:t>
      </w:r>
    </w:p>
  </w:footnote>
  <w:footnote w:id="9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 xml:space="preserve">Viz body 19 a 24 </w:t>
      </w:r>
      <w:r>
        <w:t>interinstitucionální dohody.</w:t>
      </w:r>
    </w:p>
  </w:footnote>
  <w:footnote w:id="10">
    <w:p w:rsidR="007151BF" w:rsidRDefault="00273D63">
      <w:pPr>
        <w:pStyle w:val="FootnoteText"/>
      </w:pPr>
      <w:r>
        <w:rPr>
          <w:rStyle w:val="FootnoteReference"/>
        </w:rPr>
        <w:footnoteRef/>
      </w:r>
      <w:r>
        <w:tab/>
        <w:t>V případě potřeby, např. potrvá-li akce déle než 6 let, je třeba doplnit další sloupce.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BF" w:rsidRDefault="00715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0DABC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6CE8E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01ADD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BA95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1EF3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66EF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889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0CCD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21"/>
  </w:num>
  <w:num w:numId="11">
    <w:abstractNumId w:val="2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17 18:30:1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EBF6DBC326142D9AD0A2A0E9789E789"/>
    <w:docVar w:name="LW_CROSSREFERENCE" w:val="&lt;UNUSED&gt;"/>
    <w:docVar w:name="LW_DocType" w:val="COM"/>
    <w:docVar w:name="LW_EMISSION" w:val="27.6.2016"/>
    <w:docVar w:name="LW_EMISSION_ISODATE" w:val="2016-06-27"/>
    <w:docVar w:name="LW_EMISSION_LOCATION" w:val="BRX"/>
    <w:docVar w:name="LW_EMISSION_PREFIX" w:val="V Bruselu dne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CS"/>
    <w:docVar w:name="LW_MARKING" w:val="&lt;UNUSED&gt;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93"/>
    <w:docVar w:name="LW_REF.II.NEW.CP_YEAR" w:val="2016"/>
    <w:docVar w:name="LW_REF.INST.NEW" w:val="COM"/>
    <w:docVar w:name="LW_REF.INST.NEW_ADOPTED" w:val="final"/>
    <w:docVar w:name="LW_REF.INST.NEW_TEXT" w:val="(2016) 418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kterým se m\u283?ní na\u345?ízení (EU) \u269?. 1303/2013, pokud jde o n\u283?která ustanovení týkající se finan\u269?ního \u345?ízení pro n\u283?které \u269?lenské státy, jejich\u382? finan\u269?ní stabilita je posti\u382?ena \u269?i ohro\u382?ena záva\u382?nými obtí\u382?emi"/>
    <w:docVar w:name="LW_TYPE.DOC.CP" w:val="NA\u344?ÍZENÍ EVROPSKÉHO PARLAMENTU A RADY,"/>
  </w:docVars>
  <w:rsids>
    <w:rsidRoot w:val="007151BF"/>
    <w:rsid w:val="00273D63"/>
    <w:rsid w:val="002F460F"/>
    <w:rsid w:val="007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  <w:szCs w:val="24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szCs w:val="24"/>
    </w:rPr>
  </w:style>
  <w:style w:type="paragraph" w:customStyle="1" w:styleId="stitle-article-norm">
    <w:name w:val="s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">
    <w:name w:val="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istBullet1">
    <w:name w:val="List Bullet 1"/>
    <w:basedOn w:val="Normal"/>
    <w:pPr>
      <w:numPr>
        <w:numId w:val="10"/>
      </w:numPr>
    </w:pPr>
    <w:rPr>
      <w:rFonts w:eastAsia="Times New Roman"/>
      <w:szCs w:val="24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szCs w:val="24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szCs w:val="24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szCs w:val="24"/>
    </w:rPr>
  </w:style>
  <w:style w:type="paragraph" w:customStyle="1" w:styleId="stitle-article-norm">
    <w:name w:val="stitle-article-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">
    <w:name w:val="norm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3"/>
      </w:numPr>
    </w:pPr>
  </w:style>
  <w:style w:type="paragraph" w:customStyle="1" w:styleId="Tiret1">
    <w:name w:val="Tiret 1"/>
    <w:basedOn w:val="Point1"/>
    <w:pPr>
      <w:numPr>
        <w:numId w:val="14"/>
      </w:numPr>
    </w:pPr>
  </w:style>
  <w:style w:type="paragraph" w:customStyle="1" w:styleId="Tiret2">
    <w:name w:val="Tiret 2"/>
    <w:basedOn w:val="Point2"/>
    <w:pPr>
      <w:numPr>
        <w:numId w:val="15"/>
      </w:numPr>
    </w:pPr>
  </w:style>
  <w:style w:type="paragraph" w:customStyle="1" w:styleId="Tiret3">
    <w:name w:val="Tiret 3"/>
    <w:basedOn w:val="Point3"/>
    <w:pPr>
      <w:numPr>
        <w:numId w:val="16"/>
      </w:numPr>
    </w:pPr>
  </w:style>
  <w:style w:type="paragraph" w:customStyle="1" w:styleId="Tiret4">
    <w:name w:val="Tiret 4"/>
    <w:basedOn w:val="Point4"/>
    <w:pPr>
      <w:numPr>
        <w:numId w:val="1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0"/>
      </w:numPr>
    </w:pPr>
  </w:style>
  <w:style w:type="paragraph" w:customStyle="1" w:styleId="Point1number">
    <w:name w:val="Point 1 (number)"/>
    <w:basedOn w:val="Normal"/>
    <w:pPr>
      <w:numPr>
        <w:ilvl w:val="2"/>
        <w:numId w:val="20"/>
      </w:numPr>
    </w:pPr>
  </w:style>
  <w:style w:type="paragraph" w:customStyle="1" w:styleId="Point2number">
    <w:name w:val="Point 2 (number)"/>
    <w:basedOn w:val="Normal"/>
    <w:pPr>
      <w:numPr>
        <w:ilvl w:val="4"/>
        <w:numId w:val="20"/>
      </w:numPr>
    </w:pPr>
  </w:style>
  <w:style w:type="paragraph" w:customStyle="1" w:styleId="Point3number">
    <w:name w:val="Point 3 (number)"/>
    <w:basedOn w:val="Normal"/>
    <w:pPr>
      <w:numPr>
        <w:ilvl w:val="6"/>
        <w:numId w:val="20"/>
      </w:numPr>
    </w:pPr>
  </w:style>
  <w:style w:type="paragraph" w:customStyle="1" w:styleId="Point0letter">
    <w:name w:val="Point 0 (letter)"/>
    <w:basedOn w:val="Normal"/>
    <w:pPr>
      <w:numPr>
        <w:ilvl w:val="1"/>
        <w:numId w:val="20"/>
      </w:numPr>
    </w:pPr>
  </w:style>
  <w:style w:type="paragraph" w:customStyle="1" w:styleId="Point1letter">
    <w:name w:val="Point 1 (letter)"/>
    <w:basedOn w:val="Normal"/>
    <w:pPr>
      <w:numPr>
        <w:ilvl w:val="3"/>
        <w:numId w:val="20"/>
      </w:numPr>
    </w:pPr>
  </w:style>
  <w:style w:type="paragraph" w:customStyle="1" w:styleId="Point2letter">
    <w:name w:val="Point 2 (letter)"/>
    <w:basedOn w:val="Normal"/>
    <w:pPr>
      <w:numPr>
        <w:ilvl w:val="5"/>
        <w:numId w:val="20"/>
      </w:numPr>
    </w:pPr>
  </w:style>
  <w:style w:type="paragraph" w:customStyle="1" w:styleId="Point3letter">
    <w:name w:val="Point 3 (letter)"/>
    <w:basedOn w:val="Normal"/>
    <w:pPr>
      <w:numPr>
        <w:ilvl w:val="7"/>
        <w:numId w:val="20"/>
      </w:numPr>
    </w:pPr>
  </w:style>
  <w:style w:type="paragraph" w:customStyle="1" w:styleId="Point4letter">
    <w:name w:val="Point 4 (letter)"/>
    <w:basedOn w:val="Normal"/>
    <w:pPr>
      <w:numPr>
        <w:ilvl w:val="8"/>
        <w:numId w:val="20"/>
      </w:numPr>
    </w:pPr>
  </w:style>
  <w:style w:type="paragraph" w:customStyle="1" w:styleId="Bullet0">
    <w:name w:val="Bullet 0"/>
    <w:basedOn w:val="Normal"/>
    <w:pPr>
      <w:numPr>
        <w:numId w:val="21"/>
      </w:numPr>
    </w:pPr>
  </w:style>
  <w:style w:type="paragraph" w:customStyle="1" w:styleId="Bullet1">
    <w:name w:val="Bullet 1"/>
    <w:basedOn w:val="Normal"/>
    <w:pPr>
      <w:numPr>
        <w:numId w:val="22"/>
      </w:numPr>
    </w:pPr>
  </w:style>
  <w:style w:type="paragraph" w:customStyle="1" w:styleId="Bullet2">
    <w:name w:val="Bullet 2"/>
    <w:basedOn w:val="Normal"/>
    <w:pPr>
      <w:numPr>
        <w:numId w:val="23"/>
      </w:numPr>
    </w:pPr>
  </w:style>
  <w:style w:type="paragraph" w:customStyle="1" w:styleId="Bullet3">
    <w:name w:val="Bullet 3"/>
    <w:basedOn w:val="Normal"/>
    <w:pPr>
      <w:numPr>
        <w:numId w:val="24"/>
      </w:numPr>
    </w:pPr>
  </w:style>
  <w:style w:type="paragraph" w:customStyle="1" w:styleId="Bullet4">
    <w:name w:val="Bullet 4"/>
    <w:basedOn w:val="Normal"/>
    <w:pPr>
      <w:numPr>
        <w:numId w:val="2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6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1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7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AD1F-AA2C-415D-A916-86F6939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19</Pages>
  <Words>4287</Words>
  <Characters>24221</Characters>
  <Application>Microsoft Office Word</Application>
  <DocSecurity>0</DocSecurity>
  <Lines>1407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20</cp:revision>
  <cp:lastPrinted>2016-05-17T07:36:00Z</cp:lastPrinted>
  <dcterms:created xsi:type="dcterms:W3CDTF">2016-06-17T07:58:00Z</dcterms:created>
  <dcterms:modified xsi:type="dcterms:W3CDTF">2016-06-22T09:50:00Z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