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D37A078B50F417CAFBB1FA62A492923" style="width:451.35pt;height:351.4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SOUVISLOSTI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Stávající vzor povolení k pobytu má svůj původ ve společné akci Rady (97/11/SVV), která byla přijata v roce 1997. V roce 2009 se členské státy domnívaly, že je vzhledem k sofistikovanějším padělkům třeba vypracovat nový návrh povolení k pobytu, a rozhodly se zavést v povoleních k pobytu modernější bezpečnostní prvky, aby zvýšily úroveň jejich zabezpečení.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Nařízení (ES) č. 1030/2002, naposledy pozměněné nařízením (ES) č. 380/2008, stanoví jednotný vzor povolení k pobytu pro státní příslušníky třetích zemí. Vzhledem k zavedení biometrických prvků (zobrazení obličeje a otisků prstů) bylo od povolení k pobytu v podobě štítku upuštěno a od 20. května 2011 jsou povoleny pouze karty. V průběhu jednání týkajících se změny nařízení z roku 2008, která zavedla v povolení k pobytu biometrické identifikátory ve formě bezkontaktních čipů, některé členské státy vyjádřily přání, aby bylo možné mít v povolení kontaktní čip pro účely vnitrostátního použití v rámci služeb elektronické veřejné správy. Toto přání bylo akceptováno, neboť se jednalo o volitelné použití dalších (vnitrostátních) bezpečnostních prvků.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Povolení k pobytu ve formě karty se rovněž používá v případě povolení pro malý pohraniční styk a v případě zvláštních povolení vydávaných podle právních předpisů EU o legální migraci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rPr>
          <w:noProof/>
        </w:rPr>
        <w:t>Jednotnost versus vnitrostátní bezpečnostní prvky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Komise se kloní k názoru, že by povolení k pobytu měla mít stejně jako vízové štítky jednotný vzor. To by znamenalo, že by všechny členské státy měly stejnou kartu, vzor i bezpečnostní prvky. S ohledem na technický vývoj dosažený v některých členských státech v oblasti elektronické veřejné správy však bylo považováno za vhodné umožnit přidání kontaktního čipu pro účely elektronické veřejné správy v případě těch členských států, které si přály poskytnout státním příslušníkům třetích zemí stejné výhody jako svým vlastním občanům, ačkoli by tato možnost vedla k určité „nejednotnosti“ na úrovni formátu.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V této souvislosti byla do přílohy I bodu 2 písm. h) nařízení přidána tato věta: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i/>
          <w:noProof/>
        </w:rPr>
        <w:t>„Členské státy mohou rovněž doplnit další vnitrostátní bezpečnostní prvky, pokud jsou tyto prvky uvedeny v seznamu stanoveném podle čl. 2 odst. 1 písm. f) tohoto nařízení a pokud odpovídají jednotnému vzhledu následujících vzorů a nesnižují účinnost jednotných bezpečnostních prvků.“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Seznam byl následně zaveden rozhodnutím Komise C (2009) 3770 ze dne 20. května 2009. Obsahoval další bezpečnostní prvky, které si členské státy případně mohou zvolit.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Výběr dalších volitelných bezpečnostních prvků, jejich používání a výklad technických podmínek, které s ohledem na technický vývoj již nejsou dostatečně konkrétní, vedly k tomu, že se kvalita a vzhled povolení k pobytu v členských státech značně lišily.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Práce na novém vzoru a bezpečnostních prvcích započaly v roce 2010, kdy byla za účelem práce na tomto tématu zřízena podskupina výboru zřízeného podle článku 6 nařízení (ES) č. 1683/95 (dále jen „výbor zřízený podle článku 6“).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Pro Komisi tento „nový start“ představoval též příležitost prozkoumat možnost zavedení jednotného a harmonizovaného vzoru, a zajistit tak, aby všechna povolení k pobytu poskytovala stejnou nejvyšší možnou úroveň zabezpečení. To by pohraniční stráži a dalším úředníkům umožnilo povolení k pobytu rozpoznat na první pohled.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Nicméně jak je vysvětleno v bodě 3 níže, během konzultací se zúčastněnými stranami vyšlo najevo, že zcela harmonizovaný přístup by pro některé členské státy byl velmi finančně náročný. Kompromisem bylo zachovat seznam nejmodernějších dalších bezpečnostních prvků, kterými by v případě potřeby jednotný vzor mohl být doplněn.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Jedním z hlavních důvodů pro tento přístup je, že technické podmínky přijaté v roce 2009 požadují, aby byla karta vyrobena z plastového materiálu (jako kreditní karty). V technických podmínkách se ale nestanoví, který plastový materiál se má použít. Na trhu existuje řada typů plastových materiálů, přičemž nejvhodnější je polykarbonát. V současné době mají všechny karty vícevrstvou strukturu z různých plastových materiálů, ačkoli nejpoužívanější je polykarbonát. Rovněž se liší technologie výroby konkrétních plastových materiálů v jednotlivých členských státech. Skutečnost, že se k výrobě karet používá řada technik, znamená, že ne všechny navrhované bezpečnostní prvky lze přizpůsobit. Vzhledem k tomu, že by nové povolení k pobytu mělo být nákladově neutrální, nebylo možné přistoupit k plné harmonizaci.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Členské státy, které si přejí nadále využívat volitelné bezpečnostní prvky, byly připraveny tyto prvky omezit na minimum a v technických podmínkách specifikovat technologie, jež mají být použity, jejich umístění i velikost. Tyto technické podmínky by byly předmětem budoucího prováděcího rozhodnutí Komise.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Právním základem je článek 79 Smlouvy o fungování Evropské unie, a zejména jeho odst. 2 písm. a), neboť stanoví „podmínky vstupu a pobytu a pravidla, podle nichž členské státy udělují dlouhodobá víza a vydávají dlouhodobá povolení k pobytu...“ (bývalý čl. 63 bod 3 písm. a) Smlouvy o založení Evropského společenství).</w:t>
      </w:r>
    </w:p>
    <w:p>
      <w:pPr>
        <w:pStyle w:val="ManualHeading2"/>
        <w:rPr>
          <w:noProof/>
        </w:rPr>
      </w:pPr>
      <w:r>
        <w:rPr>
          <w:noProof/>
        </w:rPr>
        <w:t>Proč není navrhováno přepracované znění?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V zásadě platí, že třetí podstatná změna by měla být důvodem pro přepracované znění.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V tomto případě však existují argumenty pro odchylku od tohoto pravidla. Hlavní změny se budou týkat prováděcího rozhodnutí Komise, které stanoví utajované technické podmínky pro výrobu nového povolení k pobytu. Normativní část navrhovaného nařízení není podstatně měněna, nahrazuje se pouze jeho příloha, kde je vyobrazen nový vzor. Je potřeba rychlý legislativní postup, neboť podvodníci mají náskok a povolení k pobytu musí být více chráněno proti padělání. Kromě toho má toto nařízení na rozdíl od jiných právních předpisů v oblasti vízové politiky, jako je vízový kodex, pro širší veřejnost jen omezený význam.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Subsidiarita (v případě nevýlučné pravomoci)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Podle čl. 79 odst. 2 písm. a) SFEU mají Evropský parlament a Rada pravomoc přijímat opatření týkající se „pravidel, podle nichž členské státy udělují dlouhodobá víza a vydávají dlouhodobá povolení k pobytu“.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Současný návrh zůstává v mezích těchto ustanovení Smlouvy a nemění oblast působnosti právních předpisů Unie.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Cílem tohoto návrhu je zabezpečit a dále zlepšit jednotný vzor povolení k pobytu s ohledem na to, jak se vyvíjejí podvodné aktivity. Tohoto cíle nemůže být uspokojivě dosaženo na úrovni členských států, jelikož vzor musí být jednotný a jelikož změnu stávajícího aktu Unie může provést pouze Unie.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Podle čl. 5 odst. 4 Smlouvy o Evropské unii nesmí obsah ani forma činnosti Unie překročit rámec toho, co je nezbytné pro dosažení cílů Smluv. Forma zvolená pro toto opatření musí umožnit, aby návrh dosáhl daného cíle a opatření mohlo být provedeno co nejúčinněji.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Jednotný vzor povolení k pobytu byl zaveden nařízením, aby bylo zajištěno, že bude ve všech státech používán stejně. Tento návrh mění uvedené nařízení, a musí mít proto podobu nařízení. Pokud jde o obsah, tato iniciativa stávající nařízení pouze vylepšuje. Její snahou je dosáhnout cíle politiky, jímž je boj proti nelegální migraci znesnadněním padělání nebo pozměňování dokladů. Návrh je tedy v souladu se zásadou proporcionality.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KONZULTACÍ SE ZÚČASTNĚNÝMI STRANAMI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Konzultace se zúčastněnými stranami a sběr a využití odborných znalostí</w:t>
      </w:r>
    </w:p>
    <w:p>
      <w:pPr>
        <w:rPr>
          <w:noProof/>
        </w:rPr>
      </w:pPr>
      <w:r>
        <w:rPr>
          <w:noProof/>
        </w:rPr>
        <w:t>Podskupina výboru zřízeného podle článku 6 vypracovala dokument obsahující veškerá požadovaná zlepšení, která by v novém vzoru mohla být zahrnuta. Členské státy se dohodly, že kontaktují své dodavatele a že předloží návrhy. Poté si zvolily upřednostňovaný návrh a společné bezpečnostní prvky, které měly být zahrnuty v novém povolení k pobytu. Jedním z požadavků bylo, aby s novým vzorem nebyly spojeny finanční náklady.</w:t>
      </w:r>
    </w:p>
    <w:p>
      <w:pPr>
        <w:rPr>
          <w:noProof/>
        </w:rPr>
      </w:pPr>
      <w:r>
        <w:rPr>
          <w:noProof/>
        </w:rPr>
        <w:t>Během diskusí vyšlo najevo, že členské státy nejsou nakloněny myšlence zcela harmonizovaného dokumentu. Trvaly na tom, aby byl zachován seznam „aktualizovaných“ dalších bezpečnostních prvků, kterými by v případě potřeby jednotný vzor mohl být doplněn. Vzhledem k tomu, že mají členské státy zavedeny rozdílné výrobní postupy, nepřály si měnit systémy, ale upřednostňovaly zachování společné „jednotné“ karty s vyšší úrovní zabezpečení a aktualizovaného seznamu volitelných (vnitrostátních) bezpečnostních prvků. Pod pojem jednotnost byl zahrnován pouze jednotný vzor a některé standardní bezpečnostní prvky, které mohly být doplněny volitelnými vnitrostátními bezpečnostními prvky.</w:t>
      </w:r>
    </w:p>
    <w:p>
      <w:pPr>
        <w:rPr>
          <w:noProof/>
        </w:rPr>
      </w:pPr>
      <w:r>
        <w:rPr>
          <w:noProof/>
        </w:rPr>
        <w:t>Vzhledem k nákladům, které by některým členským státům vznikly, bylo přijato kompromisní řešení. To spočívalo v zachování možnosti dalších volitelných bezpečnostních prvků, avšak s omezením jejich seznamu na nezbytné minimum podle dopadu bezpečnostních prvků na jednotnost vzhledu, a to zejména na přední straně. Navíc by se zpřísnily technické podmínky (použitý materiál a technologie, umístění a velikost prvků apod.), aby již nebyl možný jejich odlišný výklad. Tím by se harmonizoval vzhled karty, což je důležité z důvodů jednotnosti a jejího rozpoznávání pohraniční stráží.</w:t>
      </w:r>
    </w:p>
    <w:p>
      <w:pPr>
        <w:rPr>
          <w:noProof/>
        </w:rPr>
      </w:pPr>
      <w:r>
        <w:rPr>
          <w:noProof/>
        </w:rPr>
        <w:t>Komplexní seznam volitelných bezpečnostních prvků bude obsažen v příloze obsahující technické podmínky přijaté Komisí podle článku 7 tohoto nařízení. Obrázek v příloze tohoto nařízení se tudíž může v případě zadní strany povolení k pobytu lehce lišit podle toho, jaké volitelné prvky jednotlivé členské státy používají.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Navrhovaná změna nemá pro rozpočet EU žádné důsledky.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Podrobné vysvětlení konkrétních ustanovení návrhu</w:t>
      </w:r>
    </w:p>
    <w:p>
      <w:pPr>
        <w:pStyle w:val="ManualHeading2"/>
        <w:rPr>
          <w:noProof/>
        </w:rPr>
      </w:pPr>
      <w:r>
        <w:rPr>
          <w:noProof/>
        </w:rPr>
        <w:t>Jednotlivá ustanovení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Pozměňující nařízení vychází z čl. 79 odst. 2 písm. a) SFEU, který nahradil čl. 63 bod 3 písm. a) SEU.</w:t>
      </w:r>
    </w:p>
    <w:p>
      <w:pPr>
        <w:pStyle w:val="ManualHeading4"/>
        <w:rPr>
          <w:noProof/>
        </w:rPr>
      </w:pPr>
      <w:r>
        <w:rPr>
          <w:noProof/>
        </w:rPr>
        <w:t>1. Účast Dánska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V souladu s články 1 a 2 Protokolu (č. 22) o postavení Dánska, připojeného ke Smlouvě o Evropské unii a ke Smlouvě o fungování Evropské unie, se Dánsko neúčastní přijímání tohoto nařízení a toto nařízení pro ně není závazné ani použitelné. Vzhledem k tomu, že toto nařízení navazuje na schengenské </w:t>
      </w:r>
      <w:r>
        <w:rPr>
          <w:i/>
          <w:noProof/>
        </w:rPr>
        <w:t>acquis</w:t>
      </w:r>
      <w:r>
        <w:rPr>
          <w:noProof/>
        </w:rPr>
        <w:t>, musí se Dánsko v souladu s článkem 4 uvedeného protokolu do šesti měsíců ode dne přijetí tohoto nařízení Radou rozhodnout, zda je provede ve svém vnitrostátním právu.</w:t>
      </w:r>
    </w:p>
    <w:p>
      <w:pPr>
        <w:pStyle w:val="ManualHeading4"/>
        <w:rPr>
          <w:noProof/>
        </w:rPr>
      </w:pPr>
      <w:r>
        <w:rPr>
          <w:noProof/>
        </w:rPr>
        <w:t>2. Účast Spojeného království a Irska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V souladu s čl. 4a odst. 1 Protokolu (č. 21) o postavení Spojeného království a Irska s ohledem na prostor svobody, bezpečnosti a práva, připojeného ke Smlouvám, se ustanovení uvedeného protokolu vztahují rovněž na opatření navržená nebo přijatá podle části třetí hlavy V SFEU, která mění stávající opatření, jímž jsou vázány. Spojené království a Irsko jsou vázány nařízením (ES) č. 1030/2002, které by tento návrh měl změnit. Z toho vyplývá, že se použijí ustanovení Protokolu (č. 21). To znamená, že Spojené království a Irsko se přijímání navrhovaného nařízení neúčastní (článek 1 Protokolu (č. 21)). Podle článku 3 Protokolu (č. 21) však mohou do tří měsíců po předložení návrhu Radě oznámit, že se přijímání a používání tohoto opatření chtějí účastnit.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Použije se rovněž článek 4 Protokolu (č. 21), který umožňuje Spojenému království a Irsku přijmout opatření kdykoli poté, co je přijme Evropský parlament a Rada.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S cílem zohlednit rozhodnutí, které má Spojené království a Irsko učinit do tří měsíců po přijetí návrhu, je v hranatých závorkách uvedeno šest možných znění bodů odůvodnění. Z nich Evropský parlament a Rada vyberou na základě rozhodnutí Spojeného království a Irska učiněného do tří měsíců po přijetí návrhu jedno nebo dvě vhodná znění.</w:t>
      </w:r>
    </w:p>
    <w:p>
      <w:pPr>
        <w:pStyle w:val="ManualHeading4"/>
        <w:rPr>
          <w:noProof/>
        </w:rPr>
      </w:pPr>
      <w:r>
        <w:rPr>
          <w:noProof/>
        </w:rPr>
        <w:t xml:space="preserve">3. Rozvoj schengenského </w:t>
      </w:r>
      <w:r>
        <w:rPr>
          <w:i/>
          <w:noProof/>
        </w:rPr>
        <w:t>acquis</w:t>
      </w:r>
      <w:r>
        <w:rPr>
          <w:noProof/>
        </w:rPr>
        <w:t xml:space="preserve"> ve smyslu dohod o přidružení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Nařízení (ES) č. 1030/2002 je součástí schengenského </w:t>
      </w:r>
      <w:r>
        <w:rPr>
          <w:i/>
          <w:noProof/>
        </w:rPr>
        <w:t>acquis</w:t>
      </w:r>
      <w:r>
        <w:rPr>
          <w:noProof/>
        </w:rPr>
        <w:t>, které se na základě příslušných dohod o přidružení vztahuje na Norsko, Island, Švýcarsko a Lichtenštejnsko. Navrhovaná změna by proto měla platit i pro tyto přidružené země.</w:t>
      </w:r>
    </w:p>
    <w:p>
      <w:pPr>
        <w:pStyle w:val="ManualHeading4"/>
        <w:rPr>
          <w:noProof/>
        </w:rPr>
      </w:pPr>
      <w:r>
        <w:rPr>
          <w:noProof/>
        </w:rPr>
        <w:t>4. Normativní část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Článek 1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Jeho ustanovení stanoví, že příloha nařízení (ES) č. 1030/2002 má být nahrazena novou přílohou obsahující vyobrazení a obecný popis nového povolení k pobytu.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Článek 2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Aby bylo možné využít stávající zásoby, je stanoveno přechodné období v délce šesti měsíců, během něhož mohou členské státy používat stará povolení k pobytu.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Článek 3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Obsahuje nejprve běžná ustanovení týkající se vstupu nařízení v platnost.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Dále stanoví, že členské státy musí nová povolení k pobytu zavést devět měsíců poté, co Komise přijme prováděcí rozhodnutí týkající se dalších technických podmínek.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2016/0198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NAŘÍZENÍ EVROPSKÉHO PARLAMENTU A RADY,</w:t>
      </w:r>
    </w:p>
    <w:p>
      <w:pPr>
        <w:pStyle w:val="Titreobjet"/>
        <w:rPr>
          <w:noProof/>
        </w:rPr>
      </w:pPr>
      <w:r>
        <w:rPr>
          <w:noProof/>
        </w:rPr>
        <w:t>kterým se mění nařízení Rady (ES) č. 1030/2002, kterým se stanoví jednotný vzor povolení k pobytu pro státní příslušníky třetích zemí</w:t>
      </w:r>
    </w:p>
    <w:p>
      <w:pPr>
        <w:pStyle w:val="Institutionquiagit"/>
        <w:rPr>
          <w:noProof/>
        </w:rPr>
      </w:pPr>
      <w:r>
        <w:rPr>
          <w:noProof/>
        </w:rPr>
        <w:t>EVROPSKÝ PARLAMENT A 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 zejména na čl. 79 odst. 2 písm. a)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po postoupení návrhu legislativního aktu vnitrostátním parlamentům,</w:t>
      </w:r>
    </w:p>
    <w:p>
      <w:pPr>
        <w:rPr>
          <w:noProof/>
        </w:rPr>
      </w:pPr>
      <w:r>
        <w:rPr>
          <w:noProof/>
        </w:rPr>
        <w:t>v souladu s řádným legislativním postupem,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Nařízení Rady (ES) č. 1030/2002 stanoví jednotný vzor povolení k pobytu pro státní příslušníky třetích zemí.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Vzhledem k závažným případům padělání a podvodů musí být současný jednotný vzor povolení k pobytu, který se používá již od roku 1997, považován za nedostatečně zabezpečený.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Měl by se proto zavést nový společný vzor povolení k pobytu pro státní příslušníky třetích zemí, obsahující více moderních bezpečnostních prvků, aby se tak zvýšila úroveň zabezpečení povolení k pobytu a zabránilo se jejich padělání.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V souladu s články 1 a 2 Protokolu o postavení Dánska, připojeného ke Smlouvě o Evropské unii a ke Smlouvě o fungování Evropské unie, se Dánsko neúčastní přijímání tohoto nařízení a toto nařízení pro ně není závazné ani použitelné. Vzhledem k tomu, že toto nařízení navazuje na schengenské </w:t>
      </w:r>
      <w:r>
        <w:rPr>
          <w:i/>
          <w:noProof/>
        </w:rPr>
        <w:t>acquis</w:t>
      </w:r>
      <w:r>
        <w:rPr>
          <w:noProof/>
        </w:rPr>
        <w:t>, rozhodne se Dánsko v souladu s článkem 4 uvedeného protokolu do šesti měsíců ode dne přijetí tohoto nařízení Evropským parlamentem a Radou, zda je provede ve svém vnitrostátním právu.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[V souladu s články 1 a 2 a čl. 4a odst. 1 Protokolu (č. 21) o postavení Spojeného království a Irska s ohledem na prostor svobody, bezpečnosti a práva, připojeného ke Smlouvě o Evropské unii a Smlouvě o fungování Evropské unie, a aniž je dotčen článek 4 uvedeného protokolu, se tyto členské státy neúčastní přijímání tohoto nařízení, a proto pro ně není závazné ani použitelné.]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[V souladu s články 1 a 2 a čl. 4a odst. 1 Protokolu (č. 21) o postavení Spojeného království a Irska s ohledem na prostor svobody, bezpečnosti a práva, připojeného ke Smlouvě o Evropské unii a Smlouvě o fungování Evropské unie, a aniž je dotčen článek 4 uvedeného protokolu, se Spojené království neúčastní přijímání tohoto nařízení, a proto pro ně není závazné ani použitelné.]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[V souladu s články 1 a 2 a čl. 4a odst. 1 Protokolu (č. 21) o postavení Spojeného království a Irska s ohledem na prostor svobody, bezpečnosti a práva, připojeného ke Smlouvě o Evropské unii a ke Smlouvě o fungování Evropské unie, a aniž je dotčen článek 4 uvedeného protokolu, se Irsko neúčastní přijímání tohoto nařízení, a proto pro ně není závazné ani použitelné.]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[V souladu s článkem 3 a čl. 4a odst. 1 Protokolu (č. 21) o postavení Spojeného království a Irska s ohledem na prostor svobody, bezpečnosti a práva, připojeného ke Smlouvě o Evropské unii a ke Smlouvě o fungování Evropské unie, oznámily tyto členské státy své přání účastnit se přijímání a používání tohoto nařízení.]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[V souladu s článkem 3 a čl. 4a odst. 1 Protokolu (č. 21) o postavení Spojeného království a Irska s ohledem na prostor svobody, bezpečnosti a práva, připojeného ke Smlouvě o Evropské unii a ke Smlouvě o fungování Evropské unie, oznámilo Spojené království (dopisem ze dne …) své přání účastnit se přijímání a používání tohoto nařízení.]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[V souladu s článkem 3 a čl. 4a odst. 1 Protokolu (č. 21) o postavení Spojeného království a Irska s ohledem na prostor svobody, bezpečnosti a práva, připojeného ke Smlouvě o Evropské unii a ke Smlouvě o fungování Evropské unie, oznámilo Irsko (dopisem ze dne …) své přání účastnit se přijímání a používání tohoto nařízení.]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Toto nařízení představuje akt navazující na schengenské </w:t>
      </w:r>
      <w:r>
        <w:rPr>
          <w:i/>
          <w:noProof/>
        </w:rPr>
        <w:t>acquis</w:t>
      </w:r>
      <w:r>
        <w:rPr>
          <w:noProof/>
        </w:rPr>
        <w:t xml:space="preserve"> nebo s ním jinak související ve smyslu čl. 3 odst. 1 aktu o přistoupení z roku 2003, čl. 4 odst. 1 aktu o přistoupení z roku 2005 a čl. 4 odst. 1 aktu o přistoupení z roku 2011.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 xml:space="preserve">Pokud jde o Island a Norsko, rozvíjí toto nařízení ta ustanovení schengenského </w:t>
      </w:r>
      <w:r>
        <w:rPr>
          <w:i/>
          <w:noProof/>
        </w:rPr>
        <w:t>acquis</w:t>
      </w:r>
      <w:r>
        <w:rPr>
          <w:noProof/>
        </w:rPr>
        <w:t xml:space="preserve"> ve smyslu dohody uzavřené mezi Radou Evropské unie a Islandskou republikou a Norským královstvím o přidružení těchto dvou států k provádění, uplatňování a rozvoji schengenského </w:t>
      </w:r>
      <w:r>
        <w:rPr>
          <w:i/>
          <w:noProof/>
        </w:rPr>
        <w:t>acquis</w:t>
      </w:r>
      <w:r>
        <w:rPr>
          <w:rStyle w:val="FootnoteReference"/>
          <w:noProof/>
        </w:rPr>
        <w:footnoteReference w:id="2"/>
      </w:r>
      <w:r>
        <w:rPr>
          <w:noProof/>
        </w:rPr>
        <w:t>, která spadají do oblasti uvedené v čl. 1 bodě B rozhodnutí Rady 1999/437/ES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Pokud jde o Švýcarsko, rozvíjí toto nařízení ta ustanovení schengenského </w:t>
      </w:r>
      <w:r>
        <w:rPr>
          <w:i/>
          <w:noProof/>
        </w:rPr>
        <w:t>acquis</w:t>
      </w:r>
      <w:r>
        <w:rPr>
          <w:noProof/>
        </w:rPr>
        <w:t xml:space="preserve"> ve smyslu Dohody mezi Evropskou unií, Evropským společenstvím a Švýcarskou konfederací o přidružení Švýcarské konfederace k provádění, uplatňování a rozvoji schengenského </w:t>
      </w:r>
      <w:r>
        <w:rPr>
          <w:i/>
          <w:noProof/>
        </w:rPr>
        <w:t>acquis</w:t>
      </w:r>
      <w:r>
        <w:rPr>
          <w:rStyle w:val="FootnoteReference"/>
          <w:noProof/>
        </w:rPr>
        <w:footnoteReference w:id="4"/>
      </w:r>
      <w:r>
        <w:rPr>
          <w:noProof/>
        </w:rPr>
        <w:t>, která spadají do oblasti uvedené v čl. 1 bodu B rozhodnutí Rady 1999/437/ES ve spojení s článkem 3 rozhodnutí Rady 2008/146/ES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Pokud jde o Lichtenštejnsko, rozvíjí toto nařízení ta ustanovení schengenského </w:t>
      </w:r>
      <w:r>
        <w:rPr>
          <w:i/>
          <w:noProof/>
        </w:rPr>
        <w:t>acquis</w:t>
      </w:r>
      <w:r>
        <w:rPr>
          <w:noProof/>
        </w:rPr>
        <w:t xml:space="preserve"> ve smyslu Protokolu podepsaného mezi Evropskou unií, Evropským společenstvím, Švýcarskou konfederací a Lichtenštejnským knížectvím o přistoupení Lichtenštejnského knížectví k Dohodě mezi Evropskou unií, Evropským společenstvím a Švýcarskou konfederací o přidružení Švýcarské konfederace k provádění, uplatňování a rozvoji schengenského </w:t>
      </w:r>
      <w:r>
        <w:rPr>
          <w:i/>
          <w:noProof/>
        </w:rPr>
        <w:t>acquis</w:t>
      </w:r>
      <w:r>
        <w:rPr>
          <w:rStyle w:val="FootnoteReference"/>
          <w:i/>
          <w:noProof/>
        </w:rPr>
        <w:footnoteReference w:id="6"/>
      </w:r>
      <w:r>
        <w:rPr>
          <w:noProof/>
        </w:rPr>
        <w:t>, která spadají do oblasti uvedené v čl. 1 bodě B rozhodnutí Rady 1999/437/ES ve spojení s článkem 3 rozhodnutí Rady 2011/350/EU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Aby bylo možné využít stávající zásoby povolení k pobytu, mělo by se stanovit přechodné období v délce šesti měsíců, během něhož mohou členské státy stále používat stará povolení k pobytu.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Nařízení (ES) č. 1030/2002 by proto mělo být odpovídajícím způsobem změněno,</w:t>
      </w:r>
    </w:p>
    <w:p>
      <w:pPr>
        <w:pStyle w:val="Formuledadoption"/>
        <w:rPr>
          <w:noProof/>
        </w:rPr>
      </w:pPr>
      <w:r>
        <w:rPr>
          <w:noProof/>
        </w:rPr>
        <w:t>PŘIJALY TOTO NAŘÍZENÍ: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rFonts w:eastAsia="Calibri"/>
          <w:noProof/>
        </w:rPr>
      </w:pPr>
      <w:r>
        <w:rPr>
          <w:noProof/>
        </w:rPr>
        <w:t>Příloha nařízení (ES) č. 1030/2002 se nahrazuje zněním uvedeným v příloze tohoto nařízení.</w:t>
      </w:r>
    </w:p>
    <w:p>
      <w:pPr>
        <w:keepNext/>
        <w:spacing w:before="360"/>
        <w:jc w:val="center"/>
        <w:rPr>
          <w:rFonts w:eastAsia="Calibri"/>
          <w:i/>
          <w:noProof/>
        </w:rPr>
      </w:pPr>
      <w:r>
        <w:rPr>
          <w:i/>
          <w:noProof/>
        </w:rPr>
        <w:t>Článek 2</w:t>
      </w:r>
    </w:p>
    <w:p>
      <w:pPr>
        <w:rPr>
          <w:rFonts w:eastAsia="Calibri"/>
          <w:noProof/>
        </w:rPr>
      </w:pPr>
      <w:r>
        <w:rPr>
          <w:noProof/>
        </w:rPr>
        <w:t>Povolení k pobytu odpovídající specifikacím dle přílohy nařízení (ES) č. 1030/2002, které jsou použitelné do data uvedeného v čl. 3 druhém pododstavci, mohou být použita pro povolení k pobytu udělená do šesti měsíců po tomto datu.</w:t>
      </w:r>
    </w:p>
    <w:p>
      <w:pPr>
        <w:keepNext/>
        <w:spacing w:before="360"/>
        <w:jc w:val="center"/>
        <w:rPr>
          <w:rFonts w:eastAsia="Calibri"/>
          <w:i/>
          <w:noProof/>
        </w:rPr>
      </w:pPr>
      <w:r>
        <w:rPr>
          <w:i/>
          <w:noProof/>
        </w:rPr>
        <w:t>Článek 3</w:t>
      </w:r>
    </w:p>
    <w:p>
      <w:pPr>
        <w:rPr>
          <w:rFonts w:eastAsia="Calibri"/>
          <w:noProof/>
        </w:rPr>
      </w:pPr>
      <w:r>
        <w:rPr>
          <w:noProof/>
        </w:rPr>
        <w:t xml:space="preserve">Toto nařízení vstupuje v platnost dvacátým dnem po vyhlášení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>
      <w:pPr>
        <w:rPr>
          <w:rFonts w:eastAsia="Calibri"/>
          <w:noProof/>
        </w:rPr>
      </w:pPr>
      <w:r>
        <w:rPr>
          <w:noProof/>
        </w:rPr>
        <w:t>Použije se po uplynutí dvanácti měsíců od přijetí dalších technických podmínek uvedených v článku 2 nařízení (ES) č. 1030/2002.</w:t>
      </w:r>
    </w:p>
    <w:p>
      <w:pPr>
        <w:rPr>
          <w:noProof/>
        </w:rPr>
      </w:pPr>
      <w:r>
        <w:rPr>
          <w:noProof/>
        </w:rPr>
        <w:t>Toto nařízení je závazné v celém rozsahu a přímo použitelné v členských státech v souladu se Smlouvami.</w:t>
      </w:r>
    </w:p>
    <w:p>
      <w:pPr>
        <w:pStyle w:val="Fait"/>
        <w:rPr>
          <w:noProof/>
        </w:rPr>
      </w:pPr>
      <w:r>
        <w:rPr>
          <w:noProof/>
        </w:rP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>Za Evropský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předseda / předsedkyně</w:t>
      </w:r>
      <w:r>
        <w:rPr>
          <w:noProof/>
        </w:rPr>
        <w:tab/>
        <w:t>předseda / 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(ES) č. 1931/2006 ze dne 20. prosince 2006, kterým se stanoví pravidla pro malý pohraniční styk na vnějších pozemních hranicích členských států a mění Schengenská úmluva (Úř. věst. L 405, 30.12.2006, s. 1); směrnice Rady 2003/86/ES ze dne 22. září 2003 o právu na sloučení rodiny (Úř. věst. L 251, 3.10.2003, s. 12); směrnice Rady 2003/109/ES ze dne 25. listopadu 2003 o právním postavení státních příslušníků třetích zemí, kteří jsou dlouhodobě pobývajícími rezidenty (Úř. věst. L 16, 23.1.2004, s. 44); směrnice Rady 2004/114/ES ze dne 13. prosince 2004 o podmínkách přijímání státních příslušníků třetích zemí za účelem studia, výměnných pobytů žáků, neplacené odborné přípravy nebo dobrovolné služby (Úř. věst. L 375, 23.12.2004, s. 12); směrnice Rady 2005/71/ES ze dne 12. října 2005 o zvláštním postupu pro přijímání státních příslušníků třetích zemí pro účely vědeckého výzkumu (Úř. věst. L 289, 3.11.2005, s. 15); směrnice Rady 2009/50/ES ze dne 25. května 2009 o podmínkách pro vstup a pobyt státních příslušníků třetích zemí za účelem výkonu zaměstnání vyžadujícího vysokou kvalifikaci (Úř. věst. L 155, 18.6.2009, s. 17); směrnice Evropského parlamentu a Rady 2011/98/EU ze dne 13. prosince 2011 o jednotném postupu vyřizování žádostí o jednotné povolení k pobytu a práci na území členského státu pro státní příslušníky třetích zemí a o společném souboru práv pracovníků ze třetích zemí oprávněně pobývajících v některém členském státě (Úř. věst. L 343, 23.12.2011, s. 1); směrnice Evropského parlamentu a Rady 2014/36/EU ze dne 26. února 2014 o podmínkách vstupu a pobytu státních příslušníků třetích zemí za účelem zaměstnání jako sezónní pracovníci (Úř. věst. L 94, 28.3.2014, s. 375); směrnice Evropského parlamentu a Rady 2014/66/EU ze dne 15. května 2014 o podmínkách vstupu a pobytu státních příslušníků třetích zemí na základě převedení v rámci společnosti (Úř. věst. L 157, 27.5.2014, s. 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Úř. věst. L 176, 10.7.1999, s. 36.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Rozhodnutí Rady 1999/437/ES ze dne 17. května 1999 o některých opatřeních pro uplatňování dohody uzavřené mezi Radou Evropské unie a Islandskou republikou a Norským královstvím o přidružení těchto dvou států k provádění, uplatňování a rozvoji schengenského </w:t>
      </w:r>
      <w:r>
        <w:rPr>
          <w:i/>
        </w:rPr>
        <w:t>acquis</w:t>
      </w:r>
      <w:r>
        <w:t xml:space="preserve"> (Úř. věst. L 176, 10.7.1999, s. 31).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Úř. věst. L 53, 27.2.2008, s. 52.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Rozhodnutí Rady 2008/903/ES ze dne 27. listopadu 2008 o plném uplatňování ustanovení schengenského </w:t>
      </w:r>
      <w:r>
        <w:rPr>
          <w:i/>
        </w:rPr>
        <w:t>acquis</w:t>
      </w:r>
      <w:r>
        <w:t xml:space="preserve"> ve Švýcarské konfederaci (Úř. věst. L 53, 27.2.2008, s. 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Úř. věst. L 160, 18.6.2011, s. 21.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Rozhodnutí Rady 2011/350/EU ze dne 7. března 2011 o uzavření Protokolu mezi Evropskou unií, Evropským společenstvím, Švýcarskou konfederací a Lichtenštejnským knížectvím o přistoupení Lichtenštejnského knížectví k dohodě mezi Evropskou unií, Evropským společenstvím a Švýcarskou konfederací o přidružení Švýcarské konfederace k provádění, uplatňování a rozvoji schengenského </w:t>
      </w:r>
      <w:r>
        <w:rPr>
          <w:i/>
        </w:rPr>
        <w:t>acquis</w:t>
      </w:r>
      <w:r>
        <w:t xml:space="preserve"> jménem Evropské unie, pokud jde o zrušení kontrol na vnitřních hranicích a pohyb osob (Úř. věst. L 160, 18.6.2011, s. 19).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33CE1D55"/>
    <w:multiLevelType w:val="hybridMultilevel"/>
    <w:tmpl w:val="02DE5778"/>
    <w:name w:val="LegalNumParListTemplate3"/>
    <w:lvl w:ilvl="0" w:tplc="D49AC38C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8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26"/>
  </w:num>
  <w:num w:numId="9">
    <w:abstractNumId w:val="28"/>
  </w:num>
  <w:num w:numId="10">
    <w:abstractNumId w:val="27"/>
  </w:num>
  <w:num w:numId="11">
    <w:abstractNumId w:val="30"/>
  </w:num>
  <w:num w:numId="12">
    <w:abstractNumId w:val="7"/>
  </w:num>
  <w:num w:numId="13">
    <w:abstractNumId w:val="14"/>
  </w:num>
  <w:num w:numId="14">
    <w:abstractNumId w:val="18"/>
  </w:num>
  <w:num w:numId="15">
    <w:abstractNumId w:val="16"/>
  </w:num>
  <w:num w:numId="16">
    <w:abstractNumId w:val="2"/>
  </w:num>
  <w:num w:numId="17">
    <w:abstractNumId w:val="19"/>
  </w:num>
  <w:num w:numId="18">
    <w:abstractNumId w:val="11"/>
  </w:num>
  <w:num w:numId="19">
    <w:abstractNumId w:val="31"/>
    <w:lvlOverride w:ilvl="0">
      <w:startOverride w:val="1"/>
    </w:lvlOverride>
  </w:num>
  <w:num w:numId="20">
    <w:abstractNumId w:val="24"/>
  </w:num>
  <w:num w:numId="21">
    <w:abstractNumId w:val="13"/>
  </w:num>
  <w:num w:numId="22">
    <w:abstractNumId w:val="29"/>
  </w:num>
  <w:num w:numId="23">
    <w:abstractNumId w:val="10"/>
  </w:num>
  <w:num w:numId="24">
    <w:abstractNumId w:val="15"/>
  </w:num>
  <w:num w:numId="25">
    <w:abstractNumId w:val="6"/>
  </w:num>
  <w:num w:numId="26">
    <w:abstractNumId w:val="25"/>
  </w:num>
  <w:num w:numId="27">
    <w:abstractNumId w:val="5"/>
  </w:num>
  <w:num w:numId="28">
    <w:abstractNumId w:val="17"/>
  </w:num>
  <w:num w:numId="29">
    <w:abstractNumId w:val="22"/>
  </w:num>
  <w:num w:numId="30">
    <w:abstractNumId w:val="23"/>
  </w:num>
  <w:num w:numId="31">
    <w:abstractNumId w:val="9"/>
  </w:num>
  <w:num w:numId="32">
    <w:abstractNumId w:val="21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6-23 12:27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ED37A078B50F417CAFBB1FA62A492923"/>
    <w:docVar w:name="LW_CROSSREFERENCE" w:val="&lt;UNUSED&gt;"/>
    <w:docVar w:name="LW_DocType" w:val="COM"/>
    <w:docVar w:name="LW_EMISSION" w:val="30.6.2016"/>
    <w:docVar w:name="LW_EMISSION_ISODATE" w:val="2016-06-30"/>
    <w:docVar w:name="LW_EMISSION_LOCATION" w:val="BRX"/>
    <w:docVar w:name="LW_EMISSION_PREFIX" w:val="V Bruselu dne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CS"/>
    <w:docVar w:name="LW_MARKING" w:val="&lt;UNUSED&gt;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98"/>
    <w:docVar w:name="LW_REF.II.NEW.CP_YEAR" w:val="2016"/>
    <w:docVar w:name="LW_REF.INST.NEW" w:val="COM"/>
    <w:docVar w:name="LW_REF.INST.NEW_ADOPTED" w:val="final"/>
    <w:docVar w:name="LW_REF.INST.NEW_TEXT" w:val="(2016) 434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erým se m\u283?ní na\u345?ízení Rady (ES) \u269?. 1030/2002, kterým se stanoví jednotný vzor povolení k pobytu pro státní p\u345?íslu\u353?níky t\u345?etích zemí"/>
    <w:docVar w:name="LW_TYPE.DOC.CP" w:val="NA\u344?ÍZENÍ EVROPSKÉHO PARLAMENTU A RADY,"/>
    <w:docVar w:name="Stamp" w:val="\\dossiers.dgt.cec.eu.int\dossiers\HOME\HOME-2016-00541\HOME-2016-00541-00-00-EN-REV-00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Cs w:val="20"/>
    </w:rPr>
  </w:style>
  <w:style w:type="character" w:customStyle="1" w:styleId="CommentTextChar">
    <w:name w:val="Comment Text Char"/>
    <w:basedOn w:val="DefaultParagraphFont"/>
    <w:semiHidden/>
    <w:rPr>
      <w:rFonts w:ascii="Times New Roman" w:hAnsi="Times New Roman" w:cs="Times New Roman"/>
      <w:sz w:val="20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ListBullet2">
    <w:name w:val="List Bullet 2"/>
    <w:basedOn w:val="Text2"/>
    <w:pPr>
      <w:numPr>
        <w:numId w:val="5"/>
      </w:numPr>
    </w:pPr>
  </w:style>
  <w:style w:type="paragraph" w:styleId="ListBullet3">
    <w:name w:val="List Bullet 3"/>
    <w:basedOn w:val="Text3"/>
    <w:pPr>
      <w:numPr>
        <w:numId w:val="6"/>
      </w:numPr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</w:pPr>
  </w:style>
  <w:style w:type="paragraph" w:styleId="ListNumber3">
    <w:name w:val="List Number 3"/>
    <w:basedOn w:val="Text3"/>
    <w:pPr>
      <w:numPr>
        <w:numId w:val="16"/>
      </w:numPr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Pr>
      <w:rFonts w:ascii="Arial" w:hAnsi="Arial"/>
      <w:b/>
    </w:r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</w:pPr>
  </w:style>
  <w:style w:type="paragraph" w:customStyle="1" w:styleId="ListDash3">
    <w:name w:val="List Dash 3"/>
    <w:basedOn w:val="Text3"/>
    <w:pPr>
      <w:numPr>
        <w:numId w:val="11"/>
      </w:numPr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0"/>
      </w:numPr>
    </w:pPr>
  </w:style>
  <w:style w:type="paragraph" w:customStyle="1" w:styleId="Tiret1">
    <w:name w:val="Tiret 1"/>
    <w:basedOn w:val="Point1"/>
    <w:pPr>
      <w:numPr>
        <w:numId w:val="21"/>
      </w:numPr>
    </w:pPr>
  </w:style>
  <w:style w:type="paragraph" w:customStyle="1" w:styleId="Tiret2">
    <w:name w:val="Tiret 2"/>
    <w:basedOn w:val="Point2"/>
    <w:pPr>
      <w:numPr>
        <w:numId w:val="22"/>
      </w:numPr>
    </w:pPr>
  </w:style>
  <w:style w:type="paragraph" w:customStyle="1" w:styleId="Tiret3">
    <w:name w:val="Tiret 3"/>
    <w:basedOn w:val="Point3"/>
    <w:pPr>
      <w:numPr>
        <w:numId w:val="23"/>
      </w:numPr>
    </w:pPr>
  </w:style>
  <w:style w:type="paragraph" w:customStyle="1" w:styleId="Tiret4">
    <w:name w:val="Tiret 4"/>
    <w:basedOn w:val="Point4"/>
    <w:pPr>
      <w:numPr>
        <w:numId w:val="2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7"/>
      </w:numPr>
    </w:pPr>
  </w:style>
  <w:style w:type="paragraph" w:customStyle="1" w:styleId="Point1number">
    <w:name w:val="Point 1 (number)"/>
    <w:basedOn w:val="Normal"/>
    <w:pPr>
      <w:numPr>
        <w:ilvl w:val="2"/>
        <w:numId w:val="27"/>
      </w:numPr>
    </w:pPr>
  </w:style>
  <w:style w:type="paragraph" w:customStyle="1" w:styleId="Point2number">
    <w:name w:val="Point 2 (number)"/>
    <w:basedOn w:val="Normal"/>
    <w:pPr>
      <w:numPr>
        <w:ilvl w:val="4"/>
        <w:numId w:val="27"/>
      </w:numPr>
    </w:pPr>
  </w:style>
  <w:style w:type="paragraph" w:customStyle="1" w:styleId="Point3number">
    <w:name w:val="Point 3 (number)"/>
    <w:basedOn w:val="Normal"/>
    <w:pPr>
      <w:numPr>
        <w:ilvl w:val="6"/>
        <w:numId w:val="27"/>
      </w:numPr>
    </w:pPr>
  </w:style>
  <w:style w:type="paragraph" w:customStyle="1" w:styleId="Point0letter">
    <w:name w:val="Point 0 (letter)"/>
    <w:basedOn w:val="Normal"/>
    <w:pPr>
      <w:numPr>
        <w:ilvl w:val="1"/>
        <w:numId w:val="27"/>
      </w:numPr>
    </w:pPr>
  </w:style>
  <w:style w:type="paragraph" w:customStyle="1" w:styleId="Point1letter">
    <w:name w:val="Point 1 (letter)"/>
    <w:basedOn w:val="Normal"/>
    <w:pPr>
      <w:numPr>
        <w:ilvl w:val="3"/>
        <w:numId w:val="27"/>
      </w:numPr>
    </w:pPr>
  </w:style>
  <w:style w:type="paragraph" w:customStyle="1" w:styleId="Point2letter">
    <w:name w:val="Point 2 (letter)"/>
    <w:basedOn w:val="Normal"/>
    <w:pPr>
      <w:numPr>
        <w:ilvl w:val="5"/>
        <w:numId w:val="27"/>
      </w:numPr>
    </w:pPr>
  </w:style>
  <w:style w:type="paragraph" w:customStyle="1" w:styleId="Point3letter">
    <w:name w:val="Point 3 (letter)"/>
    <w:basedOn w:val="Normal"/>
    <w:pPr>
      <w:numPr>
        <w:ilvl w:val="7"/>
        <w:numId w:val="27"/>
      </w:numPr>
    </w:pPr>
  </w:style>
  <w:style w:type="paragraph" w:customStyle="1" w:styleId="Point4letter">
    <w:name w:val="Point 4 (letter)"/>
    <w:basedOn w:val="Normal"/>
    <w:pPr>
      <w:numPr>
        <w:ilvl w:val="8"/>
        <w:numId w:val="27"/>
      </w:numPr>
    </w:pPr>
  </w:style>
  <w:style w:type="paragraph" w:customStyle="1" w:styleId="Bullet0">
    <w:name w:val="Bullet 0"/>
    <w:basedOn w:val="Normal"/>
    <w:pPr>
      <w:numPr>
        <w:numId w:val="28"/>
      </w:numPr>
    </w:pPr>
  </w:style>
  <w:style w:type="paragraph" w:customStyle="1" w:styleId="Bullet1">
    <w:name w:val="Bullet 1"/>
    <w:basedOn w:val="Normal"/>
    <w:pPr>
      <w:numPr>
        <w:numId w:val="29"/>
      </w:numPr>
    </w:pPr>
  </w:style>
  <w:style w:type="paragraph" w:customStyle="1" w:styleId="Bullet2">
    <w:name w:val="Bullet 2"/>
    <w:basedOn w:val="Normal"/>
    <w:pPr>
      <w:numPr>
        <w:numId w:val="30"/>
      </w:numPr>
    </w:pPr>
  </w:style>
  <w:style w:type="paragraph" w:customStyle="1" w:styleId="Bullet3">
    <w:name w:val="Bullet 3"/>
    <w:basedOn w:val="Normal"/>
    <w:pPr>
      <w:numPr>
        <w:numId w:val="31"/>
      </w:numPr>
    </w:pPr>
  </w:style>
  <w:style w:type="paragraph" w:customStyle="1" w:styleId="Bullet4">
    <w:name w:val="Bullet 4"/>
    <w:basedOn w:val="Normal"/>
    <w:pPr>
      <w:numPr>
        <w:numId w:val="3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Cs w:val="20"/>
    </w:rPr>
  </w:style>
  <w:style w:type="character" w:customStyle="1" w:styleId="CommentTextChar">
    <w:name w:val="Comment Text Char"/>
    <w:basedOn w:val="DefaultParagraphFont"/>
    <w:semiHidden/>
    <w:rPr>
      <w:rFonts w:ascii="Times New Roman" w:hAnsi="Times New Roman" w:cs="Times New Roman"/>
      <w:sz w:val="20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ListBullet2">
    <w:name w:val="List Bullet 2"/>
    <w:basedOn w:val="Text2"/>
    <w:pPr>
      <w:numPr>
        <w:numId w:val="5"/>
      </w:numPr>
    </w:pPr>
  </w:style>
  <w:style w:type="paragraph" w:styleId="ListBullet3">
    <w:name w:val="List Bullet 3"/>
    <w:basedOn w:val="Text3"/>
    <w:pPr>
      <w:numPr>
        <w:numId w:val="6"/>
      </w:numPr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</w:pPr>
  </w:style>
  <w:style w:type="paragraph" w:styleId="ListNumber3">
    <w:name w:val="List Number 3"/>
    <w:basedOn w:val="Text3"/>
    <w:pPr>
      <w:numPr>
        <w:numId w:val="16"/>
      </w:numPr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Pr>
      <w:rFonts w:ascii="Arial" w:hAnsi="Arial"/>
      <w:b/>
    </w:r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</w:pPr>
  </w:style>
  <w:style w:type="paragraph" w:customStyle="1" w:styleId="ListDash3">
    <w:name w:val="List Dash 3"/>
    <w:basedOn w:val="Text3"/>
    <w:pPr>
      <w:numPr>
        <w:numId w:val="11"/>
      </w:numPr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0"/>
      </w:numPr>
    </w:pPr>
  </w:style>
  <w:style w:type="paragraph" w:customStyle="1" w:styleId="Tiret1">
    <w:name w:val="Tiret 1"/>
    <w:basedOn w:val="Point1"/>
    <w:pPr>
      <w:numPr>
        <w:numId w:val="21"/>
      </w:numPr>
    </w:pPr>
  </w:style>
  <w:style w:type="paragraph" w:customStyle="1" w:styleId="Tiret2">
    <w:name w:val="Tiret 2"/>
    <w:basedOn w:val="Point2"/>
    <w:pPr>
      <w:numPr>
        <w:numId w:val="22"/>
      </w:numPr>
    </w:pPr>
  </w:style>
  <w:style w:type="paragraph" w:customStyle="1" w:styleId="Tiret3">
    <w:name w:val="Tiret 3"/>
    <w:basedOn w:val="Point3"/>
    <w:pPr>
      <w:numPr>
        <w:numId w:val="23"/>
      </w:numPr>
    </w:pPr>
  </w:style>
  <w:style w:type="paragraph" w:customStyle="1" w:styleId="Tiret4">
    <w:name w:val="Tiret 4"/>
    <w:basedOn w:val="Point4"/>
    <w:pPr>
      <w:numPr>
        <w:numId w:val="2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7"/>
      </w:numPr>
    </w:pPr>
  </w:style>
  <w:style w:type="paragraph" w:customStyle="1" w:styleId="Point1number">
    <w:name w:val="Point 1 (number)"/>
    <w:basedOn w:val="Normal"/>
    <w:pPr>
      <w:numPr>
        <w:ilvl w:val="2"/>
        <w:numId w:val="27"/>
      </w:numPr>
    </w:pPr>
  </w:style>
  <w:style w:type="paragraph" w:customStyle="1" w:styleId="Point2number">
    <w:name w:val="Point 2 (number)"/>
    <w:basedOn w:val="Normal"/>
    <w:pPr>
      <w:numPr>
        <w:ilvl w:val="4"/>
        <w:numId w:val="27"/>
      </w:numPr>
    </w:pPr>
  </w:style>
  <w:style w:type="paragraph" w:customStyle="1" w:styleId="Point3number">
    <w:name w:val="Point 3 (number)"/>
    <w:basedOn w:val="Normal"/>
    <w:pPr>
      <w:numPr>
        <w:ilvl w:val="6"/>
        <w:numId w:val="27"/>
      </w:numPr>
    </w:pPr>
  </w:style>
  <w:style w:type="paragraph" w:customStyle="1" w:styleId="Point0letter">
    <w:name w:val="Point 0 (letter)"/>
    <w:basedOn w:val="Normal"/>
    <w:pPr>
      <w:numPr>
        <w:ilvl w:val="1"/>
        <w:numId w:val="27"/>
      </w:numPr>
    </w:pPr>
  </w:style>
  <w:style w:type="paragraph" w:customStyle="1" w:styleId="Point1letter">
    <w:name w:val="Point 1 (letter)"/>
    <w:basedOn w:val="Normal"/>
    <w:pPr>
      <w:numPr>
        <w:ilvl w:val="3"/>
        <w:numId w:val="27"/>
      </w:numPr>
    </w:pPr>
  </w:style>
  <w:style w:type="paragraph" w:customStyle="1" w:styleId="Point2letter">
    <w:name w:val="Point 2 (letter)"/>
    <w:basedOn w:val="Normal"/>
    <w:pPr>
      <w:numPr>
        <w:ilvl w:val="5"/>
        <w:numId w:val="27"/>
      </w:numPr>
    </w:pPr>
  </w:style>
  <w:style w:type="paragraph" w:customStyle="1" w:styleId="Point3letter">
    <w:name w:val="Point 3 (letter)"/>
    <w:basedOn w:val="Normal"/>
    <w:pPr>
      <w:numPr>
        <w:ilvl w:val="7"/>
        <w:numId w:val="27"/>
      </w:numPr>
    </w:pPr>
  </w:style>
  <w:style w:type="paragraph" w:customStyle="1" w:styleId="Point4letter">
    <w:name w:val="Point 4 (letter)"/>
    <w:basedOn w:val="Normal"/>
    <w:pPr>
      <w:numPr>
        <w:ilvl w:val="8"/>
        <w:numId w:val="27"/>
      </w:numPr>
    </w:pPr>
  </w:style>
  <w:style w:type="paragraph" w:customStyle="1" w:styleId="Bullet0">
    <w:name w:val="Bullet 0"/>
    <w:basedOn w:val="Normal"/>
    <w:pPr>
      <w:numPr>
        <w:numId w:val="28"/>
      </w:numPr>
    </w:pPr>
  </w:style>
  <w:style w:type="paragraph" w:customStyle="1" w:styleId="Bullet1">
    <w:name w:val="Bullet 1"/>
    <w:basedOn w:val="Normal"/>
    <w:pPr>
      <w:numPr>
        <w:numId w:val="29"/>
      </w:numPr>
    </w:pPr>
  </w:style>
  <w:style w:type="paragraph" w:customStyle="1" w:styleId="Bullet2">
    <w:name w:val="Bullet 2"/>
    <w:basedOn w:val="Normal"/>
    <w:pPr>
      <w:numPr>
        <w:numId w:val="30"/>
      </w:numPr>
    </w:pPr>
  </w:style>
  <w:style w:type="paragraph" w:customStyle="1" w:styleId="Bullet3">
    <w:name w:val="Bullet 3"/>
    <w:basedOn w:val="Normal"/>
    <w:pPr>
      <w:numPr>
        <w:numId w:val="31"/>
      </w:numPr>
    </w:pPr>
  </w:style>
  <w:style w:type="paragraph" w:customStyle="1" w:styleId="Bullet4">
    <w:name w:val="Bullet 4"/>
    <w:basedOn w:val="Normal"/>
    <w:pPr>
      <w:numPr>
        <w:numId w:val="3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D850-C9DF-4ADA-8C7A-0043394C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9</Pages>
  <Words>2819</Words>
  <Characters>15817</Characters>
  <Application>Microsoft Office Word</Application>
  <DocSecurity>0</DocSecurity>
  <Lines>268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2016-05-24T09:27:00Z</cp:lastPrinted>
  <dcterms:created xsi:type="dcterms:W3CDTF">2016-06-16T07:21:00Z</dcterms:created>
  <dcterms:modified xsi:type="dcterms:W3CDTF">2016-06-23T10:27:00Z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Formatting">
    <vt:lpwstr>4.1</vt:lpwstr>
  </property>
  <property fmtid="{D5CDD505-2E9C-101B-9397-08002B2CF9AE}" pid="11" name="DQCStatus">
    <vt:lpwstr>Green (DQC version 03)</vt:lpwstr>
  </property>
</Properties>
</file>