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06620CEC1F748F6B6F1F8D64DDDEED6" style="width:450.35pt;height:293.4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jc w:val="both"/>
        <w:rPr>
          <w:noProof/>
        </w:rPr>
      </w:pPr>
      <w:bookmarkStart w:id="1" w:name="_GoBack"/>
      <w:bookmarkEnd w:id="1"/>
      <w:r>
        <w:rPr>
          <w:noProof/>
        </w:rPr>
        <w:lastRenderedPageBreak/>
        <w:t>Som en del av de omedelbara åtgärderna för att bistå medlemsstater som står inför ett starkt migrationstryck vid EU:s yttre gränser fastställdes i den europeiska migrationsagendan som antogs i maj 2015 en ny akutstrategi med mottagningscentrum (så kallade hotspots) på utsatta områden</w:t>
      </w:r>
      <w:r>
        <w:rPr>
          <w:rStyle w:val="FootnoteReference"/>
          <w:noProof/>
        </w:rPr>
        <w:footnoteReference w:id="1"/>
      </w:r>
      <w:r>
        <w:rPr>
          <w:noProof/>
        </w:rPr>
        <w:t xml:space="preserve">. Grekland och Italien är de två medlemsstater där den här strategin för närvarande genomförs. </w:t>
      </w:r>
    </w:p>
    <w:p>
      <w:pPr>
        <w:jc w:val="both"/>
        <w:rPr>
          <w:noProof/>
        </w:rPr>
      </w:pPr>
    </w:p>
    <w:p>
      <w:pPr>
        <w:jc w:val="both"/>
        <w:rPr>
          <w:noProof/>
        </w:rPr>
      </w:pPr>
      <w:r>
        <w:rPr>
          <w:noProof/>
        </w:rPr>
        <w:t>Enligt denna strategi ska alla berörda EU-byråer och experter från medlemsstaterna samarbeta på fältet med nationella och lokala myndigheter för att hjälpa de berörda medlemsstaterna att uppfylla sina skyldigheter enligt EU:s lagstiftning. Fem nyckelområden har fastställts: att upprätta fungerande mottagningscentrum, genomföra omplaceringsbeslut, säkerställa effektivt återsändande av migranter som inte har rätt till internationellt skydd, förbättra gränsförvaltningen och skapa tillräcklig mottagningskapacitet.</w:t>
      </w:r>
    </w:p>
    <w:p>
      <w:pPr>
        <w:jc w:val="both"/>
        <w:rPr>
          <w:noProof/>
        </w:rPr>
      </w:pPr>
    </w:p>
    <w:p>
      <w:pPr>
        <w:jc w:val="both"/>
        <w:rPr>
          <w:noProof/>
        </w:rPr>
      </w:pPr>
      <w:r>
        <w:rPr>
          <w:noProof/>
        </w:rPr>
        <w:t>I september 2015 tog kommissionen nästa steg genom att presentera vilka åtgärder EU prioriterar för att hantera flyktingkrisen</w:t>
      </w:r>
      <w:r>
        <w:rPr>
          <w:rStyle w:val="FootnoteReference"/>
          <w:noProof/>
        </w:rPr>
        <w:footnoteReference w:id="2"/>
      </w:r>
      <w:r>
        <w:rPr>
          <w:noProof/>
        </w:rPr>
        <w:t>. Till dessa hör fullständig driftssättning av omplaceringssystemet och stödgrupperna för migrationshantering i utsatta områden. Kommissionen följde upp detta med en lägesrapport i oktober</w:t>
      </w:r>
      <w:r>
        <w:rPr>
          <w:rStyle w:val="FootnoteReference"/>
          <w:noProof/>
        </w:rPr>
        <w:footnoteReference w:id="3"/>
      </w:r>
      <w:r>
        <w:rPr>
          <w:noProof/>
        </w:rPr>
        <w:t xml:space="preserve">. Rapporten innehöll närmare upplysningar om vilka steg som behövde tas härnäst på viktiga områden, inklusive specifika åtgärder som Grekland ska genomföra. </w:t>
      </w:r>
    </w:p>
    <w:p>
      <w:pPr>
        <w:jc w:val="both"/>
        <w:rPr>
          <w:noProof/>
        </w:rPr>
      </w:pPr>
    </w:p>
    <w:p>
      <w:pPr>
        <w:jc w:val="both"/>
        <w:rPr>
          <w:noProof/>
        </w:rPr>
      </w:pPr>
      <w:r>
        <w:rPr>
          <w:noProof/>
        </w:rPr>
        <w:t>I december 2015 utfärdade kommissionen en detaljerad rapport om genomförandet av mottagningscentrum i Grekland med avseende på de fem områden som nämns ovan</w:t>
      </w:r>
      <w:r>
        <w:rPr>
          <w:rStyle w:val="FootnoteReference"/>
          <w:noProof/>
        </w:rPr>
        <w:footnoteReference w:id="4"/>
      </w:r>
      <w:r>
        <w:rPr>
          <w:noProof/>
        </w:rPr>
        <w:t>. Den 10 februari lade kommissionen fram en rapport om det övergripande genomförandet av de prioriterade åtgärderna</w:t>
      </w:r>
      <w:r>
        <w:rPr>
          <w:rStyle w:val="FootnoteReference"/>
          <w:noProof/>
        </w:rPr>
        <w:footnoteReference w:id="5"/>
      </w:r>
      <w:r>
        <w:rPr>
          <w:noProof/>
        </w:rPr>
        <w:t>, och bifogade en lägesrapport om Grekland.</w:t>
      </w:r>
    </w:p>
    <w:p>
      <w:pPr>
        <w:jc w:val="both"/>
        <w:rPr>
          <w:noProof/>
        </w:rPr>
      </w:pPr>
    </w:p>
    <w:p>
      <w:pPr>
        <w:jc w:val="both"/>
        <w:rPr>
          <w:noProof/>
        </w:rPr>
      </w:pPr>
      <w:r>
        <w:rPr>
          <w:noProof/>
        </w:rPr>
        <w:t>För att hjälpa Grekland att genomföra de prioriterade åtgärderna har EU solidariskt stött grekerna genom betydande ekonomiskt stöd till landet, särskilt under de senaste månaderna. Utöver Greklands tilldelning av anslag för de nationella programmen inom ramen för asyl-, migrations- och integrationsfonden (Amif) och fonden för inre säkerhet, som uppgår till 509 miljoner euro för perioden 2014–2020, har även omfattande katastrofbistånd på cirka 150 miljoner euro från både Amif och fonden för inre säkerhet beviljats under det senaste året. Inom ramen för de nationella programmen har förfinansiering utbetalats på omkring 70 miljoner euro (33 miljoner euro för 2014–2015 och 37 miljoner euro för 2016), och som katastrofbistånd har förfinansiering på ca 70,3 miljoner euro ställts till förfogande.</w:t>
      </w:r>
    </w:p>
    <w:p>
      <w:pPr>
        <w:jc w:val="both"/>
        <w:rPr>
          <w:noProof/>
        </w:rPr>
      </w:pPr>
    </w:p>
    <w:p>
      <w:pPr>
        <w:jc w:val="both"/>
        <w:rPr>
          <w:noProof/>
        </w:rPr>
      </w:pPr>
      <w:r>
        <w:rPr>
          <w:noProof/>
        </w:rPr>
        <w:t>Grekland är den främsta mottagaren av EU-finansiering på området för inrikes frågor med ett totalt belopp på cirka 660 miljoner euro om man räknar samman anslagen inom ramen för de nationella programmen och det katastrofbistånd som hittills har utbetalats till landet. Grekland bör dra full nytta av alla de resurser som finns tillgängliga inom ramen för de nationella programmen och bör också till fullo utnyttja de möjligheter som erbjuds genom andra EU-finansieringsmekanismer, t.ex. de europeiska struktur- och investeringsfonderna.</w:t>
      </w:r>
    </w:p>
    <w:p>
      <w:pPr>
        <w:jc w:val="both"/>
        <w:rPr>
          <w:noProof/>
        </w:rPr>
      </w:pPr>
    </w:p>
    <w:p>
      <w:pPr>
        <w:jc w:val="both"/>
        <w:rPr>
          <w:noProof/>
        </w:rPr>
      </w:pPr>
      <w:r>
        <w:rPr>
          <w:noProof/>
        </w:rPr>
        <w:t>Bilagan till denna rapport är en uppdatering av analysen av den 10 februari med beaktande av genomförandet av de prioriterade åtgärderna på de fem områden som anges ovan och de steg som ännu återstår.</w:t>
      </w:r>
    </w:p>
    <w:p>
      <w:pPr>
        <w:jc w:val="both"/>
        <w:rPr>
          <w:noProof/>
        </w:rPr>
      </w:pPr>
    </w:p>
    <w:p>
      <w:pPr>
        <w:jc w:val="both"/>
        <w:rPr>
          <w:noProof/>
        </w:rPr>
      </w:pPr>
    </w:p>
    <w:p>
      <w:pPr>
        <w:jc w:val="both"/>
        <w:rPr>
          <w:noProof/>
        </w:rPr>
      </w:pPr>
    </w:p>
    <w:p>
      <w:pPr>
        <w:jc w:val="both"/>
        <w:rPr>
          <w:noProof/>
        </w:rPr>
      </w:pPr>
    </w:p>
    <w:p>
      <w:pPr>
        <w:jc w:val="both"/>
        <w:rPr>
          <w:noProof/>
        </w:rPr>
      </w:pPr>
    </w:p>
    <w:p>
      <w:pPr>
        <w:jc w:val="both"/>
        <w:rPr>
          <w:noProof/>
        </w:rPr>
      </w:pPr>
    </w:p>
    <w:p>
      <w:pPr>
        <w:jc w:val="both"/>
        <w:rPr>
          <w:noProof/>
        </w:rPr>
      </w:pPr>
    </w:p>
    <w:p>
      <w:pPr>
        <w:jc w:val="both"/>
        <w:rPr>
          <w:noProof/>
        </w:rPr>
      </w:pPr>
    </w:p>
    <w:p>
      <w:pPr>
        <w:jc w:val="both"/>
        <w:rPr>
          <w:noProof/>
        </w:rPr>
      </w:pPr>
    </w:p>
    <w:p>
      <w:pPr>
        <w:jc w:val="both"/>
        <w:rPr>
          <w:noProof/>
        </w:rPr>
      </w:pPr>
    </w:p>
    <w:p>
      <w:pPr>
        <w:jc w:val="both"/>
        <w:rPr>
          <w:noProof/>
        </w:rPr>
      </w:pPr>
    </w:p>
    <w:p>
      <w:pPr>
        <w:jc w:val="both"/>
        <w:rPr>
          <w:noProof/>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b/>
          <w:noProof/>
          <w:u w:val="single"/>
        </w:rPr>
      </w:pPr>
    </w:p>
    <w:p>
      <w:pPr>
        <w:jc w:val="both"/>
        <w:rPr>
          <w:noProof/>
        </w:rPr>
      </w:pPr>
    </w:p>
    <w:p>
      <w:pPr>
        <w:jc w:val="both"/>
        <w:rPr>
          <w:b/>
          <w:noProof/>
        </w:rPr>
      </w:pPr>
      <w:r>
        <w:rPr>
          <w:b/>
          <w:noProof/>
          <w:u w:val="single"/>
        </w:rPr>
        <w:t>Bilaga:</w:t>
      </w:r>
      <w:r>
        <w:rPr>
          <w:b/>
          <w:noProof/>
        </w:rPr>
        <w:t xml:space="preserve"> </w:t>
      </w:r>
    </w:p>
    <w:p>
      <w:pPr>
        <w:jc w:val="both"/>
        <w:rPr>
          <w:b/>
          <w:noProof/>
        </w:rPr>
      </w:pPr>
    </w:p>
    <w:tbl>
      <w:tblPr>
        <w:tblStyle w:val="TableGrid"/>
        <w:tblW w:w="9464" w:type="dxa"/>
        <w:tblLook w:val="04A0" w:firstRow="1" w:lastRow="0" w:firstColumn="1" w:lastColumn="0" w:noHBand="0" w:noVBand="1"/>
      </w:tblPr>
      <w:tblGrid>
        <w:gridCol w:w="2456"/>
        <w:gridCol w:w="2984"/>
        <w:gridCol w:w="4024"/>
      </w:tblGrid>
      <w:tr>
        <w:trPr>
          <w:cantSplit/>
          <w:tblHeader/>
        </w:trPr>
        <w:tc>
          <w:tcPr>
            <w:tcW w:w="5440" w:type="dxa"/>
            <w:gridSpan w:val="2"/>
            <w:tcBorders>
              <w:top w:val="single" w:sz="4" w:space="0" w:color="auto"/>
              <w:left w:val="single" w:sz="4" w:space="0" w:color="auto"/>
              <w:bottom w:val="single" w:sz="4" w:space="0" w:color="auto"/>
              <w:right w:val="single" w:sz="4" w:space="0" w:color="auto"/>
            </w:tcBorders>
            <w:hideMark/>
          </w:tcPr>
          <w:p>
            <w:pPr>
              <w:jc w:val="both"/>
              <w:rPr>
                <w:b/>
                <w:noProof/>
              </w:rPr>
            </w:pPr>
            <w:r>
              <w:rPr>
                <w:b/>
                <w:noProof/>
              </w:rPr>
              <w:t>Rekommendation december 2015</w:t>
            </w:r>
          </w:p>
        </w:tc>
        <w:tc>
          <w:tcPr>
            <w:tcW w:w="4024" w:type="dxa"/>
            <w:tcBorders>
              <w:top w:val="single" w:sz="4" w:space="0" w:color="auto"/>
              <w:left w:val="single" w:sz="4" w:space="0" w:color="auto"/>
              <w:bottom w:val="single" w:sz="4" w:space="0" w:color="auto"/>
              <w:right w:val="single" w:sz="4" w:space="0" w:color="auto"/>
            </w:tcBorders>
            <w:hideMark/>
          </w:tcPr>
          <w:p>
            <w:pPr>
              <w:jc w:val="both"/>
              <w:rPr>
                <w:b/>
                <w:noProof/>
              </w:rPr>
            </w:pPr>
            <w:r>
              <w:rPr>
                <w:b/>
                <w:noProof/>
              </w:rPr>
              <w:t>Läge</w:t>
            </w:r>
          </w:p>
        </w:tc>
      </w:tr>
      <w:tr>
        <w:trPr>
          <w:cantSplit/>
          <w:trHeight w:val="1134"/>
        </w:trPr>
        <w:tc>
          <w:tcPr>
            <w:tcW w:w="2456" w:type="dxa"/>
            <w:vMerge w:val="restart"/>
            <w:tcBorders>
              <w:top w:val="single" w:sz="4" w:space="0" w:color="auto"/>
              <w:left w:val="single" w:sz="4" w:space="0" w:color="auto"/>
              <w:right w:val="single" w:sz="4" w:space="0" w:color="auto"/>
            </w:tcBorders>
            <w:hideMark/>
          </w:tcPr>
          <w:p>
            <w:pPr>
              <w:jc w:val="both"/>
              <w:rPr>
                <w:noProof/>
              </w:rPr>
            </w:pPr>
            <w:r>
              <w:rPr>
                <w:b/>
                <w:noProof/>
              </w:rPr>
              <w:t xml:space="preserve">Mottagningscentrum på utsatta områden </w:t>
            </w:r>
          </w:p>
        </w:tc>
        <w:tc>
          <w:tcPr>
            <w:tcW w:w="2984" w:type="dxa"/>
            <w:tcBorders>
              <w:top w:val="single" w:sz="4" w:space="0" w:color="auto"/>
              <w:left w:val="single" w:sz="4" w:space="0" w:color="auto"/>
              <w:bottom w:val="single" w:sz="4" w:space="0" w:color="auto"/>
              <w:right w:val="single" w:sz="4" w:space="0" w:color="auto"/>
            </w:tcBorders>
            <w:hideMark/>
          </w:tcPr>
          <w:p>
            <w:pPr>
              <w:jc w:val="both"/>
              <w:rPr>
                <w:noProof/>
              </w:rPr>
            </w:pPr>
            <w:r>
              <w:rPr>
                <w:noProof/>
              </w:rPr>
              <w:t>Grekland måste slutföra byggandet av mottagningscentrumen på Lesbos, Leros och Chios enligt tidsplanen. Byggarbetena på Kos bör inledas omedelbart och platsen för mottagningscentrumet på Samos bör fastställas så att det kan tas i bruk senast i slutet av januari.</w:t>
            </w:r>
          </w:p>
          <w:p>
            <w:pPr>
              <w:jc w:val="both"/>
              <w:rPr>
                <w:noProof/>
              </w:rPr>
            </w:pPr>
          </w:p>
        </w:tc>
        <w:tc>
          <w:tcPr>
            <w:tcW w:w="4024"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 xml:space="preserve"> Fyra mottagningscentrum (Lesbos, Chios, Samos och Leros) är operativa med hjälp av bistånd och tillfällig samordning av armén, även om ett flertal åtgärder fortfarande krävs innan de kan drivas på full kapacitet (t.ex. en tredje registreringslinje på Lesbos, färdigbyggande av inkvartering på Samos, vissa tjänster på Leros och Samos osv.). </w:t>
            </w:r>
          </w:p>
          <w:p>
            <w:pPr>
              <w:jc w:val="both"/>
              <w:rPr>
                <w:noProof/>
              </w:rPr>
            </w:pPr>
            <w:r>
              <w:rPr>
                <w:noProof/>
              </w:rPr>
              <w:t xml:space="preserve">X Arbetet har inletts på Kos (f.d. läger i Pyli) och mottagningscentrumet kan vara delvis i drift den 4 mars. </w:t>
            </w:r>
          </w:p>
          <w:p>
            <w:pPr>
              <w:jc w:val="both"/>
              <w:rPr>
                <w:noProof/>
              </w:rPr>
            </w:pPr>
            <w:r>
              <w:rPr>
                <w:noProof/>
              </w:rPr>
              <w:t xml:space="preserve">X Det nationella upphandlingsförfarandet för de tjänster som behövs för driften av mottagningscentrumen (dvs. catering och städning) har inte ännu slutförts. Den grekiska armén kommer denna vecka att starta upp ett påskyndat framskaffande av följande tjänster: transport, catering, medicinska tjänster samt städtjänster för alla mottagningscentrum. </w:t>
            </w:r>
          </w:p>
        </w:tc>
      </w:tr>
      <w:tr>
        <w:trPr>
          <w:cantSplit/>
          <w:trHeight w:val="830"/>
        </w:trPr>
        <w:tc>
          <w:tcPr>
            <w:tcW w:w="2456" w:type="dxa"/>
            <w:vMerge/>
            <w:tcBorders>
              <w:left w:val="single" w:sz="4" w:space="0" w:color="auto"/>
              <w:right w:val="single" w:sz="4" w:space="0" w:color="auto"/>
            </w:tcBorders>
            <w:vAlign w:val="center"/>
            <w:hideMark/>
          </w:tcPr>
          <w:p>
            <w:pPr>
              <w:jc w:val="both"/>
              <w:rPr>
                <w:noProof/>
              </w:rPr>
            </w:pPr>
          </w:p>
        </w:tc>
        <w:tc>
          <w:tcPr>
            <w:tcW w:w="2984" w:type="dxa"/>
            <w:tcBorders>
              <w:top w:val="single" w:sz="4" w:space="0" w:color="auto"/>
              <w:left w:val="single" w:sz="4" w:space="0" w:color="auto"/>
              <w:bottom w:val="single" w:sz="4" w:space="0" w:color="auto"/>
              <w:right w:val="single" w:sz="4" w:space="0" w:color="auto"/>
            </w:tcBorders>
            <w:hideMark/>
          </w:tcPr>
          <w:p>
            <w:pPr>
              <w:jc w:val="both"/>
              <w:rPr>
                <w:noProof/>
              </w:rPr>
            </w:pPr>
            <w:r>
              <w:rPr>
                <w:noProof/>
              </w:rPr>
              <w:t xml:space="preserve">Tillsammans med Europeiska kommissionen, EU-byråer och FN:s flyktingkommissariat bör Grekland optimera arbetet med att organisera mottagningscentrumen utgående från en utvärdering av behoven för varje ö och med stöd av resultaten från det pilotprojekt som genomförts i samarbete med flera organ. Man bör även inrätta ett strukturerat system för landsättning på officiella avstigningsplatser samt transport till mottagningscentrumen. </w:t>
            </w:r>
          </w:p>
          <w:p>
            <w:pPr>
              <w:jc w:val="both"/>
              <w:rPr>
                <w:noProof/>
              </w:rPr>
            </w:pPr>
          </w:p>
        </w:tc>
        <w:tc>
          <w:tcPr>
            <w:tcW w:w="4024"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 xml:space="preserve"> Frontex har placerat ut kustpatruller på Lesbos, Chios och Samos. Landstigningsförfarandena i Leros sköts på ett kontrollerat sätt: nästan 100 % av migranterna landstiger först på ön Farmakonisi och förs sedan vidare till Leros av kustpatruller och Frontex-tjänstemän.</w:t>
            </w:r>
          </w:p>
          <w:p>
            <w:pPr>
              <w:jc w:val="both"/>
              <w:rPr>
                <w:noProof/>
              </w:rPr>
            </w:pPr>
            <w:r>
              <w:rPr>
                <w:noProof/>
              </w:rPr>
              <w:sym w:font="Wingdings" w:char="F0FC"/>
            </w:r>
            <w:r>
              <w:rPr>
                <w:noProof/>
              </w:rPr>
              <w:t xml:space="preserve"> På kort sikt har lokala myndigheter tagit ansvar för att samordna transporten av migranter från landstigningsplatser till registreringscentren och från registreringscentren till hamnarna.</w:t>
            </w:r>
          </w:p>
          <w:p>
            <w:pPr>
              <w:jc w:val="both"/>
              <w:rPr>
                <w:noProof/>
              </w:rPr>
            </w:pPr>
            <w:r>
              <w:rPr>
                <w:noProof/>
              </w:rPr>
              <w:t xml:space="preserve">X Regeringen har förbundit sig till att lägga fram den grundläggande rättsakten (i form av en ändring av lag 3907/2011) om mekanismer för inrättande och samordning av mottagningscentrum i det grekiska parlamentet vecka 10. När den grundläggande rättsakten har antagits kommer ett standardiserat tillvägagångssätt att antas genom ett gemensamt ministerbeslut med fastställda roller och förfaranden för förvaltningen av mottagningscentrumen. </w:t>
            </w:r>
          </w:p>
          <w:p>
            <w:pPr>
              <w:jc w:val="both"/>
              <w:rPr>
                <w:noProof/>
              </w:rPr>
            </w:pPr>
            <w:r>
              <w:rPr>
                <w:noProof/>
              </w:rPr>
              <w:t>X Ett tillräckligt antal bussar bör omgående ställas till förfogande för att ytterligare förbättra landstigningssystemet på öarna. Medlemsstaterna bör snabbt reagera på begäran om bussar inom ramen för unionens civilskyddsmekanism.</w:t>
            </w:r>
          </w:p>
          <w:p>
            <w:pPr>
              <w:jc w:val="both"/>
              <w:rPr>
                <w:noProof/>
              </w:rPr>
            </w:pPr>
            <w:r>
              <w:rPr>
                <w:noProof/>
              </w:rPr>
              <w:t>X Ett system för transport av personer som inte är i behov av internationellt skydd från mottagningscentrumen till en tillgänglig förvarsanläggning måste inrättas.</w:t>
            </w:r>
          </w:p>
        </w:tc>
      </w:tr>
      <w:tr>
        <w:trPr>
          <w:cantSplit/>
          <w:trHeight w:val="830"/>
        </w:trPr>
        <w:tc>
          <w:tcPr>
            <w:tcW w:w="2456" w:type="dxa"/>
            <w:vMerge/>
            <w:tcBorders>
              <w:left w:val="single" w:sz="4" w:space="0" w:color="auto"/>
              <w:right w:val="single" w:sz="4" w:space="0" w:color="auto"/>
            </w:tcBorders>
            <w:vAlign w:val="center"/>
          </w:tcPr>
          <w:p>
            <w:pPr>
              <w:jc w:val="both"/>
              <w:rPr>
                <w:noProof/>
              </w:rPr>
            </w:pPr>
          </w:p>
        </w:tc>
        <w:tc>
          <w:tcPr>
            <w:tcW w:w="2984" w:type="dxa"/>
            <w:tcBorders>
              <w:top w:val="single" w:sz="4" w:space="0" w:color="auto"/>
              <w:left w:val="single" w:sz="4" w:space="0" w:color="auto"/>
              <w:bottom w:val="single" w:sz="4" w:space="0" w:color="auto"/>
              <w:right w:val="single" w:sz="4" w:space="0" w:color="auto"/>
            </w:tcBorders>
          </w:tcPr>
          <w:p>
            <w:pPr>
              <w:jc w:val="both"/>
              <w:rPr>
                <w:noProof/>
              </w:rPr>
            </w:pPr>
            <w:r>
              <w:rPr>
                <w:noProof/>
              </w:rPr>
              <w:t>På grundval av en detaljerad behovsbedömning bör medlemsstaterna ställa nödvändiga experter till förfogande så att mottagningscentrumen kan bli fullt operativa så snart byggnadsarbetena har slutförts. Grekland bör å sin sida se till att det finns tillräckligt många gruppledare och tillräckligt med säkerhetspersonal vid mottagningscentrumen.</w:t>
            </w:r>
          </w:p>
          <w:p>
            <w:pPr>
              <w:jc w:val="both"/>
              <w:rPr>
                <w:noProof/>
              </w:rPr>
            </w:pPr>
          </w:p>
        </w:tc>
        <w:tc>
          <w:tcPr>
            <w:tcW w:w="4024" w:type="dxa"/>
            <w:tcBorders>
              <w:top w:val="single" w:sz="4" w:space="0" w:color="auto"/>
              <w:left w:val="single" w:sz="4" w:space="0" w:color="auto"/>
              <w:bottom w:val="single" w:sz="4" w:space="0" w:color="auto"/>
              <w:right w:val="single" w:sz="4" w:space="0" w:color="auto"/>
            </w:tcBorders>
          </w:tcPr>
          <w:p>
            <w:pPr>
              <w:jc w:val="both"/>
              <w:rPr>
                <w:noProof/>
              </w:rPr>
            </w:pPr>
            <w:r>
              <w:rPr>
                <w:noProof/>
              </w:rPr>
              <w:t>X Den grekiska polisen bör ytterligare öka sin närvaro vid mottagningscentrumen för att garantera säkerheten både vid anläggningarna och för den utstationerade personalen från de olika byråerna.</w:t>
            </w:r>
          </w:p>
          <w:p>
            <w:pPr>
              <w:jc w:val="both"/>
              <w:rPr>
                <w:noProof/>
              </w:rPr>
            </w:pPr>
            <w:r>
              <w:rPr>
                <w:noProof/>
              </w:rPr>
              <w:t>X Frontex och Europeiska stödkontoret för asylfrågor (Easo) har ökat sin närvaro (för närvarande 516 respektive 14 tjänstemän), men fler experter behövs fortsättningsvis, speciellt eftersom fler mottagningscentrum är fullt operativa. Medlemsstaterna har inte ställt tillräckligt många experter till förfogande.</w:t>
            </w:r>
          </w:p>
          <w:p>
            <w:pPr>
              <w:jc w:val="both"/>
              <w:rPr>
                <w:noProof/>
              </w:rPr>
            </w:pPr>
            <w:r>
              <w:rPr>
                <w:noProof/>
              </w:rPr>
              <w:t>X Grekland bör fullborda processen att tillhandahålla gruppledare.</w:t>
            </w:r>
          </w:p>
        </w:tc>
      </w:tr>
      <w:tr>
        <w:trPr>
          <w:cantSplit/>
          <w:trHeight w:val="830"/>
        </w:trPr>
        <w:tc>
          <w:tcPr>
            <w:tcW w:w="2456" w:type="dxa"/>
            <w:vMerge/>
            <w:tcBorders>
              <w:left w:val="single" w:sz="4" w:space="0" w:color="auto"/>
              <w:right w:val="single" w:sz="4" w:space="0" w:color="auto"/>
            </w:tcBorders>
            <w:vAlign w:val="center"/>
          </w:tcPr>
          <w:p>
            <w:pPr>
              <w:jc w:val="both"/>
              <w:rPr>
                <w:noProof/>
              </w:rPr>
            </w:pPr>
          </w:p>
        </w:tc>
        <w:tc>
          <w:tcPr>
            <w:tcW w:w="2984" w:type="dxa"/>
            <w:tcBorders>
              <w:top w:val="single" w:sz="4" w:space="0" w:color="auto"/>
              <w:left w:val="single" w:sz="4" w:space="0" w:color="auto"/>
              <w:bottom w:val="single" w:sz="4" w:space="0" w:color="auto"/>
              <w:right w:val="single" w:sz="4" w:space="0" w:color="auto"/>
            </w:tcBorders>
          </w:tcPr>
          <w:p>
            <w:pPr>
              <w:jc w:val="both"/>
              <w:rPr>
                <w:noProof/>
              </w:rPr>
            </w:pPr>
            <w:r>
              <w:rPr>
                <w:noProof/>
              </w:rPr>
              <w:t>Grekland bör införskaffa de nya fingeravtrycksapparater som behövs. Detta bör göras utan dröjsmål och genom påskyndade/förenklade upphandlingsförfaranden enligt direktiven 2004/18/EG och 2014/24/EU som gäller för fall av ”brådska” eller ”synnerlig brådska”.</w:t>
            </w:r>
          </w:p>
          <w:p>
            <w:pPr>
              <w:jc w:val="both"/>
              <w:rPr>
                <w:noProof/>
              </w:rPr>
            </w:pPr>
          </w:p>
        </w:tc>
        <w:tc>
          <w:tcPr>
            <w:tcW w:w="4024" w:type="dxa"/>
            <w:tcBorders>
              <w:top w:val="single" w:sz="4" w:space="0" w:color="auto"/>
              <w:left w:val="single" w:sz="4" w:space="0" w:color="auto"/>
              <w:bottom w:val="single" w:sz="4" w:space="0" w:color="auto"/>
              <w:right w:val="single" w:sz="4" w:space="0" w:color="auto"/>
            </w:tcBorders>
          </w:tcPr>
          <w:p>
            <w:pPr>
              <w:jc w:val="both"/>
              <w:rPr>
                <w:noProof/>
              </w:rPr>
            </w:pPr>
            <w:r>
              <w:rPr>
                <w:noProof/>
              </w:rPr>
              <w:t>Registrering (Eurodac):</w:t>
            </w:r>
          </w:p>
          <w:p>
            <w:pPr>
              <w:jc w:val="both"/>
              <w:rPr>
                <w:noProof/>
              </w:rPr>
            </w:pPr>
            <w:r>
              <w:rPr>
                <w:noProof/>
              </w:rPr>
              <w:sym w:font="Wingdings" w:char="F0FC"/>
            </w:r>
            <w:r>
              <w:rPr>
                <w:noProof/>
              </w:rPr>
              <w:t xml:space="preserve"> Easo har till att börja med beställt 25 stationer för insamling av fingeravtryck. Detta parti har redan levererats. Ytterligare 65 stationer för insamling av fingeravtryck har beställts av Easo och väntar på leverans.</w:t>
            </w:r>
          </w:p>
          <w:p>
            <w:pPr>
              <w:jc w:val="both"/>
              <w:rPr>
                <w:noProof/>
              </w:rPr>
            </w:pPr>
            <w:r>
              <w:rPr>
                <w:noProof/>
              </w:rPr>
              <w:sym w:font="Wingdings" w:char="F0FC"/>
            </w:r>
            <w:r>
              <w:rPr>
                <w:noProof/>
              </w:rPr>
              <w:t xml:space="preserve"> Den grekiska polisen har införskaffat 6 stationer för insamling av fingeravtryck och utplacerat dem på Lesbos.</w:t>
            </w:r>
          </w:p>
          <w:p>
            <w:pPr>
              <w:jc w:val="both"/>
              <w:rPr>
                <w:noProof/>
              </w:rPr>
            </w:pPr>
            <w:r>
              <w:rPr>
                <w:noProof/>
              </w:rPr>
              <w:sym w:font="Wingdings" w:char="F0FC"/>
            </w:r>
            <w:r>
              <w:rPr>
                <w:noProof/>
              </w:rPr>
              <w:t xml:space="preserve"> Både kommissionen och Frontex har konstaterat att </w:t>
            </w:r>
            <w:r>
              <w:rPr>
                <w:noProof/>
                <w:color w:val="000000"/>
              </w:rPr>
              <w:t>betydande framsteg har gjorts sedan september 2015 och för närvarande registreras alla migranter över 14 år som hänvisas till mottagningscentrumen i enlighet med kodexen om Schengengränserna</w:t>
            </w:r>
            <w:r>
              <w:rPr>
                <w:noProof/>
              </w:rPr>
              <w:t>.</w:t>
            </w:r>
          </w:p>
          <w:p>
            <w:pPr>
              <w:jc w:val="both"/>
              <w:rPr>
                <w:noProof/>
              </w:rPr>
            </w:pPr>
            <w:r>
              <w:rPr>
                <w:noProof/>
              </w:rPr>
              <w:t xml:space="preserve">X Varken Eurodac-stationernas anslutning till it-nätet eller centralserverns kapacitet är ännu säker och tillförlitlig. Kommissionen och eu-LISA stöder den grekiska polisen i dess arbete med att förbättra landets it-system för att stärka dess kapacitet att fullt ut stödja registreringssystemet. </w:t>
            </w:r>
          </w:p>
        </w:tc>
      </w:tr>
      <w:tr>
        <w:trPr>
          <w:cantSplit/>
          <w:trHeight w:val="830"/>
        </w:trPr>
        <w:tc>
          <w:tcPr>
            <w:tcW w:w="2456" w:type="dxa"/>
            <w:vMerge/>
            <w:tcBorders>
              <w:left w:val="single" w:sz="4" w:space="0" w:color="auto"/>
              <w:right w:val="single" w:sz="4" w:space="0" w:color="auto"/>
            </w:tcBorders>
            <w:vAlign w:val="center"/>
          </w:tcPr>
          <w:p>
            <w:pPr>
              <w:jc w:val="both"/>
              <w:rPr>
                <w:noProof/>
              </w:rPr>
            </w:pPr>
          </w:p>
        </w:tc>
        <w:tc>
          <w:tcPr>
            <w:tcW w:w="2984" w:type="dxa"/>
            <w:tcBorders>
              <w:top w:val="single" w:sz="4" w:space="0" w:color="auto"/>
              <w:left w:val="single" w:sz="4" w:space="0" w:color="auto"/>
              <w:bottom w:val="single" w:sz="4" w:space="0" w:color="auto"/>
              <w:right w:val="single" w:sz="4" w:space="0" w:color="auto"/>
            </w:tcBorders>
          </w:tcPr>
          <w:p>
            <w:pPr>
              <w:jc w:val="both"/>
              <w:rPr>
                <w:noProof/>
              </w:rPr>
            </w:pPr>
            <w:r>
              <w:rPr>
                <w:noProof/>
              </w:rPr>
              <w:t>It-systemen bör uppdateras genom att man först inför ett fullständigt automatiskt system för identifiering av fingeravtryck (Afis) och därefter ser till att sammanlänka detta med nationella databaser, EU-databaser och internationella databaser, för att möjliggöra en fullständig kontroll av nyanlända migranter mot Schengens informationssystem (SIS II) och Interpols databas över stulna och förkomna resehandlingar (STLD).</w:t>
            </w:r>
          </w:p>
          <w:p>
            <w:pPr>
              <w:jc w:val="both"/>
              <w:rPr>
                <w:noProof/>
              </w:rPr>
            </w:pPr>
          </w:p>
        </w:tc>
        <w:tc>
          <w:tcPr>
            <w:tcW w:w="4024" w:type="dxa"/>
            <w:tcBorders>
              <w:top w:val="single" w:sz="4" w:space="0" w:color="auto"/>
              <w:left w:val="single" w:sz="4" w:space="0" w:color="auto"/>
              <w:bottom w:val="single" w:sz="4" w:space="0" w:color="auto"/>
              <w:right w:val="single" w:sz="4" w:space="0" w:color="auto"/>
            </w:tcBorders>
          </w:tcPr>
          <w:p>
            <w:pPr>
              <w:jc w:val="both"/>
              <w:rPr>
                <w:noProof/>
              </w:rPr>
            </w:pPr>
            <w:r>
              <w:rPr>
                <w:noProof/>
              </w:rPr>
              <w:t>Säkerhetskontroller:</w:t>
            </w:r>
          </w:p>
          <w:p>
            <w:pPr>
              <w:jc w:val="both"/>
              <w:rPr>
                <w:noProof/>
              </w:rPr>
            </w:pPr>
            <w:r>
              <w:rPr>
                <w:noProof/>
              </w:rPr>
              <w:sym w:font="Wingdings" w:char="F0FC"/>
            </w:r>
            <w:r>
              <w:rPr>
                <w:noProof/>
              </w:rPr>
              <w:t xml:space="preserve"> Vid mottagningscentrumen finns terminaler tillgängliga för att tekniskt utföra kontroller mot SIS II samt Interpols och Europols databaser, liksom mot nationella polisdatabaser över tredjelandsmedborgare.</w:t>
            </w:r>
          </w:p>
          <w:p>
            <w:pPr>
              <w:jc w:val="both"/>
              <w:rPr>
                <w:noProof/>
              </w:rPr>
            </w:pPr>
            <w:r>
              <w:rPr>
                <w:noProof/>
              </w:rPr>
              <w:sym w:font="Wingdings" w:char="F0FC"/>
            </w:r>
            <w:r>
              <w:rPr>
                <w:noProof/>
              </w:rPr>
              <w:t xml:space="preserve"> En begäran har lämnats in till Europol för att garantera tillgången till dess databas i syfte att utföra säkerhetskontroller.</w:t>
            </w:r>
          </w:p>
          <w:p>
            <w:pPr>
              <w:jc w:val="both"/>
              <w:rPr>
                <w:noProof/>
              </w:rPr>
            </w:pPr>
            <w:r>
              <w:rPr>
                <w:noProof/>
              </w:rPr>
              <w:sym w:font="Wingdings" w:char="F0FC"/>
            </w:r>
            <w:r>
              <w:rPr>
                <w:noProof/>
              </w:rPr>
              <w:t xml:space="preserve"> Systemet för automatisk tillgång till relevanta säkerhetsdatabaser (nationella, SIS II och Interpol), har tagits i bruk i alla mottagningscentrum. </w:t>
            </w:r>
          </w:p>
          <w:p>
            <w:pPr>
              <w:jc w:val="both"/>
              <w:rPr>
                <w:noProof/>
              </w:rPr>
            </w:pPr>
            <w:r>
              <w:rPr>
                <w:noProof/>
              </w:rPr>
              <w:t>X Systematiska kontroller mot dessa databaser måste till fullo genomföras med relevant uppföljning. Ett fullständigt automatiskt system för identifiering av fingeravtryck bör utvecklas ytterligare.</w:t>
            </w:r>
          </w:p>
        </w:tc>
      </w:tr>
      <w:tr>
        <w:trPr>
          <w:cantSplit/>
          <w:trHeight w:val="830"/>
        </w:trPr>
        <w:tc>
          <w:tcPr>
            <w:tcW w:w="2456" w:type="dxa"/>
            <w:vMerge/>
            <w:tcBorders>
              <w:left w:val="single" w:sz="4" w:space="0" w:color="auto"/>
              <w:right w:val="single" w:sz="4" w:space="0" w:color="auto"/>
            </w:tcBorders>
            <w:vAlign w:val="center"/>
          </w:tcPr>
          <w:p>
            <w:pPr>
              <w:jc w:val="both"/>
              <w:rPr>
                <w:noProof/>
              </w:rPr>
            </w:pPr>
          </w:p>
        </w:tc>
        <w:tc>
          <w:tcPr>
            <w:tcW w:w="2984" w:type="dxa"/>
            <w:tcBorders>
              <w:top w:val="single" w:sz="4" w:space="0" w:color="auto"/>
              <w:left w:val="single" w:sz="4" w:space="0" w:color="auto"/>
              <w:bottom w:val="single" w:sz="4" w:space="0" w:color="auto"/>
              <w:right w:val="single" w:sz="4" w:space="0" w:color="auto"/>
            </w:tcBorders>
          </w:tcPr>
          <w:p>
            <w:pPr>
              <w:jc w:val="both"/>
              <w:rPr>
                <w:noProof/>
              </w:rPr>
            </w:pPr>
            <w:r>
              <w:rPr>
                <w:noProof/>
              </w:rPr>
              <w:t>Med hjälp av Europeiska kommissionen och EU:s organ och byråer bör Grekland fastställa sina behov av kulturtolkar och tolkar och öka deras närvaro vid mottagningscentrumen.</w:t>
            </w:r>
          </w:p>
          <w:p>
            <w:pPr>
              <w:jc w:val="both"/>
              <w:rPr>
                <w:noProof/>
              </w:rPr>
            </w:pPr>
          </w:p>
        </w:tc>
        <w:tc>
          <w:tcPr>
            <w:tcW w:w="4024" w:type="dxa"/>
            <w:tcBorders>
              <w:top w:val="single" w:sz="4" w:space="0" w:color="auto"/>
              <w:left w:val="single" w:sz="4" w:space="0" w:color="auto"/>
              <w:bottom w:val="single" w:sz="4" w:space="0" w:color="auto"/>
              <w:right w:val="single" w:sz="4" w:space="0" w:color="auto"/>
            </w:tcBorders>
          </w:tcPr>
          <w:p>
            <w:pPr>
              <w:jc w:val="both"/>
              <w:rPr>
                <w:noProof/>
              </w:rPr>
            </w:pPr>
            <w:r>
              <w:rPr>
                <w:noProof/>
              </w:rPr>
              <w:t>X De grekiska myndigheterna bör fastställa sina behov av kulturtolkar och tolkar.</w:t>
            </w:r>
          </w:p>
          <w:p>
            <w:pPr>
              <w:jc w:val="both"/>
              <w:rPr>
                <w:noProof/>
              </w:rPr>
            </w:pPr>
            <w:r>
              <w:rPr>
                <w:noProof/>
              </w:rPr>
              <w:t>X De grekiska myndigheterna bör inrätta en reserv av</w:t>
            </w:r>
          </w:p>
          <w:p>
            <w:pPr>
              <w:jc w:val="both"/>
              <w:rPr>
                <w:noProof/>
              </w:rPr>
            </w:pPr>
            <w:r>
              <w:rPr>
                <w:noProof/>
              </w:rPr>
              <w:t>tolkar, eventuellt genom ett ramavtal, för att kunna tillhandahålla tolktjänster med kort varsel.</w:t>
            </w:r>
          </w:p>
        </w:tc>
      </w:tr>
      <w:tr>
        <w:trPr>
          <w:cantSplit/>
          <w:trHeight w:val="830"/>
        </w:trPr>
        <w:tc>
          <w:tcPr>
            <w:tcW w:w="2456" w:type="dxa"/>
            <w:vMerge/>
            <w:tcBorders>
              <w:left w:val="single" w:sz="4" w:space="0" w:color="auto"/>
              <w:right w:val="single" w:sz="4" w:space="0" w:color="auto"/>
            </w:tcBorders>
            <w:vAlign w:val="center"/>
          </w:tcPr>
          <w:p>
            <w:pPr>
              <w:jc w:val="both"/>
              <w:rPr>
                <w:noProof/>
              </w:rPr>
            </w:pPr>
          </w:p>
        </w:tc>
        <w:tc>
          <w:tcPr>
            <w:tcW w:w="2984" w:type="dxa"/>
            <w:tcBorders>
              <w:top w:val="single" w:sz="4" w:space="0" w:color="auto"/>
              <w:left w:val="single" w:sz="4" w:space="0" w:color="auto"/>
              <w:bottom w:val="single" w:sz="4" w:space="0" w:color="auto"/>
              <w:right w:val="single" w:sz="4" w:space="0" w:color="auto"/>
            </w:tcBorders>
          </w:tcPr>
          <w:p>
            <w:pPr>
              <w:jc w:val="both"/>
              <w:rPr>
                <w:noProof/>
              </w:rPr>
            </w:pPr>
            <w:r>
              <w:rPr>
                <w:noProof/>
              </w:rPr>
              <w:t>Samordningen bör också förbättras ytterligare genom att på ett systematiskt och effektivt sätt använda de samordningsmekanismer som har inrättats. De samordnare som har utsetts för öarna bör genom särskilda mandat ges behörighet att samordna alla relevanta statliga och icke-statliga aktörer vid mottagningscentrumen.</w:t>
            </w:r>
          </w:p>
        </w:tc>
        <w:tc>
          <w:tcPr>
            <w:tcW w:w="4024"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 xml:space="preserve"> Lagförslaget om inrättande av mottagningscentrum (se ovan) kommer att innehålla särskilda bestämmelser om utnämning av samordnare för mottagningscentrumen, polissamordnare och särskilda samordnare för att förvalta förbindelserna med alla aktörer som är involverade i mottagningsförfarandet.</w:t>
            </w:r>
          </w:p>
          <w:p>
            <w:pPr>
              <w:jc w:val="both"/>
              <w:rPr>
                <w:noProof/>
              </w:rPr>
            </w:pPr>
            <w:r>
              <w:rPr>
                <w:noProof/>
              </w:rPr>
              <w:t>X När den nya lagstiftningen träder i kraft måste de grekiska myndigheterna omgående följa det relevanta förfarandet för att utse ständiga samordnare för mottagningscentrumen enligt den nyantagna lagstiftningen.</w:t>
            </w:r>
          </w:p>
        </w:tc>
      </w:tr>
      <w:tr>
        <w:trPr>
          <w:cantSplit/>
          <w:trHeight w:val="830"/>
        </w:trPr>
        <w:tc>
          <w:tcPr>
            <w:tcW w:w="2456" w:type="dxa"/>
            <w:vMerge/>
            <w:tcBorders>
              <w:left w:val="single" w:sz="4" w:space="0" w:color="auto"/>
              <w:right w:val="single" w:sz="4" w:space="0" w:color="auto"/>
            </w:tcBorders>
            <w:vAlign w:val="center"/>
          </w:tcPr>
          <w:p>
            <w:pPr>
              <w:jc w:val="both"/>
              <w:rPr>
                <w:noProof/>
              </w:rPr>
            </w:pPr>
          </w:p>
        </w:tc>
        <w:tc>
          <w:tcPr>
            <w:tcW w:w="2984" w:type="dxa"/>
            <w:tcBorders>
              <w:top w:val="single" w:sz="4" w:space="0" w:color="auto"/>
              <w:left w:val="single" w:sz="4" w:space="0" w:color="auto"/>
              <w:bottom w:val="single" w:sz="4" w:space="0" w:color="auto"/>
              <w:right w:val="single" w:sz="4" w:space="0" w:color="auto"/>
            </w:tcBorders>
          </w:tcPr>
          <w:p>
            <w:pPr>
              <w:jc w:val="both"/>
              <w:rPr>
                <w:noProof/>
              </w:rPr>
            </w:pPr>
            <w:r>
              <w:rPr>
                <w:noProof/>
              </w:rPr>
              <w:t>Europol bör stärka sin närvaro i Grekland och ingå operativa avtal med de grekiska myndigheterna för att stödja dem i arbetet med att stoppa smuggling. Detta stöd bör omfatta ekonomiska utredningar, åtgärder mot dokumentförfalskning och bättre användning av nätverken med sambandsmän för invandring i tredjeländer som viktiga informationskällor.</w:t>
            </w:r>
          </w:p>
          <w:p>
            <w:pPr>
              <w:jc w:val="both"/>
              <w:rPr>
                <w:noProof/>
              </w:rPr>
            </w:pPr>
          </w:p>
          <w:p>
            <w:pPr>
              <w:jc w:val="both"/>
              <w:rPr>
                <w:noProof/>
              </w:rPr>
            </w:pPr>
          </w:p>
        </w:tc>
        <w:tc>
          <w:tcPr>
            <w:tcW w:w="4024"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 xml:space="preserve"> En sambandsman från Europol finns både på Lesbos och i EU:s regionala insatsstyrka i Pireus.</w:t>
            </w:r>
          </w:p>
          <w:p>
            <w:pPr>
              <w:jc w:val="both"/>
              <w:rPr>
                <w:noProof/>
              </w:rPr>
            </w:pPr>
            <w:r>
              <w:rPr>
                <w:noProof/>
              </w:rPr>
              <w:sym w:font="Wingdings" w:char="F0FC"/>
            </w:r>
            <w:r>
              <w:rPr>
                <w:noProof/>
              </w:rPr>
              <w:t xml:space="preserve"> Frontex har placerat ut personal som är experter på att upptäcka dokumentförfalskning, liksom särskild utrustning för att upptäcka falska handlingar, vid alla mottagningscentrum.</w:t>
            </w:r>
          </w:p>
          <w:p>
            <w:pPr>
              <w:jc w:val="both"/>
              <w:rPr>
                <w:noProof/>
              </w:rPr>
            </w:pPr>
            <w:r>
              <w:rPr>
                <w:noProof/>
              </w:rPr>
              <w:t xml:space="preserve">X Den grekiska polisen har beslutat att använda ett nytt och mer sofistikerat registreringsdokument med säkerhetsdetaljer som ska användas vid alla mottagningscentrum. Även om en ny stämpel redan används finns det dock inte ännu tillräckligt mycket säkerhetspapper. </w:t>
            </w:r>
          </w:p>
          <w:p>
            <w:pPr>
              <w:jc w:val="both"/>
              <w:rPr>
                <w:noProof/>
              </w:rPr>
            </w:pPr>
            <w:r>
              <w:rPr>
                <w:noProof/>
              </w:rPr>
              <w:t>X Grekland bör införskaffa mer utrustning för att upptäcka dokumentförfalskning. En begäran om finansiering förväntas lämnas in gällande detta.</w:t>
            </w:r>
          </w:p>
          <w:p>
            <w:pPr>
              <w:jc w:val="both"/>
              <w:rPr>
                <w:noProof/>
              </w:rPr>
            </w:pPr>
            <w:r>
              <w:rPr>
                <w:noProof/>
              </w:rPr>
              <w:t>X De grekiska myndigheterna måste garantera en lämplig uppföljning av upptäckta falska handlingar och stärka de brottsbekämpande insatserna på öarna för att få bukt med smugglingsverksamheten.</w:t>
            </w:r>
          </w:p>
        </w:tc>
      </w:tr>
      <w:tr>
        <w:trPr>
          <w:cantSplit/>
          <w:trHeight w:val="830"/>
        </w:trPr>
        <w:tc>
          <w:tcPr>
            <w:tcW w:w="2456" w:type="dxa"/>
            <w:vMerge/>
            <w:tcBorders>
              <w:left w:val="single" w:sz="4" w:space="0" w:color="auto"/>
              <w:right w:val="single" w:sz="4" w:space="0" w:color="auto"/>
            </w:tcBorders>
            <w:vAlign w:val="center"/>
          </w:tcPr>
          <w:p>
            <w:pPr>
              <w:jc w:val="both"/>
              <w:rPr>
                <w:noProof/>
              </w:rPr>
            </w:pPr>
          </w:p>
        </w:tc>
        <w:tc>
          <w:tcPr>
            <w:tcW w:w="2984" w:type="dxa"/>
            <w:tcBorders>
              <w:top w:val="single" w:sz="4" w:space="0" w:color="auto"/>
              <w:left w:val="single" w:sz="4" w:space="0" w:color="auto"/>
              <w:bottom w:val="single" w:sz="4" w:space="0" w:color="auto"/>
              <w:right w:val="single" w:sz="4" w:space="0" w:color="auto"/>
            </w:tcBorders>
          </w:tcPr>
          <w:p>
            <w:pPr>
              <w:jc w:val="both"/>
              <w:rPr>
                <w:noProof/>
              </w:rPr>
            </w:pPr>
            <w:r>
              <w:rPr>
                <w:noProof/>
              </w:rPr>
              <w:t>Den grekiska polisen bör erbjuda utbildning om identifiering av förfalskade dokument till polistjänstemännen vid mottagningscentrumen.</w:t>
            </w:r>
          </w:p>
          <w:p>
            <w:pPr>
              <w:jc w:val="both"/>
              <w:rPr>
                <w:noProof/>
              </w:rPr>
            </w:pPr>
          </w:p>
        </w:tc>
        <w:tc>
          <w:tcPr>
            <w:tcW w:w="4024" w:type="dxa"/>
            <w:tcBorders>
              <w:top w:val="single" w:sz="4" w:space="0" w:color="auto"/>
              <w:left w:val="single" w:sz="4" w:space="0" w:color="auto"/>
              <w:bottom w:val="single" w:sz="4" w:space="0" w:color="auto"/>
              <w:right w:val="single" w:sz="4" w:space="0" w:color="auto"/>
            </w:tcBorders>
          </w:tcPr>
          <w:p>
            <w:pPr>
              <w:jc w:val="both"/>
              <w:rPr>
                <w:noProof/>
              </w:rPr>
            </w:pPr>
            <w:r>
              <w:rPr>
                <w:noProof/>
              </w:rPr>
              <w:t>X Fortfarande under behandling.</w:t>
            </w:r>
          </w:p>
        </w:tc>
      </w:tr>
      <w:tr>
        <w:trPr>
          <w:cantSplit/>
        </w:trPr>
        <w:tc>
          <w:tcPr>
            <w:tcW w:w="2456" w:type="dxa"/>
            <w:vMerge w:val="restart"/>
            <w:tcBorders>
              <w:top w:val="single" w:sz="4" w:space="0" w:color="auto"/>
              <w:left w:val="single" w:sz="4" w:space="0" w:color="auto"/>
              <w:right w:val="single" w:sz="4" w:space="0" w:color="auto"/>
            </w:tcBorders>
            <w:hideMark/>
          </w:tcPr>
          <w:p>
            <w:pPr>
              <w:jc w:val="both"/>
              <w:rPr>
                <w:noProof/>
              </w:rPr>
            </w:pPr>
            <w:r>
              <w:rPr>
                <w:b/>
                <w:noProof/>
              </w:rPr>
              <w:t>Omplacering</w:t>
            </w:r>
          </w:p>
        </w:tc>
        <w:tc>
          <w:tcPr>
            <w:tcW w:w="2984" w:type="dxa"/>
            <w:tcBorders>
              <w:top w:val="single" w:sz="4" w:space="0" w:color="auto"/>
              <w:left w:val="single" w:sz="4" w:space="0" w:color="auto"/>
              <w:bottom w:val="single" w:sz="4" w:space="0" w:color="auto"/>
              <w:right w:val="single" w:sz="4" w:space="0" w:color="auto"/>
            </w:tcBorders>
            <w:hideMark/>
          </w:tcPr>
          <w:p>
            <w:pPr>
              <w:jc w:val="both"/>
              <w:rPr>
                <w:noProof/>
              </w:rPr>
            </w:pPr>
            <w:r>
              <w:rPr>
                <w:noProof/>
              </w:rPr>
              <w:t>Flyktingar måste informeras bättre om omplaceringsmekanismen, bland annat genom mer personal från den grekiska asylmyndigheten och Europeiska stödkontoret för asylfrågor på plats vid mottagningscentrumen. Informationsmaterial om mekanismen och de omplacerades rättigheter och skyldigheter bör dessutom tas fram och delas ut till personer som kan bli aktuella för omplacering. Medlemsstaternas sambandsmän bör förse personer som eventuellt ska omplaceras med information om de aktuella destinationsländerna, och om asyl- och mottagningssystemen i dessa länder.</w:t>
            </w:r>
          </w:p>
          <w:p>
            <w:pPr>
              <w:jc w:val="both"/>
              <w:rPr>
                <w:noProof/>
              </w:rPr>
            </w:pPr>
          </w:p>
        </w:tc>
        <w:tc>
          <w:tcPr>
            <w:tcW w:w="4024"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 xml:space="preserve"> Den grekiska asylmyndigheten är aktiv på Lesbos och Samos. Easo har utplacerat experter på Samos för att sprida information, t.ex. genom informationsbroschyrer. </w:t>
            </w:r>
          </w:p>
          <w:p>
            <w:pPr>
              <w:jc w:val="both"/>
              <w:rPr>
                <w:noProof/>
              </w:rPr>
            </w:pPr>
            <w:r>
              <w:rPr>
                <w:noProof/>
              </w:rPr>
              <w:t>X Migranter bör på ett systematiskt sätt få information om sina rättigheter som asylsökande och sina rättigheter och skyldigheter inom omplaceringssystemet vid alla mottagningscentrum. Den grekiska asylmyndigheten och Easo bör utplacera experter för detta ändamål på de övriga utsatta områdena.</w:t>
            </w:r>
          </w:p>
          <w:p>
            <w:pPr>
              <w:jc w:val="both"/>
              <w:rPr>
                <w:noProof/>
              </w:rPr>
            </w:pPr>
            <w:r>
              <w:rPr>
                <w:noProof/>
              </w:rPr>
              <w:t>X Fler medlemsstater bör erbjuda informationspaket till personer som ska omplaceras (endast ett fåtal medlemsstater – Belgien, Irland, Polen och Portugal – har hittills utarbetat sådan information). Easo leder också en process för att samordna omplaceringsmedlemsstaternas information före avresan (rådgivning håller på att utarbetas).</w:t>
            </w:r>
          </w:p>
          <w:p>
            <w:pPr>
              <w:jc w:val="both"/>
              <w:rPr>
                <w:noProof/>
              </w:rPr>
            </w:pPr>
          </w:p>
        </w:tc>
      </w:tr>
      <w:tr>
        <w:trPr>
          <w:cantSplit/>
        </w:trPr>
        <w:tc>
          <w:tcPr>
            <w:tcW w:w="2456" w:type="dxa"/>
            <w:vMerge/>
            <w:tcBorders>
              <w:left w:val="single" w:sz="4" w:space="0" w:color="auto"/>
              <w:right w:val="single" w:sz="4" w:space="0" w:color="auto"/>
            </w:tcBorders>
          </w:tcPr>
          <w:p>
            <w:pPr>
              <w:jc w:val="both"/>
              <w:rPr>
                <w:b/>
                <w:noProof/>
              </w:rPr>
            </w:pPr>
          </w:p>
        </w:tc>
        <w:tc>
          <w:tcPr>
            <w:tcW w:w="2984" w:type="dxa"/>
            <w:tcBorders>
              <w:top w:val="single" w:sz="4" w:space="0" w:color="auto"/>
              <w:left w:val="single" w:sz="4" w:space="0" w:color="auto"/>
              <w:bottom w:val="single" w:sz="4" w:space="0" w:color="auto"/>
              <w:right w:val="single" w:sz="4" w:space="0" w:color="auto"/>
            </w:tcBorders>
          </w:tcPr>
          <w:p>
            <w:pPr>
              <w:jc w:val="both"/>
              <w:rPr>
                <w:noProof/>
              </w:rPr>
            </w:pPr>
            <w:r>
              <w:rPr>
                <w:noProof/>
              </w:rPr>
              <w:t xml:space="preserve">Det behövs betydligt mer personal för att registrera och behandla asylansökningar. Den grekiska asylmyndigheten har därför för avsikt att anställa ytterligare 40 personer senast i mitten av februari, vilket bör göra det möjligt att registrera 100–120 ansökningar per dag. Ytterligare personalökningar krävs för att kunna möta de ökade registreringsbehoven. </w:t>
            </w:r>
          </w:p>
          <w:p>
            <w:pPr>
              <w:jc w:val="both"/>
              <w:rPr>
                <w:noProof/>
              </w:rPr>
            </w:pPr>
          </w:p>
        </w:tc>
        <w:tc>
          <w:tcPr>
            <w:tcW w:w="4024"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 xml:space="preserve"> Easo stöder de grekiska myndigheterna på Lesbos och Samos i arbetet att fastställa nationaliteten på de personer som ansöker om omplacering. </w:t>
            </w:r>
          </w:p>
          <w:p>
            <w:pPr>
              <w:jc w:val="both"/>
              <w:rPr>
                <w:noProof/>
              </w:rPr>
            </w:pPr>
            <w:r>
              <w:rPr>
                <w:noProof/>
              </w:rPr>
              <w:sym w:font="Wingdings" w:char="F0FC"/>
            </w:r>
            <w:r>
              <w:rPr>
                <w:noProof/>
              </w:rPr>
              <w:t xml:space="preserve"> Senast i april kommer 37 personer att anställas och ytterligare (upp till) 40 personer i juni 2016. Övriga planerade tjänster kommer att tillsättas i januari 2017. De nödvändiga medlen garanteras genom nödfinansiering inom ramen för asyl-, migrations- och integrationsfonden.</w:t>
            </w:r>
          </w:p>
          <w:p>
            <w:pPr>
              <w:jc w:val="both"/>
              <w:rPr>
                <w:noProof/>
              </w:rPr>
            </w:pPr>
            <w:r>
              <w:rPr>
                <w:noProof/>
              </w:rPr>
              <w:sym w:font="Wingdings" w:char="F0FC"/>
            </w:r>
            <w:r>
              <w:rPr>
                <w:noProof/>
              </w:rPr>
              <w:t xml:space="preserve"> Ett pilotprojekt för att öka registreringskapaciteten påbörjas också under de närmaste dagarna med stöd av Easo.</w:t>
            </w:r>
          </w:p>
        </w:tc>
      </w:tr>
      <w:tr>
        <w:trPr>
          <w:cantSplit/>
        </w:trPr>
        <w:tc>
          <w:tcPr>
            <w:tcW w:w="2456" w:type="dxa"/>
            <w:vMerge/>
            <w:tcBorders>
              <w:left w:val="single" w:sz="4" w:space="0" w:color="auto"/>
              <w:right w:val="single" w:sz="4" w:space="0" w:color="auto"/>
            </w:tcBorders>
          </w:tcPr>
          <w:p>
            <w:pPr>
              <w:jc w:val="both"/>
              <w:rPr>
                <w:b/>
                <w:noProof/>
              </w:rPr>
            </w:pPr>
          </w:p>
        </w:tc>
        <w:tc>
          <w:tcPr>
            <w:tcW w:w="2984" w:type="dxa"/>
            <w:tcBorders>
              <w:top w:val="single" w:sz="4" w:space="0" w:color="auto"/>
              <w:left w:val="single" w:sz="4" w:space="0" w:color="auto"/>
              <w:bottom w:val="single" w:sz="4" w:space="0" w:color="auto"/>
              <w:right w:val="single" w:sz="4" w:space="0" w:color="auto"/>
            </w:tcBorders>
          </w:tcPr>
          <w:p>
            <w:pPr>
              <w:jc w:val="both"/>
              <w:rPr>
                <w:noProof/>
              </w:rPr>
            </w:pPr>
            <w:r>
              <w:rPr>
                <w:noProof/>
              </w:rPr>
              <w:t xml:space="preserve">Medlemsstaterna bör avsevärt korta ner tiden för att svara på de grekiska myndigheternas begäran om omplacering (och undvika överdrivna ad hoc-kontroller i Grekland). </w:t>
            </w:r>
          </w:p>
          <w:p>
            <w:pPr>
              <w:jc w:val="both"/>
              <w:rPr>
                <w:noProof/>
              </w:rPr>
            </w:pPr>
          </w:p>
        </w:tc>
        <w:tc>
          <w:tcPr>
            <w:tcW w:w="4024" w:type="dxa"/>
            <w:tcBorders>
              <w:top w:val="single" w:sz="4" w:space="0" w:color="auto"/>
              <w:left w:val="single" w:sz="4" w:space="0" w:color="auto"/>
              <w:bottom w:val="single" w:sz="4" w:space="0" w:color="auto"/>
              <w:right w:val="single" w:sz="4" w:space="0" w:color="auto"/>
            </w:tcBorders>
          </w:tcPr>
          <w:p>
            <w:pPr>
              <w:jc w:val="both"/>
              <w:rPr>
                <w:noProof/>
              </w:rPr>
            </w:pPr>
            <w:r>
              <w:rPr>
                <w:noProof/>
              </w:rPr>
              <w:t>X Det tar fortfarande lång tid för medlemsstaterna att behandla ansökningar om omplacering, vilket är en av orsakerna till att en betydande andel ansökningar dras tillbaka under processens gång.</w:t>
            </w:r>
          </w:p>
          <w:p>
            <w:pPr>
              <w:jc w:val="both"/>
              <w:rPr>
                <w:noProof/>
              </w:rPr>
            </w:pPr>
            <w:r>
              <w:rPr>
                <w:noProof/>
              </w:rPr>
              <w:t>X Medlemsstater ger inte tillräcklig information i förväg om sin planering för omplacering Detta är absolut nödvändigt för att de grekiska myndigheterna ska kunna effektivisera processen.</w:t>
            </w:r>
          </w:p>
          <w:p>
            <w:pPr>
              <w:jc w:val="both"/>
              <w:rPr>
                <w:noProof/>
              </w:rPr>
            </w:pPr>
            <w:r>
              <w:rPr>
                <w:noProof/>
              </w:rPr>
              <w:t>X Flera medlemsstater begär att systematiska säkerhetsintervjuer genomförs.</w:t>
            </w:r>
          </w:p>
        </w:tc>
      </w:tr>
      <w:tr>
        <w:trPr>
          <w:cantSplit/>
        </w:trPr>
        <w:tc>
          <w:tcPr>
            <w:tcW w:w="2456" w:type="dxa"/>
            <w:vMerge/>
            <w:tcBorders>
              <w:left w:val="single" w:sz="4" w:space="0" w:color="auto"/>
              <w:right w:val="single" w:sz="4" w:space="0" w:color="auto"/>
            </w:tcBorders>
          </w:tcPr>
          <w:p>
            <w:pPr>
              <w:jc w:val="both"/>
              <w:rPr>
                <w:b/>
                <w:noProof/>
              </w:rPr>
            </w:pPr>
          </w:p>
        </w:tc>
        <w:tc>
          <w:tcPr>
            <w:tcW w:w="2984" w:type="dxa"/>
            <w:tcBorders>
              <w:top w:val="single" w:sz="4" w:space="0" w:color="auto"/>
              <w:left w:val="single" w:sz="4" w:space="0" w:color="auto"/>
              <w:bottom w:val="single" w:sz="4" w:space="0" w:color="auto"/>
              <w:right w:val="single" w:sz="4" w:space="0" w:color="auto"/>
            </w:tcBorders>
          </w:tcPr>
          <w:p>
            <w:pPr>
              <w:jc w:val="both"/>
              <w:rPr>
                <w:noProof/>
              </w:rPr>
            </w:pPr>
            <w:r>
              <w:rPr>
                <w:noProof/>
              </w:rPr>
              <w:t xml:space="preserve">Medlemsstaterna bör öka sina åtaganden inom omplaceringsmekanismen avsevärt. </w:t>
            </w:r>
          </w:p>
          <w:p>
            <w:pPr>
              <w:jc w:val="both"/>
              <w:rPr>
                <w:noProof/>
              </w:rPr>
            </w:pPr>
          </w:p>
        </w:tc>
        <w:tc>
          <w:tcPr>
            <w:tcW w:w="4024" w:type="dxa"/>
            <w:tcBorders>
              <w:top w:val="single" w:sz="4" w:space="0" w:color="auto"/>
              <w:left w:val="single" w:sz="4" w:space="0" w:color="auto"/>
              <w:bottom w:val="single" w:sz="4" w:space="0" w:color="auto"/>
              <w:right w:val="single" w:sz="4" w:space="0" w:color="auto"/>
            </w:tcBorders>
          </w:tcPr>
          <w:p>
            <w:pPr>
              <w:jc w:val="both"/>
              <w:rPr>
                <w:noProof/>
              </w:rPr>
            </w:pPr>
            <w:r>
              <w:rPr>
                <w:noProof/>
              </w:rPr>
              <w:t xml:space="preserve">X Otillräckliga åtaganden och antalet personer som omplacerats: den 2 mars hade endast 16 medlemsstater gjort omplaceringsåtaganden till Grekland. Det bör dock noteras att medlemsstaternas åtaganden har ökat väsentligt under de senaste veckorna och är för närvarande fler än det antal sökande som de grekiska myndigheterna har registrerat som berättigade till omplacering. </w:t>
            </w:r>
          </w:p>
        </w:tc>
      </w:tr>
      <w:tr>
        <w:trPr>
          <w:cantSplit/>
        </w:trPr>
        <w:tc>
          <w:tcPr>
            <w:tcW w:w="2456" w:type="dxa"/>
            <w:vMerge/>
            <w:tcBorders>
              <w:left w:val="single" w:sz="4" w:space="0" w:color="auto"/>
              <w:right w:val="single" w:sz="4" w:space="0" w:color="auto"/>
            </w:tcBorders>
          </w:tcPr>
          <w:p>
            <w:pPr>
              <w:jc w:val="both"/>
              <w:rPr>
                <w:b/>
                <w:noProof/>
              </w:rPr>
            </w:pPr>
          </w:p>
        </w:tc>
        <w:tc>
          <w:tcPr>
            <w:tcW w:w="7008" w:type="dxa"/>
            <w:gridSpan w:val="2"/>
            <w:tcBorders>
              <w:top w:val="single" w:sz="4" w:space="0" w:color="auto"/>
              <w:left w:val="single" w:sz="4" w:space="0" w:color="auto"/>
              <w:bottom w:val="single" w:sz="4" w:space="0" w:color="auto"/>
              <w:right w:val="single" w:sz="4" w:space="0" w:color="auto"/>
            </w:tcBorders>
          </w:tcPr>
          <w:p>
            <w:pPr>
              <w:jc w:val="both"/>
              <w:rPr>
                <w:i/>
                <w:noProof/>
              </w:rPr>
            </w:pPr>
            <w:r>
              <w:rPr>
                <w:i/>
                <w:noProof/>
              </w:rPr>
              <w:t>Ytterligare åtgärder som fastställts sedan meddelandet antogs i december</w:t>
            </w:r>
          </w:p>
        </w:tc>
      </w:tr>
      <w:tr>
        <w:trPr>
          <w:cantSplit/>
        </w:trPr>
        <w:tc>
          <w:tcPr>
            <w:tcW w:w="2456" w:type="dxa"/>
            <w:vMerge/>
            <w:tcBorders>
              <w:left w:val="single" w:sz="4" w:space="0" w:color="auto"/>
              <w:right w:val="single" w:sz="4" w:space="0" w:color="auto"/>
            </w:tcBorders>
          </w:tcPr>
          <w:p>
            <w:pPr>
              <w:jc w:val="both"/>
              <w:rPr>
                <w:b/>
                <w:noProof/>
              </w:rPr>
            </w:pPr>
          </w:p>
        </w:tc>
        <w:tc>
          <w:tcPr>
            <w:tcW w:w="2984" w:type="dxa"/>
            <w:tcBorders>
              <w:top w:val="single" w:sz="4" w:space="0" w:color="auto"/>
              <w:left w:val="single" w:sz="4" w:space="0" w:color="auto"/>
              <w:bottom w:val="single" w:sz="4" w:space="0" w:color="auto"/>
              <w:right w:val="single" w:sz="4" w:space="0" w:color="auto"/>
            </w:tcBorders>
          </w:tcPr>
          <w:p>
            <w:pPr>
              <w:jc w:val="both"/>
              <w:rPr>
                <w:noProof/>
              </w:rPr>
            </w:pPr>
            <w:r>
              <w:rPr>
                <w:noProof/>
              </w:rPr>
              <w:t>Totalt 123 personer som har ansökt om omplacering har avvikit och 88 personer har dragit tillbaka sin ansökan sedan systemet infördes.</w:t>
            </w:r>
          </w:p>
        </w:tc>
        <w:tc>
          <w:tcPr>
            <w:tcW w:w="4024" w:type="dxa"/>
            <w:tcBorders>
              <w:top w:val="single" w:sz="4" w:space="0" w:color="auto"/>
              <w:left w:val="single" w:sz="4" w:space="0" w:color="auto"/>
              <w:bottom w:val="single" w:sz="4" w:space="0" w:color="auto"/>
              <w:right w:val="single" w:sz="4" w:space="0" w:color="auto"/>
            </w:tcBorders>
          </w:tcPr>
          <w:p>
            <w:pPr>
              <w:jc w:val="both"/>
              <w:rPr>
                <w:noProof/>
              </w:rPr>
            </w:pPr>
            <w:r>
              <w:rPr>
                <w:noProof/>
              </w:rPr>
              <w:t>X Grekland bör se till att asylsökande som ansöker om omplacering inhyses i lämpliga anläggningar där deras ärenden kan följas noga.</w:t>
            </w:r>
          </w:p>
          <w:p>
            <w:pPr>
              <w:jc w:val="both"/>
              <w:rPr>
                <w:noProof/>
              </w:rPr>
            </w:pPr>
            <w:r>
              <w:rPr>
                <w:noProof/>
              </w:rPr>
              <w:t>X Medlemsstaterna bör i samarbete med Easo framställa målgruppsinriktade informationspaket. Dessa bör ges till asylsökande som ska omplaceras efter att de meddelats om sitt destinationsland (se ovan).</w:t>
            </w:r>
          </w:p>
        </w:tc>
      </w:tr>
      <w:tr>
        <w:trPr>
          <w:cantSplit/>
        </w:trPr>
        <w:tc>
          <w:tcPr>
            <w:tcW w:w="2456" w:type="dxa"/>
            <w:vMerge/>
            <w:tcBorders>
              <w:left w:val="single" w:sz="4" w:space="0" w:color="auto"/>
              <w:right w:val="single" w:sz="4" w:space="0" w:color="auto"/>
            </w:tcBorders>
          </w:tcPr>
          <w:p>
            <w:pPr>
              <w:jc w:val="both"/>
              <w:rPr>
                <w:b/>
                <w:i/>
                <w:noProof/>
              </w:rPr>
            </w:pPr>
          </w:p>
        </w:tc>
        <w:tc>
          <w:tcPr>
            <w:tcW w:w="2984" w:type="dxa"/>
            <w:tcBorders>
              <w:top w:val="single" w:sz="4" w:space="0" w:color="auto"/>
              <w:left w:val="single" w:sz="4" w:space="0" w:color="auto"/>
              <w:bottom w:val="single" w:sz="4" w:space="0" w:color="auto"/>
              <w:right w:val="single" w:sz="4" w:space="0" w:color="auto"/>
            </w:tcBorders>
          </w:tcPr>
          <w:p>
            <w:pPr>
              <w:jc w:val="both"/>
              <w:rPr>
                <w:i/>
                <w:noProof/>
              </w:rPr>
            </w:pPr>
            <w:r>
              <w:rPr>
                <w:noProof/>
              </w:rPr>
              <w:t>Ett ensamkommande barn har förflyttats till Finland. Tio ansökningar väntar ännu på behandling, varav tre har godkänts av Finland igen sedan början av denna omlokaliseringsprocess.</w:t>
            </w:r>
          </w:p>
        </w:tc>
        <w:tc>
          <w:tcPr>
            <w:tcW w:w="4024" w:type="dxa"/>
            <w:tcBorders>
              <w:top w:val="single" w:sz="4" w:space="0" w:color="auto"/>
              <w:left w:val="single" w:sz="4" w:space="0" w:color="auto"/>
              <w:bottom w:val="single" w:sz="4" w:space="0" w:color="auto"/>
              <w:right w:val="single" w:sz="4" w:space="0" w:color="auto"/>
            </w:tcBorders>
          </w:tcPr>
          <w:p>
            <w:pPr>
              <w:jc w:val="both"/>
              <w:rPr>
                <w:noProof/>
              </w:rPr>
            </w:pPr>
            <w:r>
              <w:rPr>
                <w:noProof/>
              </w:rPr>
              <w:t>X Grekland bör slutföra utarbetandet av särskilda förfaranden för förflyttning av ensamkommande barn.</w:t>
            </w:r>
          </w:p>
          <w:p>
            <w:pPr>
              <w:jc w:val="both"/>
              <w:rPr>
                <w:noProof/>
              </w:rPr>
            </w:pPr>
            <w:r>
              <w:rPr>
                <w:noProof/>
              </w:rPr>
              <w:t xml:space="preserve">X Medlemsstaterna bör vika särskilda platser åt ensamkommande barn. </w:t>
            </w:r>
          </w:p>
        </w:tc>
      </w:tr>
      <w:tr>
        <w:trPr>
          <w:cantSplit/>
        </w:trPr>
        <w:tc>
          <w:tcPr>
            <w:tcW w:w="2456" w:type="dxa"/>
            <w:tcBorders>
              <w:left w:val="single" w:sz="4" w:space="0" w:color="auto"/>
              <w:right w:val="single" w:sz="4" w:space="0" w:color="auto"/>
            </w:tcBorders>
          </w:tcPr>
          <w:p>
            <w:pPr>
              <w:jc w:val="both"/>
              <w:rPr>
                <w:b/>
                <w:i/>
                <w:noProof/>
              </w:rPr>
            </w:pPr>
          </w:p>
        </w:tc>
        <w:tc>
          <w:tcPr>
            <w:tcW w:w="2984" w:type="dxa"/>
            <w:tcBorders>
              <w:top w:val="single" w:sz="4" w:space="0" w:color="auto"/>
              <w:left w:val="single" w:sz="4" w:space="0" w:color="auto"/>
              <w:bottom w:val="single" w:sz="4" w:space="0" w:color="auto"/>
              <w:right w:val="single" w:sz="4" w:space="0" w:color="auto"/>
            </w:tcBorders>
          </w:tcPr>
          <w:p>
            <w:pPr>
              <w:jc w:val="both"/>
              <w:rPr>
                <w:i/>
                <w:noProof/>
              </w:rPr>
            </w:pPr>
            <w:r>
              <w:rPr>
                <w:noProof/>
              </w:rPr>
              <w:t>Vissa medlemsstater har åberopat andra kriterier än de som fastställs i rådets beslut för att avslå ansökningar om omplacering.</w:t>
            </w:r>
          </w:p>
        </w:tc>
        <w:tc>
          <w:tcPr>
            <w:tcW w:w="4024" w:type="dxa"/>
            <w:tcBorders>
              <w:top w:val="single" w:sz="4" w:space="0" w:color="auto"/>
              <w:left w:val="single" w:sz="4" w:space="0" w:color="auto"/>
              <w:bottom w:val="single" w:sz="4" w:space="0" w:color="auto"/>
              <w:right w:val="single" w:sz="4" w:space="0" w:color="auto"/>
            </w:tcBorders>
          </w:tcPr>
          <w:p>
            <w:pPr>
              <w:jc w:val="both"/>
              <w:rPr>
                <w:noProof/>
              </w:rPr>
            </w:pPr>
            <w:r>
              <w:rPr>
                <w:noProof/>
              </w:rPr>
              <w:t>X Medlemsstaterna bör strikt tillämpa de kriterier som fastställs i rådets beslut när de avslår ansökningar om omplacering. Framför allt bör ansökningar om omplacering inte avslås på grund av medlemsstaternas önskemål om de sökandes profiler.</w:t>
            </w:r>
          </w:p>
        </w:tc>
      </w:tr>
      <w:tr>
        <w:trPr>
          <w:cantSplit/>
          <w:trHeight w:val="385"/>
        </w:trPr>
        <w:tc>
          <w:tcPr>
            <w:tcW w:w="2456" w:type="dxa"/>
            <w:vMerge w:val="restart"/>
            <w:tcBorders>
              <w:top w:val="single" w:sz="4" w:space="0" w:color="auto"/>
              <w:left w:val="single" w:sz="4" w:space="0" w:color="auto"/>
              <w:right w:val="single" w:sz="4" w:space="0" w:color="auto"/>
            </w:tcBorders>
          </w:tcPr>
          <w:p>
            <w:pPr>
              <w:jc w:val="both"/>
              <w:rPr>
                <w:b/>
                <w:bCs/>
                <w:noProof/>
              </w:rPr>
            </w:pPr>
            <w:r>
              <w:rPr>
                <w:b/>
                <w:noProof/>
              </w:rPr>
              <w:t xml:space="preserve">Återvändande och återsändande </w:t>
            </w:r>
          </w:p>
        </w:tc>
        <w:tc>
          <w:tcPr>
            <w:tcW w:w="2984" w:type="dxa"/>
            <w:tcBorders>
              <w:top w:val="single" w:sz="4" w:space="0" w:color="auto"/>
              <w:left w:val="single" w:sz="4" w:space="0" w:color="auto"/>
              <w:bottom w:val="single" w:sz="4" w:space="0" w:color="auto"/>
              <w:right w:val="single" w:sz="4" w:space="0" w:color="auto"/>
            </w:tcBorders>
            <w:hideMark/>
          </w:tcPr>
          <w:p>
            <w:pPr>
              <w:jc w:val="both"/>
              <w:rPr>
                <w:noProof/>
              </w:rPr>
            </w:pPr>
            <w:r>
              <w:rPr>
                <w:noProof/>
              </w:rPr>
              <w:t xml:space="preserve">De grekiska myndigheterna måste utarbeta en tydlig strategi för återsändande, kartlägga prioriterade tredjeländer för samarbete och åtgärda brister i sitt system för tagande i förvar. Grekland måste rationalisera sina administrativa förfaranden för att möjliggöra snabbt återvändande. </w:t>
            </w:r>
          </w:p>
          <w:p>
            <w:pPr>
              <w:jc w:val="both"/>
              <w:rPr>
                <w:noProof/>
              </w:rPr>
            </w:pPr>
          </w:p>
        </w:tc>
        <w:tc>
          <w:tcPr>
            <w:tcW w:w="4024"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 xml:space="preserve"> Grekland använder ett förenklat förfarande för att utfärda beslut om återsändande av tredjelandsmedborgare som inte har rätt till skydd.</w:t>
            </w:r>
          </w:p>
          <w:p>
            <w:pPr>
              <w:jc w:val="both"/>
              <w:rPr>
                <w:noProof/>
              </w:rPr>
            </w:pPr>
            <w:r>
              <w:rPr>
                <w:noProof/>
              </w:rPr>
              <w:sym w:font="Wingdings" w:char="F0FC"/>
            </w:r>
            <w:r>
              <w:rPr>
                <w:noProof/>
              </w:rPr>
              <w:t xml:space="preserve"> Frontex inledde den 15 februari en operativ plan för stöd till Grekland, Italien och Bulgarien.</w:t>
            </w:r>
          </w:p>
          <w:p>
            <w:pPr>
              <w:jc w:val="both"/>
              <w:rPr>
                <w:noProof/>
              </w:rPr>
            </w:pPr>
            <w:r>
              <w:rPr>
                <w:noProof/>
              </w:rPr>
              <w:t>X Som en prioriterad fråga bör Grekland tillsammans med kommissionen och med tekniskt stöd av Frontex enas om en tydlig genomförandeplan för den operativa planen för återsändande och återtagande, utgående från en tydlig planerings- och behovsbedömning av Grekland. Denna plan bör utgöra ett stöd i alla delar av genomförandet av återvändandeprocessen när så krävs.</w:t>
            </w:r>
          </w:p>
          <w:p>
            <w:pPr>
              <w:jc w:val="both"/>
              <w:rPr>
                <w:noProof/>
              </w:rPr>
            </w:pPr>
            <w:r>
              <w:rPr>
                <w:noProof/>
              </w:rPr>
              <w:t xml:space="preserve"> X Grekland bör fullt ut utnyttja de möjligheter som erbjuds genom den grekiska lagstiftningen i enlighet med direktivet om återvändande för att hålla irreguljära migranter i förvar i upp till högst 18 månader för att undvika att förvarsperioden tar slut innan återvändandet har genomförts.</w:t>
            </w:r>
          </w:p>
          <w:p>
            <w:pPr>
              <w:jc w:val="both"/>
              <w:rPr>
                <w:noProof/>
              </w:rPr>
            </w:pPr>
            <w:r>
              <w:rPr>
                <w:noProof/>
              </w:rPr>
              <w:t>X Grekland bör så snart som möjligt till fullo utnyttja möjligheterna att få stöd från EU-finansierade program för återvändande, särskilt Eurint, Erin och Eurlo.</w:t>
            </w:r>
          </w:p>
        </w:tc>
      </w:tr>
      <w:tr>
        <w:trPr>
          <w:cantSplit/>
          <w:trHeight w:val="384"/>
        </w:trPr>
        <w:tc>
          <w:tcPr>
            <w:tcW w:w="2456" w:type="dxa"/>
            <w:vMerge/>
            <w:tcBorders>
              <w:left w:val="single" w:sz="4" w:space="0" w:color="auto"/>
              <w:right w:val="single" w:sz="4" w:space="0" w:color="auto"/>
            </w:tcBorders>
            <w:vAlign w:val="center"/>
            <w:hideMark/>
          </w:tcPr>
          <w:p>
            <w:pPr>
              <w:jc w:val="both"/>
              <w:rPr>
                <w:b/>
                <w:bCs/>
                <w:noProof/>
              </w:rPr>
            </w:pPr>
          </w:p>
        </w:tc>
        <w:tc>
          <w:tcPr>
            <w:tcW w:w="2984" w:type="dxa"/>
            <w:tcBorders>
              <w:top w:val="single" w:sz="4" w:space="0" w:color="auto"/>
              <w:left w:val="single" w:sz="4" w:space="0" w:color="auto"/>
              <w:bottom w:val="single" w:sz="4" w:space="0" w:color="auto"/>
              <w:right w:val="single" w:sz="4" w:space="0" w:color="auto"/>
            </w:tcBorders>
            <w:hideMark/>
          </w:tcPr>
          <w:p>
            <w:pPr>
              <w:jc w:val="both"/>
              <w:rPr>
                <w:noProof/>
              </w:rPr>
            </w:pPr>
            <w:r>
              <w:rPr>
                <w:noProof/>
              </w:rPr>
              <w:t>Grekland måste öka antalet återsändanden och frivilliga återvändanden samt vidta nödvändiga åtgärder för att se till att de tillgängliga medlen från de nationella programmen inom ramen för asyl- migrations- och integrationsfonden utnyttjas.</w:t>
            </w:r>
          </w:p>
          <w:p>
            <w:pPr>
              <w:jc w:val="both"/>
              <w:rPr>
                <w:noProof/>
              </w:rPr>
            </w:pPr>
          </w:p>
        </w:tc>
        <w:tc>
          <w:tcPr>
            <w:tcW w:w="4024"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 xml:space="preserve"> Ett program för bistånd till frivilligt återvändande har finansierats inom ramen för asyl-, migrations- och integrationsfonden för att stödja 1 000 frivilligt återvändande migranter. Hittills har över 1 400 migranter registrerat sig för frivillig avresa. </w:t>
            </w:r>
          </w:p>
          <w:p>
            <w:pPr>
              <w:jc w:val="both"/>
              <w:rPr>
                <w:noProof/>
              </w:rPr>
            </w:pPr>
            <w:r>
              <w:rPr>
                <w:noProof/>
              </w:rPr>
              <w:t xml:space="preserve">X Anbudsförfarandet för det nya programmet för bistånd till frivilligt återvändande, som finansieras genom de nationella programmen inom ramen för asyl-, migrations- och integrationsfonden, har avslutats och tilldelningsprocessen bör slutföras så snart som möjligt. </w:t>
            </w:r>
          </w:p>
          <w:p>
            <w:pPr>
              <w:jc w:val="both"/>
              <w:rPr>
                <w:noProof/>
              </w:rPr>
            </w:pPr>
            <w:r>
              <w:rPr>
                <w:noProof/>
              </w:rPr>
              <w:t>X En mekanism för nödfinansiering vid återsändande (som ska genomföras av den grekiska polisen) har finansierats med medel från asyl-, migrations- och integrationsfonden. Anbudsförfarandet för transport (tillhandahållande av biljetter) vid återsändande på kommersiella flygningar pågår dock och bör slutföras snarast möjligt.</w:t>
            </w:r>
          </w:p>
        </w:tc>
      </w:tr>
      <w:tr>
        <w:trPr>
          <w:cantSplit/>
          <w:trHeight w:val="384"/>
        </w:trPr>
        <w:tc>
          <w:tcPr>
            <w:tcW w:w="2456" w:type="dxa"/>
            <w:vMerge/>
            <w:tcBorders>
              <w:left w:val="single" w:sz="4" w:space="0" w:color="auto"/>
              <w:right w:val="single" w:sz="4" w:space="0" w:color="auto"/>
            </w:tcBorders>
            <w:vAlign w:val="center"/>
            <w:hideMark/>
          </w:tcPr>
          <w:p>
            <w:pPr>
              <w:jc w:val="both"/>
              <w:rPr>
                <w:b/>
                <w:bCs/>
                <w:noProof/>
              </w:rPr>
            </w:pPr>
          </w:p>
        </w:tc>
        <w:tc>
          <w:tcPr>
            <w:tcW w:w="2984" w:type="dxa"/>
            <w:tcBorders>
              <w:top w:val="single" w:sz="4" w:space="0" w:color="auto"/>
              <w:left w:val="single" w:sz="4" w:space="0" w:color="auto"/>
              <w:bottom w:val="single" w:sz="4" w:space="0" w:color="auto"/>
              <w:right w:val="single" w:sz="4" w:space="0" w:color="auto"/>
            </w:tcBorders>
            <w:hideMark/>
          </w:tcPr>
          <w:p>
            <w:pPr>
              <w:jc w:val="both"/>
              <w:rPr>
                <w:noProof/>
              </w:rPr>
            </w:pPr>
            <w:r>
              <w:rPr>
                <w:noProof/>
              </w:rPr>
              <w:t xml:space="preserve">De grekiska myndigheternas återsändandeinsatser bör inriktas mer på de nationaliteter som är mest förekommande vid mottagningscentrumen (personer från Pakistan, men även Afghanistan, Iran och Bangladesh), istället för den nuvarande inriktningen på personer från Albanien och f.d. jugoslaviska republiken Makedonien. </w:t>
            </w:r>
          </w:p>
          <w:p>
            <w:pPr>
              <w:jc w:val="both"/>
              <w:rPr>
                <w:noProof/>
              </w:rPr>
            </w:pPr>
          </w:p>
        </w:tc>
        <w:tc>
          <w:tcPr>
            <w:tcW w:w="4024" w:type="dxa"/>
            <w:tcBorders>
              <w:top w:val="single" w:sz="4" w:space="0" w:color="auto"/>
              <w:left w:val="single" w:sz="4" w:space="0" w:color="auto"/>
              <w:bottom w:val="single" w:sz="4" w:space="0" w:color="auto"/>
              <w:right w:val="single" w:sz="4" w:space="0" w:color="auto"/>
            </w:tcBorders>
          </w:tcPr>
          <w:p>
            <w:pPr>
              <w:jc w:val="both"/>
              <w:rPr>
                <w:noProof/>
              </w:rPr>
            </w:pPr>
            <w:r>
              <w:rPr>
                <w:noProof/>
              </w:rPr>
              <w:t>X Se den ovanstående informationen om den operativa återvändandeplanen. Planen bör beakta de nationaliteter som för närvarande kommer till Grekland som en del av de irreguljära migrationsströmmarna och som inte betraktas som flyktingar.</w:t>
            </w:r>
          </w:p>
          <w:p>
            <w:pPr>
              <w:jc w:val="both"/>
              <w:rPr>
                <w:noProof/>
              </w:rPr>
            </w:pPr>
          </w:p>
        </w:tc>
      </w:tr>
      <w:tr>
        <w:trPr>
          <w:cantSplit/>
          <w:trHeight w:val="384"/>
        </w:trPr>
        <w:tc>
          <w:tcPr>
            <w:tcW w:w="2456" w:type="dxa"/>
            <w:vMerge/>
            <w:tcBorders>
              <w:left w:val="single" w:sz="4" w:space="0" w:color="auto"/>
              <w:right w:val="single" w:sz="4" w:space="0" w:color="auto"/>
            </w:tcBorders>
            <w:vAlign w:val="center"/>
            <w:hideMark/>
          </w:tcPr>
          <w:p>
            <w:pPr>
              <w:jc w:val="both"/>
              <w:rPr>
                <w:b/>
                <w:bCs/>
                <w:noProof/>
              </w:rPr>
            </w:pPr>
          </w:p>
        </w:tc>
        <w:tc>
          <w:tcPr>
            <w:tcW w:w="2984" w:type="dxa"/>
            <w:tcBorders>
              <w:top w:val="single" w:sz="4" w:space="0" w:color="auto"/>
              <w:left w:val="single" w:sz="4" w:space="0" w:color="auto"/>
              <w:bottom w:val="single" w:sz="4" w:space="0" w:color="auto"/>
              <w:right w:val="single" w:sz="4" w:space="0" w:color="auto"/>
            </w:tcBorders>
            <w:hideMark/>
          </w:tcPr>
          <w:p>
            <w:pPr>
              <w:jc w:val="both"/>
              <w:rPr>
                <w:noProof/>
              </w:rPr>
            </w:pPr>
            <w:r>
              <w:rPr>
                <w:noProof/>
              </w:rPr>
              <w:t xml:space="preserve">Bättre information om bistånd till frivilligt återvändande bör ges till migranter redan när de vistas vid mottagningscentrumen. En informationskampanj bör också övervägas i områden nära gränsen mot f.d. jugoslaviska republiken Makedonien. </w:t>
            </w:r>
          </w:p>
          <w:p>
            <w:pPr>
              <w:jc w:val="both"/>
              <w:rPr>
                <w:noProof/>
              </w:rPr>
            </w:pPr>
          </w:p>
        </w:tc>
        <w:tc>
          <w:tcPr>
            <w:tcW w:w="4024"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 xml:space="preserve"> Internationella organisationen för migration har öppnat kontor på Lesbos för detta ändamål och är närvarande på Samos.</w:t>
            </w:r>
          </w:p>
          <w:p>
            <w:pPr>
              <w:jc w:val="both"/>
              <w:rPr>
                <w:noProof/>
              </w:rPr>
            </w:pPr>
            <w:r>
              <w:rPr>
                <w:noProof/>
              </w:rPr>
              <w:t>X Särskilda ankomstplatser bör snarast inrättas på andra utsatta områden och i centrala Grekland för migranter som återsänts från Idomeni så att de kan erbjudas bistånd till frivilligt återvändande.</w:t>
            </w:r>
          </w:p>
          <w:p>
            <w:pPr>
              <w:jc w:val="both"/>
              <w:rPr>
                <w:noProof/>
              </w:rPr>
            </w:pPr>
            <w:r>
              <w:rPr>
                <w:noProof/>
              </w:rPr>
              <w:t>X Internationella organisationen för migration bör vara närvarande vid alla förvarsanläggningar i Grekland för att erbjuda bistånd till frivilligt återvändande till migranter som måste lämna landet.</w:t>
            </w:r>
          </w:p>
        </w:tc>
      </w:tr>
      <w:tr>
        <w:trPr>
          <w:cantSplit/>
          <w:trHeight w:val="384"/>
        </w:trPr>
        <w:tc>
          <w:tcPr>
            <w:tcW w:w="2456" w:type="dxa"/>
            <w:vMerge/>
            <w:tcBorders>
              <w:left w:val="single" w:sz="4" w:space="0" w:color="auto"/>
              <w:right w:val="single" w:sz="4" w:space="0" w:color="auto"/>
            </w:tcBorders>
            <w:vAlign w:val="center"/>
          </w:tcPr>
          <w:p>
            <w:pPr>
              <w:jc w:val="both"/>
              <w:rPr>
                <w:b/>
                <w:bCs/>
                <w:noProof/>
              </w:rPr>
            </w:pPr>
          </w:p>
        </w:tc>
        <w:tc>
          <w:tcPr>
            <w:tcW w:w="2984" w:type="dxa"/>
            <w:tcBorders>
              <w:top w:val="single" w:sz="4" w:space="0" w:color="auto"/>
              <w:left w:val="single" w:sz="4" w:space="0" w:color="auto"/>
              <w:bottom w:val="single" w:sz="4" w:space="0" w:color="auto"/>
              <w:right w:val="single" w:sz="4" w:space="0" w:color="auto"/>
            </w:tcBorders>
          </w:tcPr>
          <w:p>
            <w:pPr>
              <w:jc w:val="both"/>
              <w:rPr>
                <w:noProof/>
              </w:rPr>
            </w:pPr>
            <w:r>
              <w:rPr>
                <w:noProof/>
              </w:rPr>
              <w:t xml:space="preserve">Europeiska kommissionen bör, med stöd av medlemsstaterna, ytterligare intensifiera sitt samarbete med tredjeländer för att underlätta återtagande av migranter som inte har rätt till internationellt skydd. Detta innebär speciellt mer arbete för att garantera Turkiets återtagande av tredjelandsmedborgare. </w:t>
            </w:r>
          </w:p>
          <w:p>
            <w:pPr>
              <w:jc w:val="both"/>
              <w:rPr>
                <w:noProof/>
              </w:rPr>
            </w:pPr>
          </w:p>
        </w:tc>
        <w:tc>
          <w:tcPr>
            <w:tcW w:w="4024"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 xml:space="preserve"> Den gemensamma kommittén för återtagande har godkänt resultaten av de senaste diskussionerna med de pakistanska myndigheterna. Nu är det viktigt att konkret bekräfta detta positiva steg genom att sätta in nya flygningar från Grekland till Pakistan under de kommande veckorna. Detta bör prioriteras.</w:t>
            </w:r>
          </w:p>
          <w:p>
            <w:pPr>
              <w:jc w:val="both"/>
              <w:rPr>
                <w:noProof/>
              </w:rPr>
            </w:pPr>
            <w:r>
              <w:rPr>
                <w:noProof/>
              </w:rPr>
              <w:sym w:font="Wingdings" w:char="F0FC"/>
            </w:r>
            <w:r>
              <w:rPr>
                <w:noProof/>
              </w:rPr>
              <w:t xml:space="preserve"> Den 1–2 mars återtog Turkiet 267 irreguljära migranter.</w:t>
            </w:r>
          </w:p>
          <w:p>
            <w:pPr>
              <w:jc w:val="both"/>
              <w:rPr>
                <w:noProof/>
              </w:rPr>
            </w:pPr>
            <w:r>
              <w:rPr>
                <w:noProof/>
              </w:rPr>
              <w:t xml:space="preserve">X De grekiska myndigheterna bör dock öka sina insatser, särskilt genom att påskynda ansökningarna om återtagande till Turkiet och minimera risken för att migranter avviker under förfarandet. Turkiet bör också samarbeta närmare med de grekiska myndigheterna så att det antal migranter som faktiskt återtas av de migranter som godkänts för återtagande ökar kraftigt (bara 8 personer av 5 148 förfrågningar som godkänts av Turkiet ledde till återtagande 2015). </w:t>
            </w:r>
          </w:p>
          <w:p>
            <w:pPr>
              <w:jc w:val="both"/>
              <w:rPr>
                <w:noProof/>
              </w:rPr>
            </w:pPr>
            <w:r>
              <w:rPr>
                <w:noProof/>
              </w:rPr>
              <w:t>X Med stöd av medlemsstaterna bör Frontex och Grekland snabbt vidta åtgärder inom ramen för den nya operativa planen för att stödja punktligt inlämnande av begäranden om återtagande till Turkiet och transport av migranter från den plats där de gripits och/eller hållits i förvar till en av de tre avreseorter som man kommit överens om i det grekisk-turkiska protokollet.</w:t>
            </w:r>
          </w:p>
          <w:p>
            <w:pPr>
              <w:jc w:val="both"/>
              <w:rPr>
                <w:noProof/>
              </w:rPr>
            </w:pPr>
            <w:r>
              <w:rPr>
                <w:noProof/>
              </w:rPr>
              <w:t>X Grekland bör överväga att låta Turkiet utse en sambandsman som ska vara på plats i Grekland för att underlätta arbetet med begäran om återtagande.</w:t>
            </w:r>
          </w:p>
          <w:p>
            <w:pPr>
              <w:jc w:val="both"/>
              <w:rPr>
                <w:noProof/>
              </w:rPr>
            </w:pPr>
            <w:r>
              <w:rPr>
                <w:noProof/>
              </w:rPr>
              <w:t>X Grekland bör se till att migranter som Turkiet åtagit sig att återta faktiskt inställer sig (vid behov genom att ta dessa personer i förvar inför återtagande).</w:t>
            </w:r>
          </w:p>
        </w:tc>
      </w:tr>
      <w:tr>
        <w:trPr>
          <w:cantSplit/>
          <w:trHeight w:val="384"/>
        </w:trPr>
        <w:tc>
          <w:tcPr>
            <w:tcW w:w="2456" w:type="dxa"/>
            <w:vMerge/>
            <w:tcBorders>
              <w:left w:val="single" w:sz="4" w:space="0" w:color="auto"/>
              <w:right w:val="single" w:sz="4" w:space="0" w:color="auto"/>
            </w:tcBorders>
            <w:vAlign w:val="center"/>
          </w:tcPr>
          <w:p>
            <w:pPr>
              <w:jc w:val="both"/>
              <w:rPr>
                <w:b/>
                <w:bCs/>
                <w:noProof/>
              </w:rPr>
            </w:pPr>
          </w:p>
        </w:tc>
        <w:tc>
          <w:tcPr>
            <w:tcW w:w="2984" w:type="dxa"/>
            <w:tcBorders>
              <w:top w:val="single" w:sz="4" w:space="0" w:color="auto"/>
              <w:left w:val="single" w:sz="4" w:space="0" w:color="auto"/>
              <w:bottom w:val="single" w:sz="4" w:space="0" w:color="auto"/>
              <w:right w:val="single" w:sz="4" w:space="0" w:color="auto"/>
            </w:tcBorders>
          </w:tcPr>
          <w:p>
            <w:pPr>
              <w:jc w:val="both"/>
              <w:rPr>
                <w:noProof/>
              </w:rPr>
            </w:pPr>
            <w:r>
              <w:rPr>
                <w:noProof/>
              </w:rPr>
              <w:t>Frontex bör se till att gemensamma återsändandeflygningar gör regelbundna mellanlandningar i Grekland för att genomföra återsändande.</w:t>
            </w:r>
          </w:p>
          <w:p>
            <w:pPr>
              <w:jc w:val="both"/>
              <w:rPr>
                <w:noProof/>
              </w:rPr>
            </w:pPr>
          </w:p>
        </w:tc>
        <w:tc>
          <w:tcPr>
            <w:tcW w:w="4024"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 xml:space="preserve"> Med stöd av medlemsstaterna samordnar och stöder Frontex alla gemensamma återsändandeinsatser med mellanlandningar i Grekland. </w:t>
            </w:r>
          </w:p>
          <w:p>
            <w:pPr>
              <w:jc w:val="both"/>
              <w:rPr>
                <w:noProof/>
              </w:rPr>
            </w:pPr>
            <w:r>
              <w:rPr>
                <w:noProof/>
              </w:rPr>
              <w:sym w:font="Wingdings" w:char="F0FC"/>
            </w:r>
            <w:r>
              <w:rPr>
                <w:noProof/>
              </w:rPr>
              <w:t xml:space="preserve"> Frontex planerar en gemensam återsändandeinsats till Pakistan med en mellanlandning i Grekland den 16 mars, som ett första steg i en rad nya insatser för att förstärka Frontex gemensamma återsändandeinsatser med grekisk medverkan.</w:t>
            </w:r>
          </w:p>
          <w:p>
            <w:pPr>
              <w:jc w:val="both"/>
              <w:rPr>
                <w:noProof/>
              </w:rPr>
            </w:pPr>
            <w:r>
              <w:rPr>
                <w:noProof/>
              </w:rPr>
              <w:t>X De grekiska myndigheterna måste regelbundet och punktligt informera Frontex om sina särskilda behov så att gemensamma återsändandeinsatser kan planeras och genomföras.</w:t>
            </w:r>
          </w:p>
        </w:tc>
      </w:tr>
      <w:tr>
        <w:trPr>
          <w:cantSplit/>
          <w:trHeight w:val="384"/>
        </w:trPr>
        <w:tc>
          <w:tcPr>
            <w:tcW w:w="2456" w:type="dxa"/>
            <w:vMerge/>
            <w:tcBorders>
              <w:left w:val="single" w:sz="4" w:space="0" w:color="auto"/>
              <w:bottom w:val="single" w:sz="4" w:space="0" w:color="auto"/>
              <w:right w:val="single" w:sz="4" w:space="0" w:color="auto"/>
            </w:tcBorders>
            <w:vAlign w:val="center"/>
          </w:tcPr>
          <w:p>
            <w:pPr>
              <w:jc w:val="both"/>
              <w:rPr>
                <w:b/>
                <w:bCs/>
                <w:noProof/>
              </w:rPr>
            </w:pPr>
          </w:p>
        </w:tc>
        <w:tc>
          <w:tcPr>
            <w:tcW w:w="2984" w:type="dxa"/>
            <w:tcBorders>
              <w:top w:val="single" w:sz="4" w:space="0" w:color="auto"/>
              <w:left w:val="single" w:sz="4" w:space="0" w:color="auto"/>
              <w:bottom w:val="single" w:sz="4" w:space="0" w:color="auto"/>
              <w:right w:val="single" w:sz="4" w:space="0" w:color="auto"/>
            </w:tcBorders>
          </w:tcPr>
          <w:p>
            <w:pPr>
              <w:jc w:val="both"/>
              <w:rPr>
                <w:noProof/>
              </w:rPr>
            </w:pPr>
            <w:r>
              <w:rPr>
                <w:noProof/>
              </w:rPr>
              <w:t>Förhållandena för personer som hålls i förvar måste förbättras med omedelbar verkan.</w:t>
            </w:r>
          </w:p>
          <w:p>
            <w:pPr>
              <w:jc w:val="both"/>
              <w:rPr>
                <w:noProof/>
              </w:rPr>
            </w:pPr>
          </w:p>
        </w:tc>
        <w:tc>
          <w:tcPr>
            <w:tcW w:w="4024"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 xml:space="preserve"> De grekiska myndigheterna håller på att utarbeta ett ramavtal för cateringverksamhet för 2016–2018 vid de slutna anläggningarna för vistelse före återsändande. På grundval av rättsliga bestämmelser som antogs den 29 januari 2016 har den grekiska polisen åtagit sig att tillhandahålla mat tills detta avtal träder i kraft.</w:t>
            </w:r>
          </w:p>
          <w:p>
            <w:pPr>
              <w:jc w:val="both"/>
              <w:rPr>
                <w:noProof/>
              </w:rPr>
            </w:pPr>
            <w:r>
              <w:rPr>
                <w:noProof/>
              </w:rPr>
              <w:t xml:space="preserve">X Därutöver bör vissa slutna anläggningar för vistelse före återsändande, särskilt på öarna, vid behov renoveras och underhållas på rätt sätt så att migranterna kan erbjudas lämplig logi i enlighet med EU-normer. Vid behov bör nya platser för förvarsanläggningar på öarna lokaliseras och exploateras, särskilt med tanke på snabbt turkiskt återtagande. </w:t>
            </w:r>
          </w:p>
        </w:tc>
      </w:tr>
      <w:tr>
        <w:trPr>
          <w:cantSplit/>
          <w:trHeight w:val="384"/>
        </w:trPr>
        <w:tc>
          <w:tcPr>
            <w:tcW w:w="2456" w:type="dxa"/>
            <w:tcBorders>
              <w:left w:val="single" w:sz="4" w:space="0" w:color="auto"/>
              <w:bottom w:val="single" w:sz="4" w:space="0" w:color="auto"/>
              <w:right w:val="single" w:sz="4" w:space="0" w:color="auto"/>
            </w:tcBorders>
            <w:vAlign w:val="center"/>
          </w:tcPr>
          <w:p>
            <w:pPr>
              <w:jc w:val="both"/>
              <w:rPr>
                <w:b/>
                <w:bCs/>
                <w:noProof/>
              </w:rPr>
            </w:pPr>
          </w:p>
        </w:tc>
        <w:tc>
          <w:tcPr>
            <w:tcW w:w="2984" w:type="dxa"/>
            <w:tcBorders>
              <w:top w:val="single" w:sz="4" w:space="0" w:color="auto"/>
              <w:left w:val="single" w:sz="4" w:space="0" w:color="auto"/>
              <w:bottom w:val="single" w:sz="4" w:space="0" w:color="auto"/>
              <w:right w:val="single" w:sz="4" w:space="0" w:color="auto"/>
            </w:tcBorders>
          </w:tcPr>
          <w:p>
            <w:pPr>
              <w:jc w:val="both"/>
              <w:rPr>
                <w:noProof/>
              </w:rPr>
            </w:pPr>
            <w:r>
              <w:rPr>
                <w:noProof/>
              </w:rPr>
              <w:t>Europeiska kommissionen bör, med stöd av medlemsstaterna, ytterligare intensifiera sitt samarbete med tredjeländer för att underlätta återtagande av migranter som inte har rätt till internationellt skydd, bland annat genom riktad användning av förvaltningsfonden för nödåtgärder i Afrika.</w:t>
            </w:r>
          </w:p>
        </w:tc>
        <w:tc>
          <w:tcPr>
            <w:tcW w:w="4024"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 xml:space="preserve"> De gemensamma kommittéerna för återtagande höll sammanträden med Turkiet och Pakistan den 19 januari respektive den 2 februari 2016. Kommissionen har besökt Afghanistan och kommer att besöka Nigeria för att diskutera återtagande.</w:t>
            </w:r>
          </w:p>
        </w:tc>
      </w:tr>
      <w:tr>
        <w:trPr>
          <w:cantSplit/>
          <w:trHeight w:val="384"/>
        </w:trPr>
        <w:tc>
          <w:tcPr>
            <w:tcW w:w="2456" w:type="dxa"/>
            <w:vMerge w:val="restart"/>
            <w:tcBorders>
              <w:top w:val="single" w:sz="4" w:space="0" w:color="auto"/>
              <w:left w:val="single" w:sz="4" w:space="0" w:color="auto"/>
              <w:bottom w:val="single" w:sz="4" w:space="0" w:color="auto"/>
              <w:right w:val="single" w:sz="4" w:space="0" w:color="auto"/>
            </w:tcBorders>
          </w:tcPr>
          <w:p>
            <w:pPr>
              <w:jc w:val="both"/>
              <w:rPr>
                <w:b/>
                <w:bCs/>
                <w:noProof/>
              </w:rPr>
            </w:pPr>
            <w:r>
              <w:rPr>
                <w:b/>
                <w:noProof/>
              </w:rPr>
              <w:t xml:space="preserve">Förbättrad gränsförvaltning </w:t>
            </w:r>
          </w:p>
        </w:tc>
        <w:tc>
          <w:tcPr>
            <w:tcW w:w="2984" w:type="dxa"/>
            <w:tcBorders>
              <w:top w:val="single" w:sz="4" w:space="0" w:color="auto"/>
              <w:left w:val="single" w:sz="4" w:space="0" w:color="auto"/>
              <w:bottom w:val="single" w:sz="4" w:space="0" w:color="auto"/>
              <w:right w:val="single" w:sz="4" w:space="0" w:color="auto"/>
            </w:tcBorders>
            <w:hideMark/>
          </w:tcPr>
          <w:p>
            <w:pPr>
              <w:jc w:val="both"/>
              <w:rPr>
                <w:noProof/>
              </w:rPr>
            </w:pPr>
            <w:r>
              <w:rPr>
                <w:noProof/>
              </w:rPr>
              <w:t>De grekiska myndigheterna och Frontex bör snarast fastställa de operativa detaljerna för utplacering av Frontex-tjänstemän vid Greklands norra gräns.</w:t>
            </w:r>
          </w:p>
          <w:p>
            <w:pPr>
              <w:jc w:val="both"/>
              <w:rPr>
                <w:noProof/>
              </w:rPr>
            </w:pPr>
          </w:p>
        </w:tc>
        <w:tc>
          <w:tcPr>
            <w:tcW w:w="4024"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 xml:space="preserve"> Frontex har pågående verksamhet vid Greklands norra gräns. I enlighet med överenskommelsen med Frontex har Grekland utsett 105 poliser, inklusive 5 gruppledare, för att arbeta tillsammans med 25 Frontex-tjänstemän. Renoveringen av kontoren för de gemensamma insatserna mellan Frontex och den grekiska polisen vid den gamla järnvägsstationen nära Idomeni har slutförts.</w:t>
            </w:r>
          </w:p>
          <w:p>
            <w:pPr>
              <w:jc w:val="both"/>
              <w:rPr>
                <w:noProof/>
              </w:rPr>
            </w:pPr>
            <w:r>
              <w:rPr>
                <w:noProof/>
              </w:rPr>
              <w:t>X Hittills har Frontex endast kunnat utplacera 9 av de 25 tjänstemännen på grund av bristande åtaganden från medlemsstaterna. En eventuell utvidgning av Frontex-mandatet i denna region skulle också kräva ytterligare engagemang från medlemsstaterna.</w:t>
            </w:r>
          </w:p>
          <w:p>
            <w:pPr>
              <w:jc w:val="both"/>
              <w:rPr>
                <w:noProof/>
              </w:rPr>
            </w:pPr>
            <w:r>
              <w:rPr>
                <w:noProof/>
              </w:rPr>
              <w:sym w:font="Wingdings" w:char="F0FC"/>
            </w:r>
            <w:r>
              <w:rPr>
                <w:noProof/>
              </w:rPr>
              <w:t xml:space="preserve"> Frontex kommer att stödja de grekiska myndigheterna i arbetet med att kontrollera tredjelandsmedborgares identitet och huruvida de har registrerats i de relevanta databaserna.</w:t>
            </w:r>
          </w:p>
        </w:tc>
      </w:tr>
      <w:tr>
        <w:trPr>
          <w:cantSplit/>
          <w:trHeight w:val="384"/>
        </w:trPr>
        <w:tc>
          <w:tcPr>
            <w:tcW w:w="2456" w:type="dxa"/>
            <w:vMerge/>
            <w:tcBorders>
              <w:top w:val="single" w:sz="4" w:space="0" w:color="auto"/>
              <w:left w:val="single" w:sz="4" w:space="0" w:color="auto"/>
              <w:bottom w:val="single" w:sz="4" w:space="0" w:color="auto"/>
              <w:right w:val="single" w:sz="4" w:space="0" w:color="auto"/>
            </w:tcBorders>
            <w:vAlign w:val="center"/>
            <w:hideMark/>
          </w:tcPr>
          <w:p>
            <w:pPr>
              <w:jc w:val="both"/>
              <w:rPr>
                <w:b/>
                <w:bCs/>
                <w:noProof/>
              </w:rPr>
            </w:pPr>
          </w:p>
        </w:tc>
        <w:tc>
          <w:tcPr>
            <w:tcW w:w="2984" w:type="dxa"/>
            <w:tcBorders>
              <w:top w:val="single" w:sz="4" w:space="0" w:color="auto"/>
              <w:left w:val="single" w:sz="4" w:space="0" w:color="auto"/>
              <w:bottom w:val="single" w:sz="4" w:space="0" w:color="auto"/>
              <w:right w:val="single" w:sz="4" w:space="0" w:color="auto"/>
            </w:tcBorders>
            <w:hideMark/>
          </w:tcPr>
          <w:p>
            <w:pPr>
              <w:jc w:val="both"/>
              <w:rPr>
                <w:noProof/>
              </w:rPr>
            </w:pPr>
            <w:r>
              <w:rPr>
                <w:noProof/>
              </w:rPr>
              <w:t>Utöver aktiveringen av snabba gränsinsatsenheter bör medlemsstaterna genast skaffa fram nödvändig personal och utrustning för att fylla de behov som Grekland och Frontex har fastställt.</w:t>
            </w:r>
          </w:p>
        </w:tc>
        <w:tc>
          <w:tcPr>
            <w:tcW w:w="4024"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 xml:space="preserve"> Den snabba gränsinsatsenheten Poseidon inledde sin verksamhet på öarna i Egeiska havet den 28 december 2015. För närvarande deltar 775 gästande tjänstemän i insatsen (243 besättningsmedlemmar, 248 personer som arbetar med insamling av fingeravtryck, 53 preliminärundersökningsexperter, 30 experter på att upptäcka dokumentförfalskning, 75 tolkar, 16 utfrågningsspecialister, 8 stödpersoner från Frontex, 31 gruppledare och 71 samordnare).</w:t>
            </w:r>
          </w:p>
          <w:p>
            <w:pPr>
              <w:jc w:val="both"/>
              <w:rPr>
                <w:noProof/>
              </w:rPr>
            </w:pPr>
            <w:r>
              <w:rPr>
                <w:noProof/>
              </w:rPr>
              <w:t xml:space="preserve"> X Medlemsstaternas åtaganden uppgår till 83 % av den nödvändiga täckningen.</w:t>
            </w:r>
          </w:p>
        </w:tc>
      </w:tr>
      <w:tr>
        <w:trPr>
          <w:cantSplit/>
          <w:trHeight w:val="384"/>
        </w:trPr>
        <w:tc>
          <w:tcPr>
            <w:tcW w:w="2456" w:type="dxa"/>
            <w:vMerge w:val="restart"/>
            <w:tcBorders>
              <w:top w:val="single" w:sz="4" w:space="0" w:color="auto"/>
              <w:left w:val="single" w:sz="4" w:space="0" w:color="auto"/>
              <w:right w:val="single" w:sz="4" w:space="0" w:color="auto"/>
            </w:tcBorders>
            <w:vAlign w:val="center"/>
          </w:tcPr>
          <w:p>
            <w:pPr>
              <w:jc w:val="both"/>
              <w:rPr>
                <w:b/>
                <w:bCs/>
                <w:noProof/>
              </w:rPr>
            </w:pPr>
            <w:r>
              <w:rPr>
                <w:b/>
                <w:noProof/>
              </w:rPr>
              <w:t>Mottagningskapacitet</w:t>
            </w:r>
          </w:p>
        </w:tc>
        <w:tc>
          <w:tcPr>
            <w:tcW w:w="2984" w:type="dxa"/>
            <w:tcBorders>
              <w:top w:val="single" w:sz="4" w:space="0" w:color="auto"/>
              <w:left w:val="single" w:sz="4" w:space="0" w:color="auto"/>
              <w:bottom w:val="single" w:sz="4" w:space="0" w:color="auto"/>
              <w:right w:val="single" w:sz="4" w:space="0" w:color="auto"/>
            </w:tcBorders>
          </w:tcPr>
          <w:p>
            <w:pPr>
              <w:jc w:val="both"/>
              <w:rPr>
                <w:noProof/>
              </w:rPr>
            </w:pPr>
            <w:r>
              <w:rPr>
                <w:noProof/>
              </w:rPr>
              <w:t>Grekland måste snabbt slutföra byggandet av 7 000 platser på alla fem öar med mottagningscentrum.</w:t>
            </w:r>
          </w:p>
        </w:tc>
        <w:tc>
          <w:tcPr>
            <w:tcW w:w="4024"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 xml:space="preserve"> Platserna vid mottagningscentrumen bör tillhandahållas även under tiden som byggarbetena fortfarande pågår.</w:t>
            </w:r>
          </w:p>
        </w:tc>
      </w:tr>
      <w:tr>
        <w:trPr>
          <w:cantSplit/>
          <w:trHeight w:val="384"/>
        </w:trPr>
        <w:tc>
          <w:tcPr>
            <w:tcW w:w="2456" w:type="dxa"/>
            <w:vMerge/>
            <w:tcBorders>
              <w:left w:val="single" w:sz="4" w:space="0" w:color="auto"/>
              <w:right w:val="single" w:sz="4" w:space="0" w:color="auto"/>
            </w:tcBorders>
            <w:vAlign w:val="center"/>
          </w:tcPr>
          <w:p>
            <w:pPr>
              <w:jc w:val="both"/>
              <w:rPr>
                <w:b/>
                <w:noProof/>
              </w:rPr>
            </w:pPr>
          </w:p>
        </w:tc>
        <w:tc>
          <w:tcPr>
            <w:tcW w:w="2984" w:type="dxa"/>
            <w:tcBorders>
              <w:top w:val="single" w:sz="4" w:space="0" w:color="auto"/>
              <w:left w:val="single" w:sz="4" w:space="0" w:color="auto"/>
              <w:bottom w:val="single" w:sz="4" w:space="0" w:color="auto"/>
              <w:right w:val="single" w:sz="4" w:space="0" w:color="auto"/>
            </w:tcBorders>
          </w:tcPr>
          <w:p>
            <w:pPr>
              <w:jc w:val="both"/>
              <w:rPr>
                <w:noProof/>
              </w:rPr>
            </w:pPr>
            <w:r>
              <w:rPr>
                <w:noProof/>
              </w:rPr>
              <w:t xml:space="preserve">Grekland måste förbättra mottagningen av särskilt utsatta grupper, i synnerhet ensamkommande barn. </w:t>
            </w:r>
          </w:p>
        </w:tc>
        <w:tc>
          <w:tcPr>
            <w:tcW w:w="4024"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 xml:space="preserve"> Unicef, FN:s flyktingkommissariat och Rädda barnen har inlett ett pilotprojekt på Kos, Lesbos och Idomeni för att kunna ge minderåriga särskild omsorg. Avsikten är att utvidga projektet till Samos och Leros.</w:t>
            </w:r>
          </w:p>
          <w:p>
            <w:pPr>
              <w:jc w:val="both"/>
              <w:rPr>
                <w:noProof/>
              </w:rPr>
            </w:pPr>
            <w:r>
              <w:rPr>
                <w:noProof/>
              </w:rPr>
              <w:sym w:font="Wingdings" w:char="F0FC"/>
            </w:r>
            <w:r>
              <w:rPr>
                <w:noProof/>
              </w:rPr>
              <w:t xml:space="preserve"> Hälsoundersökningar planeras för alla mottagningscentrum som ett sista steg i registreringsförfarandet.</w:t>
            </w:r>
          </w:p>
          <w:p>
            <w:pPr>
              <w:jc w:val="both"/>
              <w:rPr>
                <w:noProof/>
              </w:rPr>
            </w:pPr>
            <w:r>
              <w:rPr>
                <w:noProof/>
              </w:rPr>
              <w:t>X Grekland bör upprätta tillräcklig inkvarteringskapacitet för ensamkommande barn och andra utsatta grupper efter att de förflyttats från öarna.</w:t>
            </w:r>
          </w:p>
        </w:tc>
      </w:tr>
      <w:tr>
        <w:trPr>
          <w:cantSplit/>
          <w:trHeight w:val="384"/>
        </w:trPr>
        <w:tc>
          <w:tcPr>
            <w:tcW w:w="2456" w:type="dxa"/>
            <w:vMerge/>
            <w:tcBorders>
              <w:left w:val="single" w:sz="4" w:space="0" w:color="auto"/>
              <w:right w:val="single" w:sz="4" w:space="0" w:color="auto"/>
            </w:tcBorders>
            <w:vAlign w:val="center"/>
          </w:tcPr>
          <w:p>
            <w:pPr>
              <w:jc w:val="both"/>
              <w:rPr>
                <w:b/>
                <w:noProof/>
              </w:rPr>
            </w:pPr>
          </w:p>
        </w:tc>
        <w:tc>
          <w:tcPr>
            <w:tcW w:w="2984" w:type="dxa"/>
            <w:tcBorders>
              <w:top w:val="single" w:sz="4" w:space="0" w:color="auto"/>
              <w:left w:val="single" w:sz="4" w:space="0" w:color="auto"/>
              <w:bottom w:val="single" w:sz="4" w:space="0" w:color="auto"/>
              <w:right w:val="single" w:sz="4" w:space="0" w:color="auto"/>
            </w:tcBorders>
          </w:tcPr>
          <w:p>
            <w:pPr>
              <w:jc w:val="both"/>
              <w:rPr>
                <w:noProof/>
              </w:rPr>
            </w:pPr>
            <w:r>
              <w:rPr>
                <w:noProof/>
              </w:rPr>
              <w:t xml:space="preserve">Fler strukturella lösningar behövs för att ombesörja mat och andra grundläggande behov i mottagningsanläggningarna. </w:t>
            </w:r>
          </w:p>
        </w:tc>
        <w:tc>
          <w:tcPr>
            <w:tcW w:w="4024" w:type="dxa"/>
            <w:tcBorders>
              <w:top w:val="single" w:sz="4" w:space="0" w:color="auto"/>
              <w:left w:val="single" w:sz="4" w:space="0" w:color="auto"/>
              <w:bottom w:val="single" w:sz="4" w:space="0" w:color="auto"/>
              <w:right w:val="single" w:sz="4" w:space="0" w:color="auto"/>
            </w:tcBorders>
          </w:tcPr>
          <w:p>
            <w:pPr>
              <w:jc w:val="both"/>
              <w:rPr>
                <w:noProof/>
              </w:rPr>
            </w:pPr>
            <w:r>
              <w:rPr>
                <w:noProof/>
              </w:rPr>
              <w:sym w:font="Wingdings" w:char="F0FC"/>
            </w:r>
            <w:r>
              <w:rPr>
                <w:noProof/>
              </w:rPr>
              <w:t xml:space="preserve"> De grekiska myndigheterna håller på att utarbeta ett ramavtal för cateringverksamhet vid mottagningscentrumen för 2016–2018.</w:t>
            </w:r>
          </w:p>
        </w:tc>
      </w:tr>
      <w:tr>
        <w:tc>
          <w:tcPr>
            <w:tcW w:w="2456" w:type="dxa"/>
            <w:vMerge/>
            <w:tcBorders>
              <w:left w:val="single" w:sz="4" w:space="0" w:color="auto"/>
              <w:right w:val="single" w:sz="4" w:space="0" w:color="auto"/>
            </w:tcBorders>
            <w:vAlign w:val="center"/>
          </w:tcPr>
          <w:p>
            <w:pPr>
              <w:jc w:val="both"/>
              <w:rPr>
                <w:b/>
                <w:noProof/>
              </w:rPr>
            </w:pPr>
          </w:p>
        </w:tc>
        <w:tc>
          <w:tcPr>
            <w:tcW w:w="2984" w:type="dxa"/>
            <w:tcBorders>
              <w:top w:val="single" w:sz="4" w:space="0" w:color="auto"/>
              <w:left w:val="single" w:sz="4" w:space="0" w:color="auto"/>
              <w:bottom w:val="single" w:sz="4" w:space="0" w:color="auto"/>
              <w:right w:val="single" w:sz="4" w:space="0" w:color="auto"/>
            </w:tcBorders>
          </w:tcPr>
          <w:p>
            <w:pPr>
              <w:jc w:val="both"/>
              <w:rPr>
                <w:noProof/>
              </w:rPr>
            </w:pPr>
            <w:r>
              <w:rPr>
                <w:noProof/>
              </w:rPr>
              <w:t xml:space="preserve">Grekland bör fortsätta att öka sin mottagningskapacitet i linje med sitt åtagande vid mötet med västra Balkanländernas ledare. </w:t>
            </w:r>
          </w:p>
        </w:tc>
        <w:tc>
          <w:tcPr>
            <w:tcW w:w="4024" w:type="dxa"/>
            <w:tcBorders>
              <w:top w:val="single" w:sz="4" w:space="0" w:color="auto"/>
              <w:left w:val="single" w:sz="4" w:space="0" w:color="auto"/>
              <w:bottom w:val="single" w:sz="4" w:space="0" w:color="auto"/>
              <w:right w:val="single" w:sz="4" w:space="0" w:color="auto"/>
            </w:tcBorders>
          </w:tcPr>
          <w:p>
            <w:pPr>
              <w:pStyle w:val="Corpsdutexte0"/>
              <w:shd w:val="clear" w:color="auto" w:fill="auto"/>
              <w:spacing w:after="180"/>
              <w:ind w:left="260"/>
              <w:rPr>
                <w:noProof/>
              </w:rPr>
            </w:pPr>
            <w:r>
              <w:rPr>
                <w:noProof/>
              </w:rPr>
              <w:sym w:font="Wingdings" w:char="F0FC"/>
            </w:r>
            <w:r>
              <w:rPr>
                <w:noProof/>
              </w:rPr>
              <w:t xml:space="preserve"> </w:t>
            </w:r>
            <w:r>
              <w:rPr>
                <w:noProof/>
                <w:sz w:val="24"/>
              </w:rPr>
              <w:t xml:space="preserve">Det totala antalet platser som för närvarande finns tillgängliga i mottagningscentrum i Grekland är 34 419 (FN:s flyktingkommissariats hyresprojekt inte medräknat). Där ingår följande: </w:t>
            </w:r>
          </w:p>
          <w:p>
            <w:pPr>
              <w:pStyle w:val="Corpsdutexte0"/>
              <w:numPr>
                <w:ilvl w:val="0"/>
                <w:numId w:val="2"/>
              </w:numPr>
              <w:shd w:val="clear" w:color="auto" w:fill="auto"/>
              <w:spacing w:after="180"/>
              <w:ind w:left="720"/>
              <w:rPr>
                <w:noProof/>
                <w:sz w:val="24"/>
                <w:szCs w:val="24"/>
              </w:rPr>
            </w:pPr>
            <w:r>
              <w:rPr>
                <w:noProof/>
                <w:sz w:val="24"/>
              </w:rPr>
              <w:t>17 906 platser i öppna mottagningscentrum på fastlandet (Elaionas, Elliniko, Attiko Alsos, Idomeni, Orestiada, Schisto, Diavata, Nea Kavala, Cherso). Vissa av dessa anläggningar är endast lämpliga för kortare vistelser, medan andra är ämnade för längre vistelser.</w:t>
            </w:r>
          </w:p>
          <w:p>
            <w:pPr>
              <w:pStyle w:val="Corpsdutexte0"/>
              <w:numPr>
                <w:ilvl w:val="0"/>
                <w:numId w:val="2"/>
              </w:numPr>
              <w:shd w:val="clear" w:color="auto" w:fill="auto"/>
              <w:spacing w:after="180"/>
              <w:ind w:left="720"/>
              <w:rPr>
                <w:noProof/>
                <w:sz w:val="24"/>
                <w:szCs w:val="24"/>
              </w:rPr>
            </w:pPr>
            <w:r>
              <w:rPr>
                <w:noProof/>
                <w:sz w:val="24"/>
              </w:rPr>
              <w:t>1 221 platser i anläggningar särskilt avsedda för asylsökande och ensamkommande barn på fastlandet och öarna.</w:t>
            </w:r>
          </w:p>
          <w:p>
            <w:pPr>
              <w:pStyle w:val="Corpsdutexte0"/>
              <w:numPr>
                <w:ilvl w:val="0"/>
                <w:numId w:val="2"/>
              </w:numPr>
              <w:shd w:val="clear" w:color="auto" w:fill="auto"/>
              <w:spacing w:after="180"/>
              <w:ind w:left="720"/>
              <w:rPr>
                <w:noProof/>
                <w:sz w:val="24"/>
                <w:szCs w:val="24"/>
              </w:rPr>
            </w:pPr>
            <w:r>
              <w:rPr>
                <w:noProof/>
                <w:sz w:val="24"/>
              </w:rPr>
              <w:t>5 500 platser i mottagningscentrum i utsatta områden/hotspots (inklusive 1 100 platser i reservanläggningen Kara Tepe på Lesbos).</w:t>
            </w:r>
          </w:p>
          <w:p>
            <w:pPr>
              <w:pStyle w:val="Corpsdutexte0"/>
              <w:numPr>
                <w:ilvl w:val="0"/>
                <w:numId w:val="2"/>
              </w:numPr>
              <w:shd w:val="clear" w:color="auto" w:fill="auto"/>
              <w:spacing w:after="180"/>
              <w:ind w:left="720"/>
              <w:rPr>
                <w:noProof/>
                <w:sz w:val="24"/>
                <w:szCs w:val="24"/>
              </w:rPr>
            </w:pPr>
            <w:r>
              <w:rPr>
                <w:noProof/>
                <w:sz w:val="24"/>
              </w:rPr>
              <w:t>4 433 andra platser i anläggningar för första mottagande på öarna (ej hotspots).</w:t>
            </w:r>
          </w:p>
          <w:p>
            <w:pPr>
              <w:pStyle w:val="Corpsdutexte0"/>
              <w:numPr>
                <w:ilvl w:val="0"/>
                <w:numId w:val="2"/>
              </w:numPr>
              <w:shd w:val="clear" w:color="auto" w:fill="auto"/>
              <w:spacing w:after="180"/>
              <w:ind w:left="720"/>
              <w:rPr>
                <w:noProof/>
                <w:sz w:val="24"/>
                <w:szCs w:val="24"/>
              </w:rPr>
            </w:pPr>
            <w:r>
              <w:rPr>
                <w:noProof/>
                <w:sz w:val="24"/>
              </w:rPr>
              <w:t>5 359 platser vid anläggningarna för vistelse före återsändande.</w:t>
            </w:r>
          </w:p>
          <w:p>
            <w:pPr>
              <w:pStyle w:val="Corpsdutexte0"/>
              <w:shd w:val="clear" w:color="auto" w:fill="auto"/>
              <w:spacing w:before="180" w:after="180" w:line="226" w:lineRule="exact"/>
              <w:ind w:left="260" w:firstLine="0"/>
              <w:rPr>
                <w:noProof/>
                <w:sz w:val="24"/>
                <w:szCs w:val="24"/>
              </w:rPr>
            </w:pPr>
            <w:r>
              <w:rPr>
                <w:noProof/>
                <w:sz w:val="24"/>
              </w:rPr>
              <w:t>När de planerade utbyggnaderna av anläggningarna i Schisto och Diavata är färdiga kommer det totala antalet platser i mottagningscentrum i Grekland att uppgå till 38 619 (FN:s flyktingkommissariats hyresprojekt inte medräknat).</w:t>
            </w:r>
          </w:p>
          <w:p>
            <w:pPr>
              <w:pStyle w:val="Corpsdutexte0"/>
              <w:shd w:val="clear" w:color="auto" w:fill="auto"/>
              <w:spacing w:before="180" w:after="180" w:line="226" w:lineRule="exact"/>
              <w:ind w:left="260" w:firstLine="0"/>
              <w:rPr>
                <w:noProof/>
                <w:sz w:val="24"/>
                <w:szCs w:val="24"/>
              </w:rPr>
            </w:pPr>
            <w:r>
              <w:rPr>
                <w:noProof/>
                <w:sz w:val="24"/>
              </w:rPr>
              <w:t>FN:s flyktingkommissariat har undertecknat genomförandeavtal med de icke-statliga organisationerna Praksis, Nostos, Iliaktida, Solidarity Now och Arsis för tillhandahållande av totalt 16 250 platser år 2016 inom ramen för FN:s flyktingkommissariats hyresprojekt. Dessutom pågår förhandlingar med Atens kommun, Médecins du Monde och det grekiska flyktingrådet för tillhandahållande av ytterligare 1 880 platser under 2016, vilket skulle innebära att totalt 18 130 platser ska inrättas under 2016. Totalt 2 788 platser är för närvarande tillgängliga via den icke-statliga organisationen Praksis genom hotellvouchersystemet och i lägenheter.</w:t>
            </w:r>
          </w:p>
          <w:p>
            <w:pPr>
              <w:pStyle w:val="Corpsdutexte0"/>
              <w:shd w:val="clear" w:color="auto" w:fill="auto"/>
              <w:spacing w:before="180" w:line="226" w:lineRule="exact"/>
              <w:ind w:left="260" w:firstLine="0"/>
              <w:rPr>
                <w:noProof/>
                <w:sz w:val="24"/>
                <w:szCs w:val="24"/>
              </w:rPr>
            </w:pPr>
            <w:r>
              <w:rPr>
                <w:noProof/>
                <w:sz w:val="24"/>
              </w:rPr>
              <w:t>Dessutom bör FN:s flyktingkommissariat fortsätta att ingå genomförandeavtal för att uppnå målet på 20 000 platser inom ramen för hyresprojektet så fort som möjligt.</w:t>
            </w:r>
          </w:p>
          <w:p>
            <w:pPr>
              <w:pStyle w:val="Corpsdutexte0"/>
              <w:shd w:val="clear" w:color="auto" w:fill="auto"/>
              <w:spacing w:before="180" w:line="226" w:lineRule="exact"/>
              <w:ind w:left="260" w:firstLine="0"/>
              <w:rPr>
                <w:noProof/>
                <w:sz w:val="24"/>
                <w:szCs w:val="24"/>
              </w:rPr>
            </w:pPr>
            <w:r>
              <w:rPr>
                <w:noProof/>
                <w:sz w:val="24"/>
              </w:rPr>
              <w:t>Med stöd av Europeiska kommissionen och FN:s flyktingkommissariat bör Grekland fortsätta att utöka och uppgradera sin mottagningskapacitet för att sörja för de migranter och flyktingar som befinner sig på grekiskt territorium.</w:t>
            </w:r>
          </w:p>
          <w:p>
            <w:pPr>
              <w:jc w:val="both"/>
              <w:rPr>
                <w:noProof/>
              </w:rPr>
            </w:pPr>
            <w:r>
              <w:rPr>
                <w:noProof/>
              </w:rPr>
              <w:t xml:space="preserve"> X Med stöd av Europeiska kommissionen och FN:s flyktingkommissariat bör Grekland fortsätta att utöka och uppgradera sin mottagningskapacitet för att sörja för de migranter och flyktingar som befinner sig på grekiskt territorium. </w:t>
            </w:r>
          </w:p>
        </w:tc>
      </w:tr>
      <w:tr>
        <w:trPr>
          <w:cantSplit/>
          <w:trHeight w:val="384"/>
        </w:trPr>
        <w:tc>
          <w:tcPr>
            <w:tcW w:w="2456" w:type="dxa"/>
            <w:vMerge/>
            <w:tcBorders>
              <w:left w:val="single" w:sz="4" w:space="0" w:color="auto"/>
              <w:bottom w:val="single" w:sz="4" w:space="0" w:color="auto"/>
              <w:right w:val="single" w:sz="4" w:space="0" w:color="auto"/>
            </w:tcBorders>
            <w:vAlign w:val="center"/>
          </w:tcPr>
          <w:p>
            <w:pPr>
              <w:jc w:val="both"/>
              <w:rPr>
                <w:b/>
                <w:noProof/>
              </w:rPr>
            </w:pPr>
          </w:p>
        </w:tc>
        <w:tc>
          <w:tcPr>
            <w:tcW w:w="2984" w:type="dxa"/>
            <w:tcBorders>
              <w:top w:val="single" w:sz="4" w:space="0" w:color="auto"/>
              <w:left w:val="single" w:sz="4" w:space="0" w:color="auto"/>
              <w:bottom w:val="single" w:sz="4" w:space="0" w:color="auto"/>
              <w:right w:val="single" w:sz="4" w:space="0" w:color="auto"/>
            </w:tcBorders>
          </w:tcPr>
          <w:p>
            <w:pPr>
              <w:jc w:val="both"/>
              <w:rPr>
                <w:noProof/>
              </w:rPr>
            </w:pPr>
            <w:r>
              <w:rPr>
                <w:noProof/>
              </w:rPr>
              <w:t xml:space="preserve">Medlemsstaterna bör utan dröjsmål besvara begäran om bistånd inom ramen för unionens civilskyddsmekanism. </w:t>
            </w:r>
          </w:p>
        </w:tc>
        <w:tc>
          <w:tcPr>
            <w:tcW w:w="4024" w:type="dxa"/>
            <w:tcBorders>
              <w:top w:val="single" w:sz="4" w:space="0" w:color="auto"/>
              <w:left w:val="single" w:sz="4" w:space="0" w:color="auto"/>
              <w:bottom w:val="single" w:sz="4" w:space="0" w:color="auto"/>
              <w:right w:val="single" w:sz="4" w:space="0" w:color="auto"/>
            </w:tcBorders>
          </w:tcPr>
          <w:p>
            <w:pPr>
              <w:jc w:val="both"/>
              <w:rPr>
                <w:noProof/>
              </w:rPr>
            </w:pPr>
            <w:r>
              <w:rPr>
                <w:noProof/>
              </w:rPr>
              <w:t>X Endast 9 medlemsstater har erbjudit bistånd inom ramen för unionens civilskyddsmekanism.</w:t>
            </w:r>
          </w:p>
        </w:tc>
      </w:tr>
    </w:tbl>
    <w:p>
      <w:pPr>
        <w:jc w:val="both"/>
        <w:rPr>
          <w:noProof/>
        </w:rPr>
      </w:pPr>
    </w:p>
    <w:p>
      <w:pPr>
        <w:jc w:val="both"/>
        <w:rPr>
          <w:noProof/>
        </w:rPr>
      </w:pPr>
    </w:p>
    <w:p>
      <w:pPr>
        <w:jc w:val="both"/>
        <w:rPr>
          <w:noProof/>
        </w:rPr>
      </w:pPr>
    </w:p>
    <w:p>
      <w:pPr>
        <w:jc w:val="both"/>
        <w:rPr>
          <w:noProof/>
        </w:rPr>
      </w:pPr>
    </w:p>
    <w:p>
      <w:pPr>
        <w:jc w:val="both"/>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 Square Sans Pro">
    <w:altName w:val="Segoe UI"/>
    <w:charset w:val="00"/>
    <w:family w:val="swiss"/>
    <w:pitch w:val="variable"/>
    <w:sig w:usb0="00000001" w:usb1="5000E0F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81582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284" w:hanging="284"/>
        <w:jc w:val="both"/>
      </w:pPr>
      <w:r>
        <w:rPr>
          <w:rStyle w:val="FootnoteReference"/>
        </w:rPr>
        <w:footnoteRef/>
      </w:r>
      <w:r>
        <w:rPr>
          <w:rStyle w:val="FootnoteReference"/>
        </w:rPr>
        <w:t xml:space="preserve"> </w:t>
      </w:r>
      <w:r>
        <w:tab/>
        <w:t xml:space="preserve">Kommissionens meddelande </w:t>
      </w:r>
      <w:r>
        <w:rPr>
          <w:i/>
        </w:rPr>
        <w:t>En europeisk migrationsagenda</w:t>
      </w:r>
      <w:r>
        <w:t xml:space="preserve"> (COM(2015) 240 av den 13 maj 2015).</w:t>
      </w:r>
    </w:p>
  </w:footnote>
  <w:footnote w:id="2">
    <w:p>
      <w:pPr>
        <w:pStyle w:val="Default"/>
        <w:ind w:left="284" w:hanging="284"/>
        <w:jc w:val="both"/>
      </w:pPr>
      <w:r>
        <w:rPr>
          <w:rStyle w:val="FootnoteReference"/>
          <w:rFonts w:ascii="Times New Roman" w:hAnsi="Times New Roman"/>
          <w:color w:val="auto"/>
          <w:sz w:val="20"/>
        </w:rPr>
        <w:footnoteRef/>
      </w:r>
      <w:r>
        <w:rPr>
          <w:rFonts w:ascii="Times New Roman" w:hAnsi="Times New Roman"/>
          <w:color w:val="auto"/>
          <w:sz w:val="20"/>
        </w:rPr>
        <w:t xml:space="preserve"> </w:t>
      </w:r>
      <w:r>
        <w:tab/>
      </w:r>
      <w:r>
        <w:rPr>
          <w:rFonts w:ascii="Times New Roman" w:hAnsi="Times New Roman"/>
          <w:color w:val="auto"/>
          <w:sz w:val="20"/>
        </w:rPr>
        <w:t xml:space="preserve">Kommissionens meddelande </w:t>
      </w:r>
      <w:r>
        <w:rPr>
          <w:rFonts w:ascii="Times New Roman" w:hAnsi="Times New Roman"/>
          <w:i/>
          <w:color w:val="auto"/>
          <w:sz w:val="20"/>
        </w:rPr>
        <w:t>Hantering av flyktingkrisen: omedelbara operativa, budgetära och rättsliga åtgärder enligt den europeiska migrationsagendan</w:t>
      </w:r>
      <w:r>
        <w:rPr>
          <w:rFonts w:ascii="Times New Roman" w:hAnsi="Times New Roman"/>
          <w:color w:val="auto"/>
          <w:sz w:val="20"/>
        </w:rPr>
        <w:t xml:space="preserve"> (COM(2015) 490 av den 23 september 2015).</w:t>
      </w:r>
    </w:p>
  </w:footnote>
  <w:footnote w:id="3">
    <w:p>
      <w:pPr>
        <w:pStyle w:val="FootnoteText"/>
        <w:ind w:left="284" w:hanging="284"/>
        <w:jc w:val="both"/>
      </w:pPr>
      <w:r>
        <w:rPr>
          <w:rStyle w:val="FootnoteReference"/>
        </w:rPr>
        <w:footnoteRef/>
      </w:r>
      <w:r>
        <w:rPr>
          <w:rStyle w:val="FootnoteReference"/>
        </w:rPr>
        <w:t xml:space="preserve"> </w:t>
      </w:r>
      <w:r>
        <w:tab/>
        <w:t xml:space="preserve">Kommissionens meddelande </w:t>
      </w:r>
      <w:r>
        <w:rPr>
          <w:i/>
        </w:rPr>
        <w:t>Hantering av flyktingkrisen:</w:t>
      </w:r>
      <w:r>
        <w:t xml:space="preserve"> </w:t>
      </w:r>
      <w:r>
        <w:rPr>
          <w:i/>
        </w:rPr>
        <w:t>lägesrapport om genomförandet av de prioriterade åtgärderna i den europeiska migrationsagendan</w:t>
      </w:r>
      <w:r>
        <w:t xml:space="preserve"> (COM(2015) 510 av den 14 oktober 2015).</w:t>
      </w:r>
    </w:p>
  </w:footnote>
  <w:footnote w:id="4">
    <w:p>
      <w:pPr>
        <w:pStyle w:val="FootnoteText"/>
        <w:ind w:left="284" w:hanging="284"/>
        <w:jc w:val="both"/>
      </w:pPr>
      <w:r>
        <w:rPr>
          <w:rStyle w:val="FootnoteReference"/>
        </w:rPr>
        <w:footnoteRef/>
      </w:r>
      <w:r>
        <w:rPr>
          <w:rStyle w:val="FootnoteReference"/>
        </w:rPr>
        <w:t xml:space="preserve"> </w:t>
      </w:r>
      <w:r>
        <w:tab/>
        <w:t xml:space="preserve">Kommissionens meddelande </w:t>
      </w:r>
      <w:r>
        <w:rPr>
          <w:i/>
        </w:rPr>
        <w:t xml:space="preserve">Lägesrapport om genomförandet av mottagningscentrum (hotspots) i Grekland </w:t>
      </w:r>
      <w:r>
        <w:t>(COM(2015) 678 av den 15 december 2015).</w:t>
      </w:r>
    </w:p>
  </w:footnote>
  <w:footnote w:id="5">
    <w:p>
      <w:pPr>
        <w:pStyle w:val="FootnoteText"/>
        <w:ind w:left="284" w:hanging="284"/>
        <w:jc w:val="both"/>
      </w:pPr>
      <w:r>
        <w:rPr>
          <w:rStyle w:val="FootnoteReference"/>
        </w:rPr>
        <w:footnoteRef/>
      </w:r>
      <w:r>
        <w:t xml:space="preserve"> </w:t>
      </w:r>
      <w:r>
        <w:tab/>
        <w:t xml:space="preserve">Kommissionens meddelande om lägesrapporten om genomförandet av de prioriterade åtgärderna i den europeiska migrationsagendan (COM(2016) 85 av den 10 februari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10851"/>
    <w:multiLevelType w:val="hybridMultilevel"/>
    <w:tmpl w:val="92207F0A"/>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A06620CEC1F748F6B6F1F8D64DDDEED6"/>
    <w:docVar w:name="LW_CROSSREFERENCE" w:val="&lt;UNUSED&gt;"/>
    <w:docVar w:name="LW_DocType" w:val="NORMAL"/>
    <w:docVar w:name="LW_EMISSION" w:val="4.3.2016"/>
    <w:docVar w:name="LW_EMISSION_ISODATE" w:val="2016-03-04"/>
    <w:docVar w:name="LW_EMISSION_LOCATION" w:val="BRX"/>
    <w:docVar w:name="LW_EMISSION_PREFIX" w:val="Bryssel den "/>
    <w:docVar w:name="LW_EMISSION_SUFFIX" w:val=" "/>
    <w:docVar w:name="LW_ID_DOCTYPE_NONLW" w:val="CP-006"/>
    <w:docVar w:name="LW_LANGUE" w:val="SV"/>
    <w:docVar w:name="LW_MARKING" w:val="&lt;UNUSED&g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16) 141"/>
    <w:docVar w:name="LW_REF.INTERNE" w:val="&lt;UNUSED&gt;"/>
    <w:docVar w:name="LW_SOUS.TITRE.OBJ.CP" w:val="&lt;UNUSED&gt;"/>
    <w:docVar w:name="LW_SUPERTITRE" w:val="&lt;UNUSED&gt;"/>
    <w:docVar w:name="LW_TITRE.OBJ.CP" w:val="Lägesrapport om genomförandet av mottagningscentrum (hotspots) i Grekland "/>
    <w:docVar w:name="LW_TYPE.DOC.CP" w:val="RAPPORT FRÅN KOMMISSIONEN TILL EUROPAPARLAMENTET OCH RÅDE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EC Square Sans Pro" w:hAnsi="EC Square Sans Pro" w:cs="EC Square Sans Pro"/>
      <w:color w:val="000000"/>
      <w:sz w:val="24"/>
      <w:szCs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4"/>
      <w:szCs w:val="24"/>
    </w:rPr>
  </w:style>
  <w:style w:type="character" w:customStyle="1" w:styleId="Corpsdutexte">
    <w:name w:val="Corps du texte_"/>
    <w:basedOn w:val="DefaultParagraphFont"/>
    <w:link w:val="Corpsdutexte0"/>
    <w:locked/>
    <w:rPr>
      <w:shd w:val="clear" w:color="auto" w:fill="FFFFFF"/>
    </w:rPr>
  </w:style>
  <w:style w:type="paragraph" w:customStyle="1" w:styleId="Corpsdutexte0">
    <w:name w:val="Corps du texte"/>
    <w:basedOn w:val="Normal"/>
    <w:link w:val="Corpsdutexte"/>
    <w:pPr>
      <w:shd w:val="clear" w:color="auto" w:fill="FFFFFF"/>
      <w:spacing w:line="230" w:lineRule="exact"/>
      <w:ind w:hanging="26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EC Square Sans Pro" w:hAnsi="EC Square Sans Pro" w:cs="EC Square Sans Pro"/>
      <w:color w:val="000000"/>
      <w:sz w:val="24"/>
      <w:szCs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4"/>
      <w:szCs w:val="24"/>
    </w:rPr>
  </w:style>
  <w:style w:type="character" w:customStyle="1" w:styleId="Corpsdutexte">
    <w:name w:val="Corps du texte_"/>
    <w:basedOn w:val="DefaultParagraphFont"/>
    <w:link w:val="Corpsdutexte0"/>
    <w:locked/>
    <w:rPr>
      <w:shd w:val="clear" w:color="auto" w:fill="FFFFFF"/>
    </w:rPr>
  </w:style>
  <w:style w:type="paragraph" w:customStyle="1" w:styleId="Corpsdutexte0">
    <w:name w:val="Corps du texte"/>
    <w:basedOn w:val="Normal"/>
    <w:link w:val="Corpsdutexte"/>
    <w:pPr>
      <w:shd w:val="clear" w:color="auto" w:fill="FFFFFF"/>
      <w:spacing w:line="230" w:lineRule="exact"/>
      <w:ind w:hanging="2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8534">
      <w:bodyDiv w:val="1"/>
      <w:marLeft w:val="0"/>
      <w:marRight w:val="0"/>
      <w:marTop w:val="0"/>
      <w:marBottom w:val="0"/>
      <w:divBdr>
        <w:top w:val="none" w:sz="0" w:space="0" w:color="auto"/>
        <w:left w:val="none" w:sz="0" w:space="0" w:color="auto"/>
        <w:bottom w:val="none" w:sz="0" w:space="0" w:color="auto"/>
        <w:right w:val="none" w:sz="0" w:space="0" w:color="auto"/>
      </w:divBdr>
    </w:div>
    <w:div w:id="602761167">
      <w:bodyDiv w:val="1"/>
      <w:marLeft w:val="0"/>
      <w:marRight w:val="0"/>
      <w:marTop w:val="0"/>
      <w:marBottom w:val="0"/>
      <w:divBdr>
        <w:top w:val="none" w:sz="0" w:space="0" w:color="auto"/>
        <w:left w:val="none" w:sz="0" w:space="0" w:color="auto"/>
        <w:bottom w:val="none" w:sz="0" w:space="0" w:color="auto"/>
        <w:right w:val="none" w:sz="0" w:space="0" w:color="auto"/>
      </w:divBdr>
    </w:div>
    <w:div w:id="708795474">
      <w:bodyDiv w:val="1"/>
      <w:marLeft w:val="0"/>
      <w:marRight w:val="0"/>
      <w:marTop w:val="0"/>
      <w:marBottom w:val="0"/>
      <w:divBdr>
        <w:top w:val="none" w:sz="0" w:space="0" w:color="auto"/>
        <w:left w:val="none" w:sz="0" w:space="0" w:color="auto"/>
        <w:bottom w:val="none" w:sz="0" w:space="0" w:color="auto"/>
        <w:right w:val="none" w:sz="0" w:space="0" w:color="auto"/>
      </w:divBdr>
    </w:div>
    <w:div w:id="180977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81A31-FFE2-42AD-B966-9C5C049E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19</Pages>
  <Words>4058</Words>
  <Characters>25525</Characters>
  <Application>Microsoft Office Word</Application>
  <DocSecurity>0</DocSecurity>
  <Lines>1063</Lines>
  <Paragraphs>162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2016-03-03T17:06:00Z</cp:lastPrinted>
  <dcterms:created xsi:type="dcterms:W3CDTF">2016-03-03T18:58:00Z</dcterms:created>
  <dcterms:modified xsi:type="dcterms:W3CDTF">2016-07-01T08:30:00Z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