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C84A2733B01B4F779CE30CCBC35C722D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Odůvodnění a cíle návrhu</w:t>
      </w:r>
    </w:p>
    <w:p>
      <w:pPr>
        <w:rPr>
          <w:noProof/>
        </w:rPr>
      </w:pPr>
      <w:r>
        <w:rPr>
          <w:noProof/>
        </w:rPr>
        <w:t>Evropská komise s cílem zajistit spravedlivější a efektivnější zdanění v EU provádí ambiciózní program pro boj proti daňovým únikům a vyhýbání se daňovým povinnostem. Ústředním bodem tohoto programu je zvýšení daňové transparentnosti. Za posledních několik let bylo při zvyšování daňové transparentnosti a posilování spolupráce daňových orgánů v celé EU dosaženo významného pokroku. Členské státy se dohodly na nových právních předpisech zajišťujících automatickou výměnu informací o daňových rozhodnutích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 o zprávách nadnárodních podniků týkajících se daní podle jednotlivých zemí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V dubnu 2016 Komise rovněž navrhla, aby velké nadnárodní podniky zveřejňovaly stanovený soubor daňových údajů podle jednotlivých zemí. Pokud jde o účty fyzických osob, v lednu 2016 vstoupil v platnost nový právní předpis EU, podle kterého si daňové orgány členských států budou automaticky vyměňovat informace o finančních účtech vedených v zahraničí. To pomůže zabránit ukrývání finančních prostředků v zahraničí s úmyslem vyhnout se zdanění. </w:t>
      </w:r>
    </w:p>
    <w:p>
      <w:pPr>
        <w:rPr>
          <w:noProof/>
        </w:rPr>
      </w:pPr>
      <w:r>
        <w:rPr>
          <w:noProof/>
        </w:rPr>
        <w:t>Informace, které nedávno pronikly do médií a které odhalují, jak je ukrývání finančních prostředků v zahraničí rozšířeno, potvrzují důležitost programu EU v oblasti daňové transparentnosti. Tyto informace také upozornily na oblasti, v nichž je zapotřebí přijmout další opatření pro posílení mezinárodního rámce a rámce EU pro transparentnost. Zejména se ukázalo, že pokud mají daňové orgány účinně odhalovat daňové úniky a bojovat proti nim, potřebují širší přístup k informacím o skutečných vlastnících zprostředkovatelských subjektů a k dalším informacím souvisejícím s náležitou péčí, pokud jde o zákazníky.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 xml:space="preserve">Prohlášení skupiny G20 ze dne 18. dubna vyzývá Finanční akční výbor („FATF“) a Globální fórum pro transparentnost a výměnu informací v daňových záležitostech, aby předložily počáteční návrhy na zlepšení provádění mezinárodních standardů v oblasti transparentnosti, včetně standardů týkajících se dostupnosti informací o skutečných vlastnících a jejich mezinárodní výměny. 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>Ministři zahraničí příslušných pěti zemí EU, kteří se setkání skupiny G20 zúčastnili, vydali dne 14. dubna 2016 prohlášení, které se soustředí na boj proti daňovým únikům, agresivnímu daňovému plánování a praní peněz. V tomto prohlášení zejména zdůraznili zásadní význam efektivního a rychlého zavedení globálního standardu pro automatickou výměnu informací o finančních účtech v daňové oblasti („globální standard“). Kromě toho nastínili problémy, které se vyskytují, pokud jde o dostupnost informací o skutečných vlastnících, a upozornili na společné vzorce používané při praní peněz, daňových únicích a nedovoleném financování.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 xml:space="preserve">Směrnice 2014/107/EU („směrnice“), kterou se mění směrnice 2011/16/EU („směrnice o správní spolupráci“), byla přijata v roce 2014 a platí od 1. ledna 2016 pro 27 členských států a od 1. ledna 2017 pro Rakousko. Tato směrnice zavádí globální standard pro automatickou výměnu informací o finančních účtech v daňové oblasti v celé EU. Jeho prostřednictvím zajišťuje, aby informace o majiteli finančních účtů byly oznámeny členskému státu, jehož je majitel účtu rezident. 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>Kromě toho směrnice stanoví, že pokud je majitel účtu zprostředkující strukturou (tj. pasivním nefinančním subjektem), musí finanční instituce tuto strukturu prozkoumat a identifikovat a nahlásit osoby, které ji ovládají („skutečné vlastníky“ podle terminologie boje proti praní peněz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). Tato identifikace v rámci provádění směrnice zcela závisí na informacích pro boj proti praní peněz. 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>Pokud daňové orgány nebudou mít k těmto informacím pro boj proti praní peněz přístup, bude účinnost monitorování uplatňování směrnice o správní spolupráci ze strany finančních institucí výrazně snížena. Bez uvedených informací nebudou daňové orgány schopny monitorovat, potvrdit ani kontrolovat, zda finanční instituce směrnici uplatňují náležitým způsobem a správně identifikují a hlásí osoby ovládající zprostředkující struktury.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>Cílem této iniciativy je proto umožnit daňovým orgánům stálý přístup k informacím pro boj proti praní peněz za účelem plnění jejich povinnosti monitorovat řádné uplatňování směrnice o správní spolupráci ze strany finančních institucí.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 xml:space="preserve">Přístup daňových správ k informacím pro boj proti praní peněz se v zemích EU značně liší. I když tento přístup mají, stále se často potýkají s významnými překážkami, které snižují účinnost jejich boje proti daňovým únikům a vyhýbání se daňovým povinnostem. Změny čtvrté směrnice o boji proti praní peněz uvedené v následujícím oddíle jsou důležité pro zlepšení odhalování praní peněz, korupce, financování terorismu a jiné trestné činnosti. Daňové orgány by měly mít přístup k těmto informacím také proto, aby mohly maximalizovat svoji schopnost bojovat proti daňovým únikům a vyhýbání se daňovým povinnostem. Komise proto navrhuje, aby byl tento přístup zajištěn prostřednictvím směrnice o správní spolupráci, která tvoří rámec mnoha dalších opatření EU v oblasti daňové transparentnosti. 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>Umožněním tohoto přístupu jsou dotčeny vnitřní správní záležitosti členských států a jeho součástí nejsou žádné oznamovací nebo jiné správní povinnosti externích zúčastněných stran. Případná dodatečná administrativní zátěž finančních institucí v souvislosti s povinností předložit daňovým orgánům během kontrol, přezkumů a auditů informace pro boj proti praní peněz, by byla: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 xml:space="preserve">i) striktně spojena s </w:t>
      </w:r>
      <w:r>
        <w:rPr>
          <w:i/>
          <w:noProof/>
        </w:rPr>
        <w:t>dozorem nad plněním již existujících povinností</w:t>
      </w:r>
      <w:r>
        <w:rPr>
          <w:noProof/>
        </w:rPr>
        <w:t>, jejichž dopad na administrativní zátěž byl zohledněn již v okamžiku, kdy byly tyto povinnosti stanoveny;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 xml:space="preserve">ii) různá v jednotlivých případech v závislosti na zjištěních učiněných při kontrolách, přezkumech a auditech; a </w:t>
      </w:r>
    </w:p>
    <w:p>
      <w:pPr>
        <w:rPr>
          <w:rFonts w:eastAsia="Times New Roman"/>
          <w:noProof/>
        </w:rPr>
      </w:pPr>
      <w:r>
        <w:rPr>
          <w:noProof/>
        </w:rPr>
        <w:t>iii) vždy související s celkovými kontrolami, přezkumy a audity plnění všech stávajících povinností spojených s identifikací osob, jež jsou oznamovány podle směrnice o správní spolupráci, nikoliv pouze povinnosti identifikace ovládajících osob / skutečných vlastníků.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Soulad s platnými předpisy v dané oblasti politiky</w:t>
      </w:r>
    </w:p>
    <w:p>
      <w:pPr>
        <w:rPr>
          <w:noProof/>
        </w:rPr>
      </w:pPr>
      <w:r>
        <w:rPr>
          <w:noProof/>
        </w:rPr>
        <w:t>Změny čtvrté směrnice o boji proti praní peněz (COM(2016) 450)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>Ve svém akčním plánu pro zesílení boje proti financování terorismu přijatém dne 2. února 2016 se Komise zavázala, že za účelem dalšího posílení předpisů proti financování terorismu v první polovině roku 2016 předloží návrhy na změny čtvrté směrnice pro boj proti praní peněz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Potřeba dále posílit pravidla pro boj proti praní peněz s cílem zvýšit transparentnost a zlepšit dostupnost informací o skutečném vlastnictví rovněž Komisi vedla k navržení změn čtvrté směrnice o boji proti praní peněz poté, co Komise posoudila možnosti uvedené ve druhé části posouzení dopadů navrhovaných změn. 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>Změny čtvrté směrnice o boji proti praní peněz zohledňují souvislost boje proti praní peněz a daňovým únikům s celosvětovými problémy. Tyto změny se opírají o jasné synergie náležité péče, pokud jde o zákazníky, prováděné podle čtvrté směrnice o boji proti praní peněz a této péče prováděné podle směrnice o správní spolupráci.</w:t>
      </w:r>
    </w:p>
    <w:p>
      <w:pPr>
        <w:spacing w:after="0"/>
        <w:rPr>
          <w:rFonts w:eastAsia="Times New Roman"/>
          <w:noProof/>
        </w:rPr>
      </w:pPr>
      <w:r>
        <w:rPr>
          <w:noProof/>
        </w:rPr>
        <w:t>Obdobně skutečnost, že informace pro boj proti praní peněz jsou jasně rozpoznatelné a dostupné na základě konkrétních ustanovení ve čtvrté směrnici o boji proti praní peněz, umožňuje odkazovat přímo na daná ustanovení, aniž by finanční instituce musely tyto informace opakovat pro účely směrnice o správní spolupráci.</w:t>
      </w:r>
    </w:p>
    <w:p>
      <w:pPr>
        <w:spacing w:after="240"/>
        <w:rPr>
          <w:rFonts w:eastAsia="Times New Roman"/>
          <w:noProof/>
        </w:rPr>
      </w:pPr>
      <w:r>
        <w:rPr>
          <w:noProof/>
        </w:rPr>
        <w:t>Uvedené dva návrhy jsou předkládány společně se sdělením vydaným téhož dne (COM(2016) 451).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Právní základ</w:t>
      </w:r>
    </w:p>
    <w:p>
      <w:pPr>
        <w:rPr>
          <w:rFonts w:eastAsia="Times New Roman"/>
          <w:noProof/>
        </w:rPr>
      </w:pPr>
      <w:r>
        <w:rPr>
          <w:noProof/>
        </w:rPr>
        <w:t>Tento návrh mění směrnici 2011/16/EU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ve znění směrnice 2014/107/EU</w:t>
      </w:r>
      <w:r>
        <w:rPr>
          <w:rStyle w:val="FootnoteReference"/>
          <w:noProof/>
        </w:rPr>
        <w:footnoteReference w:id="7"/>
      </w:r>
      <w:r>
        <w:rPr>
          <w:noProof/>
        </w:rPr>
        <w:t>, směrnice 2015/2376/EU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a směrnice 2016/881/EU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tím, že zavádí ustanovení poskytující daňovým orgánům pro účely zdanění přístup k vymezeným informacím pro boj proti praní peněz.</w:t>
      </w:r>
    </w:p>
    <w:p>
      <w:pPr>
        <w:rPr>
          <w:rFonts w:eastAsia="Times New Roman"/>
          <w:noProof/>
        </w:rPr>
      </w:pPr>
      <w:r>
        <w:rPr>
          <w:noProof/>
        </w:rPr>
        <w:t>Změny jsou uvedeny v článku 1 tohoto návrhu. Konkrétně:</w:t>
      </w:r>
    </w:p>
    <w:p>
      <w:pPr>
        <w:rPr>
          <w:rFonts w:eastAsia="Times New Roman"/>
          <w:noProof/>
        </w:rPr>
      </w:pPr>
      <w:r>
        <w:rPr>
          <w:noProof/>
        </w:rPr>
        <w:t>V článku 22 směrnice 2011/16/EU se vkládá odstavec 1a poskytující daňovým orgánům přístup k prováděcím opatřením, dokumentaci a informacím souvisejícím se skutečným vlastnictvím a náležitou péčí, pokud jde o zákazníky, ve čtvrté směrnici o boji proti praní peněz. Tento odstavec se vkládá do obecného článku 22 o zvláštních povinnostech členských států, a nikoli do specifičtějšího čl. 8 odst. 3a zavádějícího automatickou výměnu. Důvodem je to, že automatická výměna nutně povede k výměnám informací na žádost a ke spontánním výměnám v souvislosti s kvalitou a úplností informací, jež budou předmětem automatické výměny. Může vést také k dalším šetřením, například k šetřením účtů nebo jiných aktiv, které nebyly předmětem automatické výměny. V souvislosti s těmito výměnami by také byly nutné přístupové pravomoci daňových orgánů.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Subsidiarita (v případě nevýlučné pravomoci) </w:t>
      </w:r>
    </w:p>
    <w:p>
      <w:pPr>
        <w:rPr>
          <w:rFonts w:eastAsia="Times New Roman"/>
          <w:noProof/>
        </w:rPr>
      </w:pPr>
      <w:r>
        <w:rPr>
          <w:noProof/>
        </w:rPr>
        <w:t>Předmět těchto změn má stejný právní základ jako směrnice 2011/16/EU, tj. článek 115 Smlouvy o fungování Evropské unie (SFEU), jehož cílem je zajistit řádné fungování vnitřního trhu. V článku 115 SFEU se stanoví sbližování právních a správních předpisů členských států, které mají přímý vliv na vytváření nebo fungování vnitřního trhu a vyžadují sbližování právních předpisů.</w:t>
      </w:r>
    </w:p>
    <w:p>
      <w:pPr>
        <w:rPr>
          <w:rFonts w:eastAsia="Times New Roman"/>
          <w:noProof/>
        </w:rPr>
      </w:pPr>
      <w:r>
        <w:rPr>
          <w:noProof/>
        </w:rPr>
        <w:t>Pro zajištění řádného fungování vnitřního trhu a rovných podmínek, co se týče schopnosti členských států náležitě monitorovat uplatňování směrnice o správní spolupráci, se daňovým orgánům všech členských států EU poskytnou potřebné přístupové pravomoci.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rPr>
          <w:rFonts w:eastAsia="Times New Roman"/>
          <w:noProof/>
        </w:rPr>
      </w:pPr>
      <w:r>
        <w:rPr>
          <w:noProof/>
        </w:rPr>
        <w:t>Nedávno zjištěné problémy odhalily skutečnost, že subjekty dopouštějící se daňových úniků a subjekty, které jim při tom napomáhají, se vždy zaměřují na režimy s nižší transparentností a využívají nedostatků při jejich uplatňování. K tomu, aby byly takové možnosti omezeny a aby byly zajištěny rovné podmínky pro všechny členské státy, je nutný společný soubor pravidel umožňující daňovým orgánům plnit jejich monitorovací povinnosti.</w:t>
      </w:r>
    </w:p>
    <w:p>
      <w:pPr>
        <w:rPr>
          <w:rFonts w:eastAsia="Times New Roman"/>
          <w:noProof/>
        </w:rPr>
      </w:pPr>
      <w:r>
        <w:rPr>
          <w:noProof/>
        </w:rPr>
        <w:t xml:space="preserve">Návrh tedy představuje nejpřiměřenější reakci na zjištěný problém. Navrhované změny proto nepřekračují rámec toho, co je zapotřebí k řešení patřičných otázek, a tím i k dosažení cílů Smlouvy, tj. řádného a účinného fungování vnitřního trhu. </w:t>
      </w:r>
    </w:p>
    <w:p>
      <w:pPr>
        <w:rPr>
          <w:rFonts w:eastAsia="Times New Roman"/>
          <w:noProof/>
        </w:rPr>
      </w:pPr>
      <w:r>
        <w:rPr>
          <w:noProof/>
        </w:rPr>
        <w:t>Tento návrh je v souladu se zásadou proporcionality podle čl. 5 odst. 4 Smlouvy o Evropské unii.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Volba nástroje</w:t>
      </w:r>
    </w:p>
    <w:p>
      <w:pPr>
        <w:rPr>
          <w:rFonts w:eastAsia="Times New Roman"/>
          <w:noProof/>
        </w:rPr>
      </w:pPr>
      <w:r>
        <w:rPr>
          <w:noProof/>
        </w:rPr>
        <w:t>Monitorovací pravomoci přímo souvisejí se směrnicí o správní spolupráci. Ustanovení zajišťující tyto monitorovací pravomoci proto budou součástí téže směrnice.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 POST</w:t>
      </w:r>
      <w:r>
        <w:rPr>
          <w:noProof/>
        </w:rPr>
        <w:t>, KONZULTACÍ SE ZÚČASTNĚNÝMI STRANAMI A POSOUZENÍ DOPADŮ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Konzultace se zúčastněnými stranami</w:t>
      </w:r>
    </w:p>
    <w:p>
      <w:pPr>
        <w:rPr>
          <w:rFonts w:eastAsia="Times New Roman"/>
          <w:noProof/>
        </w:rPr>
      </w:pPr>
      <w:r>
        <w:rPr>
          <w:noProof/>
        </w:rPr>
        <w:t>Navrhované změny mohou zahrnovat pouze vnitřní organizační uspořádání v rámci správ členských států a netýkají se externích zúčastněných stran.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Členské státy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Ve svém prohlášení ze dne 14. dubna 2016 poukázalo pět členských států na význam efektivního a rychlého zavedení globálního standardu, který směrnice zavádí, a také na význam souvisejících problémů týkajících se boje proti praní peněz. K tomuto prohlášení se nyní připojují všechny ostatní členské státy.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Posouzení dopadů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Posouzení dopadů změn čtvrté směrnice o boji proti praní peněz zahrnuje v oddíle „5.4 Některé veřejné orgány nemají dostatek informací“ rozsáhlou analýzu a preferovanou možností, která byla předložena Výboru pro kontrolu regulace, je „Upřesnění týkající se přístupu daňových orgánů“. </w:t>
      </w:r>
    </w:p>
    <w:p>
      <w:pPr>
        <w:rPr>
          <w:rFonts w:eastAsia="Arial Unicode MS"/>
          <w:noProof/>
        </w:rPr>
      </w:pPr>
      <w:r>
        <w:rPr>
          <w:noProof/>
        </w:rPr>
        <w:t>Jak je vysvětleno výše, ačkoliv jsou změny čtvrté směrnice o boji proti praní peněz důležité z hlediska skutečnosti, že práce daňových orgánů má zásadní význam při zjišťování a hlášení podezření na jiné závažné trestné činy, jako je korupce, praní peněz a financování terorismu, měl by být přístup daňových orgánů k informacím pro jejich vlastní účely, jak je stanoví vnitrostátní a unijní právo, a zejména pro účely směrnice o správní spolupráci a jejího řádného uplatňování, upraven ve směrnici týkající se daní.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Základní práva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Ustanovení čl. 6 odst. 1 Smlouvy o Evropské unii uvádí, že Unie uznává práva, svobody a zásady vyhlášené v Listině základních práv. </w:t>
      </w:r>
    </w:p>
    <w:p>
      <w:pPr>
        <w:rPr>
          <w:rFonts w:eastAsia="Arial Unicode MS"/>
          <w:noProof/>
        </w:rPr>
      </w:pPr>
      <w:r>
        <w:rPr>
          <w:noProof/>
        </w:rPr>
        <w:t>Dopady širšího přístupu k informacím týkajícím se skutečného vlastnictví a souvisejících postupů náležité péče, pokud jde o zákazníky, byly analyzovány z hlediska zajištění souladu s článkem 7 (právo na soukromý a rodinný život) a článkem 8 (ochrana osobních údajů) Listiny základních práv. Pokud jde o to, že nová opatření souvisejí s osobními údaji, poskytnutí přístupu je jediným způsobem, jak mohou daňové orgány potvrdit nejen informace, které jim byly oznámeny, ale také to, že zdaňovaná osoba je skutečným vlastníkem, a poskytuje jim strategické nástroje pro boj proti daňovým podvodům a daňovým únikům.</w:t>
      </w:r>
    </w:p>
    <w:p>
      <w:pPr>
        <w:rPr>
          <w:rFonts w:eastAsia="Arial Unicode MS"/>
          <w:noProof/>
        </w:rPr>
      </w:pPr>
      <w:r>
        <w:rPr>
          <w:noProof/>
        </w:rPr>
        <w:t>Na daňové správy se kromě toho již vztahuje povinnost zachovávat tajemství. Na informace získané při plnění jejich povinností by se vztahovala tato povinnost zachovávat tajemství, jakož i nezbytné záruky. Článek 25 směrnice o správní spolupráci odkazuje na platná pravidla pro ochranu údajů, jež se vztahují na správní spolupráci mezi daňovými orgány a na sběr a použití údajů shromážděných povinnými subjekty.</w:t>
      </w:r>
    </w:p>
    <w:p>
      <w:pPr>
        <w:rPr>
          <w:noProof/>
        </w:rPr>
      </w:pPr>
      <w:r>
        <w:rPr>
          <w:noProof/>
        </w:rPr>
        <w:t>Za tímto účelem jsou navrhovaná opatření, přestože mohou zasahovat do základního práva na soukromý život včetně důvěrnosti komunikace a také ochrany soukromí a osobních údajů, nezbytná a přiměřená pro zajištění řádného fungování daňových systémů a dozoru nad řádným plněním povinností všech aktérů.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Směrnice nemá žádné důsledky pro rozpočet EU.</w:t>
      </w:r>
      <w:r>
        <w:rPr>
          <w:noProof/>
        </w:rPr>
        <w:br w:type="page"/>
      </w:r>
    </w:p>
    <w:p>
      <w:pPr>
        <w:spacing w:before="0" w:after="0"/>
        <w:jc w:val="left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2016/0209 (CNS)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SMĚRNICE RADY,</w:t>
      </w:r>
    </w:p>
    <w:p>
      <w:pPr>
        <w:pStyle w:val="Titreobjet"/>
        <w:rPr>
          <w:noProof/>
        </w:rPr>
      </w:pPr>
      <w:r>
        <w:rPr>
          <w:noProof/>
        </w:rPr>
        <w:t>kterou se mění směrnice 2011/16/EU, pokud jde o přístup daňových orgánů k informacím pro boj proti praní peněz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články 113 a 115 této smlouvy,</w:t>
      </w:r>
    </w:p>
    <w:p>
      <w:pPr>
        <w:rPr>
          <w:noProof/>
        </w:rPr>
      </w:pPr>
      <w:r>
        <w:rPr>
          <w:noProof/>
        </w:rPr>
        <w:t>s ohledem na návrh Evropské komise,</w:t>
      </w:r>
    </w:p>
    <w:p>
      <w:pPr>
        <w:rPr>
          <w:noProof/>
        </w:rPr>
      </w:pPr>
      <w:r>
        <w:rPr>
          <w:noProof/>
        </w:rPr>
        <w:t>po postoupení návrhu legislativního aktu vnitrostátním parlamentům,</w:t>
      </w:r>
    </w:p>
    <w:p>
      <w:pPr>
        <w:rPr>
          <w:noProof/>
        </w:rPr>
      </w:pPr>
      <w:r>
        <w:rPr>
          <w:noProof/>
        </w:rPr>
        <w:t>s ohledem na stanovisko Evropského parlamentu</w:t>
      </w:r>
      <w:r>
        <w:rPr>
          <w:rStyle w:val="FootnoteReference"/>
          <w:noProof/>
        </w:rPr>
        <w:footnoteReference w:id="10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s ohledem na stanovisko Evropského hospodářského a sociálního výboru</w:t>
      </w:r>
      <w:r>
        <w:rPr>
          <w:rStyle w:val="FootnoteReference"/>
          <w:noProof/>
        </w:rPr>
        <w:footnoteReference w:id="1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v souladu se zvláštním legislativním postupem,</w:t>
      </w:r>
    </w:p>
    <w:p>
      <w:pPr>
        <w:rPr>
          <w:noProof/>
        </w:rPr>
      </w:pPr>
      <w:r>
        <w:rPr>
          <w:noProof/>
        </w:rPr>
        <w:t>vzhledem k 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Směrnice Rady 2011/16/EU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ve znění směrnice 2014/107/EU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platí od 1. ledna 2016 pro 27 členských států a od 1. ledna 2017 pro Rakousko. Uvedená směrnice zavádí globální standard pro automatickou výměnu informací o finančních účtech v daňové oblasti („globální standard“) v rámci Unie. Jeho prostřednictvím zajišťuje, aby informace o majitelích finančních účtů byly oznámeny členskému státu, jehož je majitel účtu rezident.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Kromě toho směrnice 2011/16/EU stanoví, že je-li majitel účtu zprostředkující strukturou, finanční instituce musí tuto strukturu prozkoumat a zjistit a nahlásit její skutečné vlastníky. Tento důležitý prvek se při uplatňování směrnice opírá o informace pro boj proti praní peněz získané na základě směrnice Evropského parlamentu a Rady 2015/849/EU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za účelem identifikace skutečných vlastníků.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Za účelem zajištění účinného monitorování uplatňování postupů náležité péče stanovených ve směrnici 2011/16/EU ze strany finančních institucí musí mít daňové orgány přístup k informacím pro boj proti praní peněz. Bez tohoto přístupu by nemohly monitorovat, potvrdit ani kontrolovat, zda finanční instituce řádně uplatňují směrnici 2011/16/EU a správně identifikují a hlásí skutečné vlastníky zprostředkujících struktur.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Proto je nutné zajistit, aby daňové orgány měly přístup k informacím, postupům, dokumentům a mechanismům pro boj proti praní peněz, a mohly tak plnit své povinnosti při monitorování řádného uplatňování směrnice 2011/16/EU.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Tato směrnice respektuje základní práva a ctí zásady uznávané zejména Listinou základních práv Evropské unie. Aniž je dotčen ústavní pořádek daného členského státu, jestliže tato směrnice vyžaduje, aby byl přístup daňových orgánů k osobním údajům zajištěn ze zákona, není k tomu nutně zapotřebí akt přijatý parlamentem. V souladu s judikaturou Soudního dvora Evropské unie a Evropského soudu pro lidská práva by však daný zákon měl být jasný a přesný a jeho uplatňování by mělo být pro osoby, jichž se týká, jasné a předvídatelné.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Jelikož cíle této směrnice, totiž efektivní správní spolupráce mezi členskými státy a jejího účinného monitorování za podmínek slučitelných s řádným fungováním vnitřního trhu, nemůže být dosaženo uspokojivě členskými státy, ale spíše jich z důvodu požadované jednotnosti a účinnosti může být lépe dosaženo na úrovni Unie, může Unie přijmout opatření v souladu se zásadou subsidiarity stanovenou v článku 5 Smlouvy o Evropské unii. V souladu se zásadou proporcionality stanovenou v uvedeném článku nepřekračuje tato směrnice rámec toho, co je nezbytné pro dosažení tohoto cíle.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Finanční instituce již začaly provádět náležitou péči podle směrnice 2011/16/EU, pokud jde o zákazníky, a první výměny by měly být dokončeny do září 2017. Aby bylo zajištěno, že účinné monitorování uplatňování směrnice nebude opožděno, měla by proto tato pozměňující směrnice vstoupit v platnost a být provedena do 1. ledna 2017.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Směrnice 2011/16/EU by proto měla být odpovídajícím způsobem změněna,</w:t>
      </w:r>
    </w:p>
    <w:p>
      <w:pPr>
        <w:pStyle w:val="Formuledadoption"/>
        <w:rPr>
          <w:noProof/>
        </w:rPr>
      </w:pPr>
      <w:r>
        <w:rPr>
          <w:noProof/>
        </w:rPr>
        <w:t>PŘIJALA TUTO SMĚRNICI: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rFonts w:eastAsia="Times New Roman"/>
          <w:noProof/>
        </w:rPr>
      </w:pPr>
      <w:r>
        <w:rPr>
          <w:noProof/>
        </w:rPr>
        <w:t>V článku 22 směrnice 2011/16/ES se vkládá odstavec 1a, který zní:</w:t>
      </w:r>
    </w:p>
    <w:p>
      <w:pPr>
        <w:rPr>
          <w:rFonts w:eastAsia="Times New Roman"/>
          <w:noProof/>
        </w:rPr>
      </w:pPr>
      <w:r>
        <w:rPr>
          <w:noProof/>
        </w:rPr>
        <w:t xml:space="preserve"> „1a) Pro účely provádění a vymáhání právních předpisů členských států, jimiž se provádí tato směrnice, a pro zajištění fungování správní spolupráce, již tato směrnice zavádí, poskytnou členské státy daňovým orgánům ze zákona přístup k mechanismům, postupům, dokumentům a informacím uvedeným v článcích 13, 30, 31, 32a a 40 směrnice Evropského parlamentu a Rady 2015/849/EU*.</w:t>
      </w:r>
    </w:p>
    <w:p>
      <w:pPr>
        <w:rPr>
          <w:rFonts w:eastAsia="Times New Roman"/>
          <w:noProof/>
          <w:sz w:val="20"/>
          <w:szCs w:val="20"/>
        </w:rPr>
      </w:pPr>
      <w:r>
        <w:rPr>
          <w:noProof/>
          <w:sz w:val="20"/>
        </w:rPr>
        <w:t>____________________________</w:t>
      </w:r>
    </w:p>
    <w:p>
      <w:pPr>
        <w:rPr>
          <w:rFonts w:eastAsia="Times New Roman"/>
          <w:noProof/>
        </w:rPr>
      </w:pPr>
      <w:r>
        <w:rPr>
          <w:noProof/>
          <w:sz w:val="20"/>
        </w:rPr>
        <w:t>*Směrnice Evropského parlamentu a Rady (EU) 2015/849 ze dne 20. května 2015 o předcházení využívání finančního systému k praní peněz nebo financování terorismu, o změně nařízení Evropského parlamentu a Rady (EU) č. 648/2012 a o zrušení směrnice Evropského parlamentu a Rady 2005/60/ES a směrnice Komise 2006/70/ES (Úř. věst. L 141, 5.6.2015, s. 73).</w:t>
      </w:r>
      <w:r>
        <w:rPr>
          <w:noProof/>
        </w:rPr>
        <w:t>“.</w:t>
      </w:r>
    </w:p>
    <w:p>
      <w:pPr>
        <w:rPr>
          <w:rFonts w:eastAsia="Times New Roman"/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Členské státy přijmou a zveřejní právní a správní předpisy nezbytné pro dosažení souladu s touto směrnicí do 31. prosince 2016. Neprodleně sdělí Komisi jejich znění.</w:t>
      </w:r>
    </w:p>
    <w:p>
      <w:pPr>
        <w:pStyle w:val="Text1"/>
        <w:rPr>
          <w:noProof/>
        </w:rPr>
      </w:pPr>
      <w:r>
        <w:rPr>
          <w:noProof/>
        </w:rPr>
        <w:t>Použijí tyto předpisy ode dne 1. ledna 2017.</w:t>
      </w:r>
    </w:p>
    <w:p>
      <w:pPr>
        <w:pStyle w:val="Text1"/>
        <w:rPr>
          <w:noProof/>
        </w:rPr>
      </w:pPr>
      <w:r>
        <w:rPr>
          <w:noProof/>
        </w:rPr>
        <w:t>Tyto předpisy přijaté členskými státy musí obsahovat odkaz na tuto směrnici nebo musí být takový odkaz učiněn při jejich úředním vyhlášení. Způsob odkazu si stanoví členské státy.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Členské státy sdělí Komisi znění hlavních ustanovení vnitrostátních právních předpisů, které přijmou v oblasti působnosti této směrnice.</w:t>
      </w:r>
    </w:p>
    <w:p>
      <w:pPr>
        <w:pStyle w:val="Titrearticle"/>
        <w:rPr>
          <w:noProof/>
        </w:rPr>
      </w:pPr>
      <w:r>
        <w:rPr>
          <w:noProof/>
        </w:rPr>
        <w:t>Článek 3</w:t>
      </w:r>
    </w:p>
    <w:p>
      <w:pPr>
        <w:rPr>
          <w:noProof/>
        </w:rPr>
      </w:pPr>
      <w:r>
        <w:rPr>
          <w:noProof/>
        </w:rPr>
        <w:t>Tato směrnice vstupuje v platnost dnem přijetí.</w:t>
      </w:r>
    </w:p>
    <w:p>
      <w:pPr>
        <w:pStyle w:val="Titrearticle"/>
        <w:rPr>
          <w:noProof/>
        </w:rPr>
      </w:pPr>
      <w:r>
        <w:rPr>
          <w:noProof/>
        </w:rPr>
        <w:t>Článek 4</w:t>
      </w:r>
    </w:p>
    <w:p>
      <w:pPr>
        <w:rPr>
          <w:noProof/>
        </w:rPr>
      </w:pPr>
      <w:r>
        <w:rPr>
          <w:noProof/>
        </w:rPr>
        <w:t>Tato směrnice je určena členským státům.</w:t>
      </w:r>
    </w:p>
    <w:p>
      <w:pPr>
        <w:pStyle w:val="Fait"/>
        <w:rPr>
          <w:noProof/>
        </w:rPr>
      </w:pPr>
      <w:r>
        <w:rPr>
          <w:noProof/>
        </w:rPr>
        <w:t>V Štrasburku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 / 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Úř. věst. L 332, 18.12.2015, s.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Úř. věst. L 146, 3.6.2016, s. 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Viz příloha I oddíl VIII bod D.5 směrnice 2014/107/EU</w:t>
      </w:r>
      <w:r>
        <w:rPr>
          <w:i/>
        </w:rPr>
        <w:t>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(EU) 2015/849 ze dne 20. května 2015 o předcházení využívání finančního systému k praní peněz nebo financování terorismu, o změně nařízení Evropského parlamentu a Rady (EU) č. 648/2012 a o zrušení směrnice Evropského parlamentu a Rady 2005/60/ES a směrnice Komise 2006/70/ES (Úř. věst. L 141, 5.6.2015, s. 73).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Směrnice Rady 2011/16/EU ze dne 15. února 2011 o správní spolupráci v oblasti daní a o zrušení směrnice 77/799/EHS (Úř. věst. L 64, 11.3.2011, s. 1).</w:t>
      </w:r>
    </w:p>
  </w:footnote>
  <w:footnote w:id="7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 xml:space="preserve">Směrnice Rady 2014/107/EU ze dne 9. prosince 2014, kterou se mění směrnice 2011/16/EU, pokud jde o </w:t>
      </w:r>
      <w:r>
        <w:tab/>
        <w:t>povinnou automatickou výměnu informací v oblasti daní (Úř. věst. L 359, 16.12.2014, s. 1)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Směrnice Rady (EU) 2015/2376 ze dne 8. prosince 2015, kterou se mění směrnice 2011/16/EU, pokud jde o povinnou automatickou výměnu informací v oblasti daní (Úř. věst. L 332, 18.12.2015, s. 1).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Směrnice Rady (EU) 2016/881 ze dne 25. května 2016, kterou se mění směrnice 2011/16/EU, pokud jde o povinnou automatickou výměnu informací v oblasti daní (Úř. věst. L 146, 3.6.2016, s. 8).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Úř. věst. C , , s. 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Úř. věst. C , , s. 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Směrnice Rady 2011/16/EU ze dne 15. února 2011 o správní spolupráci v oblasti daní a o zrušení směrnice 77/799/EHS (Úř. věst. L 64, 11.3.2011, s. 1).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Směrnice Rady 2014/107/EU ze dne 9. prosince 2014, kterou se mění směrnice 2011/16/EU, pokud jde o povinnou automatickou výměnu informací v oblasti daní (Úř. věst. L 359, 16.12.2014, s. 1).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(EU) 2015/849 ze dne 20. května 2015 o předcházení využívání finančního systému k praní peněz nebo financování terorismu, o změně nařízení Evropského parlamentu a Rady (EU) č. 648/2012 a o zrušení směrnice Evropského parlamentu a Rady 2005/60/ES a směrnice Komise 2006/70/ES (Úř. věst. L 141, 5.6.2015, s. 73).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80272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0E09E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E96F0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F14B7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8098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49446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7BC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45E6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7-15 15:37:4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C84A2733B01B4F779CE30CCBC35C722D"/>
    <w:docVar w:name="LW_CROSSREFERENCE" w:val="&lt;UNUSED&gt;"/>
    <w:docVar w:name="LW_DocType" w:val="COM"/>
    <w:docVar w:name="LW_EMISSION" w:val="5.7.2016"/>
    <w:docVar w:name="LW_EMISSION_ISODATE" w:val="2016-07-05"/>
    <w:docVar w:name="LW_EMISSION_LOCATION" w:val="STR"/>
    <w:docVar w:name="LW_EMISSION_PREFIX" w:val="Ve Štrasburku dne "/>
    <w:docVar w:name="LW_EMISSION_SUFFIX" w:val=" "/>
    <w:docVar w:name="LW_ID_DOCMODEL" w:val="SJ-017"/>
    <w:docVar w:name="LW_ID_DOCSIGNATURE" w:val="SJ-017"/>
    <w:docVar w:name="LW_ID_DOCSTRUCTURE" w:val="COM/PL/ORG"/>
    <w:docVar w:name="LW_ID_DOCTYPE" w:val="SJ-017"/>
    <w:docVar w:name="LW_ID_STATUT" w:val="SJ-017"/>
    <w:docVar w:name="LW_INTERETEEE.CP" w:val="&lt;UNUSED&gt;"/>
    <w:docVar w:name="LW_LANGUE" w:val="CS"/>
    <w:docVar w:name="LW_MARKING" w:val="&lt;UNUSED&gt;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209"/>
    <w:docVar w:name="LW_REF.II.NEW.CP_YEAR" w:val="2016"/>
    <w:docVar w:name="LW_REF.INST.NEW" w:val="COM"/>
    <w:docVar w:name="LW_REF.INST.NEW_ADOPTED" w:val="final"/>
    <w:docVar w:name="LW_REF.INST.NEW_TEXT" w:val="(2016) 452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kterou se m\u283?ní sm\u283?rnice 2011/16/EU, pokud jde o p\u345?ístup da\u328?ových orgán\u367? k informacím pro boj proti praní pen\u283?z"/>
    <w:docVar w:name="LW_TYPE.DOC.CP" w:val="SM\u282?RNICE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title-article-norm">
    <w:name w:val="title-article-norm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stitle-article-norm">
    <w:name w:val="stitle-article-norm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orm">
    <w:name w:val="norm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title-article-norm">
    <w:name w:val="title-article-norm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stitle-article-norm">
    <w:name w:val="stitle-article-norm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orm">
    <w:name w:val="norm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7F9D-BA82-4876-A1FC-84652986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9</Pages>
  <Words>2620</Words>
  <Characters>15700</Characters>
  <Application>Microsoft Office Word</Application>
  <DocSecurity>0</DocSecurity>
  <Lines>266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2016-07-12T14:39:00Z</dcterms:created>
  <dcterms:modified xsi:type="dcterms:W3CDTF">2016-07-15T13:37:00Z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COM/PL/ORG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LWTemplateID">
    <vt:lpwstr>SJ-017</vt:lpwstr>
  </property>
  <property fmtid="{D5CDD505-2E9C-101B-9397-08002B2CF9AE}" pid="8" name="DQCStatus">
    <vt:lpwstr>Green (DQC version 03)</vt:lpwstr>
  </property>
</Properties>
</file>