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05C4A995CC804D1A9D0E3C262095A688" style="width:451.35pt;height:393.3pt">
            <v:imagedata r:id="rId9" o:title=""/>
          </v:shape>
        </w:pict>
      </w:r>
    </w:p>
    <w:p>
      <w:pPr>
        <w:pStyle w:val="Pagedecouverture"/>
        <w:rPr>
          <w:noProof/>
        </w:rPr>
        <w:sectPr>
          <w:footerReference w:type="default" r:id="rId10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pStyle w:val="Exposdesmotifstitre"/>
        <w:rPr>
          <w:noProof/>
        </w:rPr>
      </w:pPr>
      <w:bookmarkStart w:id="0" w:name="_GoBack"/>
      <w:bookmarkEnd w:id="0"/>
      <w:r>
        <w:rPr>
          <w:noProof/>
        </w:rPr>
        <w:lastRenderedPageBreak/>
        <w:t>UZASADNIENIE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KONTEKST WNIOSKU</w:t>
      </w:r>
    </w:p>
    <w:p>
      <w:pPr>
        <w:pStyle w:val="Text1"/>
        <w:ind w:left="0"/>
        <w:rPr>
          <w:noProof/>
        </w:rPr>
      </w:pPr>
      <w:r>
        <w:rPr>
          <w:noProof/>
        </w:rPr>
        <w:t>Niniejsze uzasadnienie dotyczy wniosku ustawodawczego w sprawie rozporządzenia zmieniającego rozporządzenie Parlamentu Europejskiego i Rady (UE) nr 230/2014 z dnia 11 marca 2014 r. ustanawiające Instrument na rzecz przyczyniania się do Stabilności i Pokoju.</w:t>
      </w:r>
    </w:p>
    <w:p>
      <w:pPr>
        <w:pStyle w:val="Text1"/>
        <w:ind w:left="0"/>
        <w:rPr>
          <w:noProof/>
        </w:rPr>
      </w:pPr>
      <w:r>
        <w:rPr>
          <w:noProof/>
        </w:rPr>
        <w:t xml:space="preserve">Wniosek ustawodawczy służy wprowadzeniu nowego artykułu w tytule II rozporządzenia (UE) nr 230/2014 w celu rozszerzenia pomocy Unii w nadzwyczajnych okolicznościach, aby budować zdolność podmiotów wojskowych w krajach partnerskich w celu przyczynienia się do zrównoważonego rozwoju, a w szczególności do tworzenia pokojowych i integracyjnych społeczeństw. 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bdr w:val="nil"/>
        </w:rPr>
        <w:t>•</w:t>
      </w:r>
      <w:r>
        <w:rPr>
          <w:noProof/>
        </w:rPr>
        <w:tab/>
        <w:t>Przyczyny i cele wniosku</w:t>
      </w:r>
    </w:p>
    <w:p>
      <w:pPr>
        <w:spacing w:after="240"/>
        <w:rPr>
          <w:noProof/>
        </w:rPr>
      </w:pPr>
      <w:r>
        <w:rPr>
          <w:noProof/>
        </w:rPr>
        <w:t>Związek między bezpieczeństwem i rozwojem uznawany jest na szczeblu zarówno europejskim, jak i międzynarodowym</w:t>
      </w:r>
      <w:r>
        <w:rPr>
          <w:rStyle w:val="FootnoteReference"/>
          <w:noProof/>
        </w:rPr>
        <w:footnoteReference w:id="2"/>
      </w:r>
      <w:r>
        <w:rPr>
          <w:noProof/>
        </w:rPr>
        <w:t>. Związek ten został już dostrzeżony w Konsensusie europejskim w sprawie rozwoju z 2005 r. jako czynnik o zasadniczym znaczeniu dla osiągnięcia największej możliwej skuteczności działań zewnętrznych UE. Wspieranie systemów bezpieczeństwa krajów partnerskich w ramach szerszego procesu reform mającego na celu zapewnienie skutecznego i odpowiedzialnego bezpieczeństwa państwa i osób przyczynia się do realizacji celów UE w zakresie zrównoważonego rozwoju sprzyjającego włączeniu społecznemu, budowania państwowości i praworządności. Podejście do bezpieczeństwa ludzkiego ma różne wymiary: jest zorientowane na człowieka, wielosektorowe, wszechstronne, zależne od kontekstu i nastawione na zapobieganie. Dotyczy to zwłaszcza sytuacji, gdy jest oczywiste, że brak bezpieczeństwa ogranicza możliwości dostępu do osób najbardziej zagrożonych w warunkach konfliktu i zmniejsza prawdopodobieństwo skuteczności działań humanitarnych lub prorozwojowych.</w:t>
      </w:r>
    </w:p>
    <w:p>
      <w:pPr>
        <w:spacing w:after="240"/>
        <w:rPr>
          <w:noProof/>
        </w:rPr>
      </w:pPr>
      <w:r>
        <w:rPr>
          <w:noProof/>
        </w:rPr>
        <w:t>Przyjęcie przez Organizację Narodów Zjednoczonych (ONZ) Agendy na rzecz Zrównoważonego Rozwoju 2030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oraz 16. celu zrównoważonego rozwoju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(SDG) w sprawie pokoju i sprawiedliwości uwypukla znaczenie promowania pokojowych i integracyjnych społeczeństw, zapewnienia wszystkim dostępu do wymiaru sprawiedliwości oraz budowania skutecznych i odpowiedzialnych instytucji na wszystkich szczeblach. Cel ten podkreśla potrzebę wzmocnienia odpowiednich instytucji krajowych, w tym poprzez współpracę międzynarodową na rzecz budowania zdolności na wszystkich szczeblach. Zwłaszcza w niestabilnych, ogarniętych konfliktami krajach zachodzi potrzeba ukierunkowania inwestycji zgodnie z zasadami skuteczności współpracy na rzecz rozwoju, aby pomóc wykorzenić przyczyny konfliktów i braku stabilności. UE popiera „Nowy ład na rzecz państw niestabilnych”</w:t>
      </w:r>
      <w:r>
        <w:rPr>
          <w:rStyle w:val="FootnoteReference"/>
          <w:noProof/>
        </w:rPr>
        <w:footnoteReference w:id="5"/>
      </w:r>
      <w:r>
        <w:rPr>
          <w:noProof/>
        </w:rPr>
        <w:t xml:space="preserve"> i nacisk, jaki jest w nim kładziony na związek pomiędzy bezpieczeństwem i rozwojem. </w:t>
      </w:r>
    </w:p>
    <w:p>
      <w:pPr>
        <w:spacing w:after="240"/>
        <w:rPr>
          <w:noProof/>
        </w:rPr>
      </w:pPr>
      <w:r>
        <w:rPr>
          <w:noProof/>
        </w:rPr>
        <w:lastRenderedPageBreak/>
        <w:t>Zrewidowane przez OECD-DAC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wytyczne sprawozdawcze w sprawie oficjalnej pomocy rozwojowej w dziedzinie pokoju i bezpieczeństwa zapewniają większą jasność i uszczegóławiają zasady tej pomocy dla sektora bezpieczeństwa. Utrzymano w nich szereg zabezpieczeń, w szczególności przeważająco cywilny charakter oficjalnej pomocy rozwojowej, choć wsparcie dla wojska może być uznane za ten rodzaj pomocy w nadzwyczajnych i jasno określonych sytuacjach.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Wspólny komunikat „Budowanie zdolności na rzecz bezpieczeństwa i rozwoju” (JOIN (2015) 17 final) zawiera analizę możliwości poprawy wsparcia ze strony UE na rzecz budowania zdolności partnerów, a tym samym przyczyniania się do stabilności, bezpieczeństwa i rozwoju. Wskazano w nim luki w zdolności UE do wspierania budowy potencjału partnerów w sektorze bezpieczeństwa pomimo wielu działań już objętych wsparciem, takich jak między innymi skuteczna administracja cywilna czy cywilny nadzór nad systemem bezpieczeństwa. Wspólny komunikat zawiera wniosek, że „nie ma obecnie w budżecie UE instrumentu stworzonego z myślą o zapewnieniu kompleksowego finansowania budowania zdolności w zakresie bezpieczeństwa w państwach partnerskich, w szczególności w jego aspekcie wojskowym”</w:t>
      </w:r>
      <w:r>
        <w:rPr>
          <w:rStyle w:val="FootnoteReference"/>
          <w:noProof/>
        </w:rPr>
        <w:footnoteReference w:id="7"/>
      </w:r>
      <w:r>
        <w:rPr>
          <w:noProof/>
        </w:rPr>
        <w:t xml:space="preserve">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Brak spełnienia kluczowych potrzeb operacyjnych partnerów utrudnia osiągnięcie podstawowego celu rozwoju, jakim jest stworzenie warunków dla pokoju i bezpieczeństwa ludzkiego. Poprawa funkcjonowania podmiotów wojskowych i wzmocnienie sprawowania przez nie dobrych rządów, zwłaszcza w krajach niestabilnych i wychodzących z konfliktów, przyczynia się do pokoju, bezpieczeństwa ludzkiego i stabilności, a tym samym do osiągnięcia celów zrównoważonego rozwoju. Brak możliwości finansowania budowy zdolności w sektorze bezpieczeństwa (zarówno sprzętu, jak i szkoleń) ogranicza zdolność partnerów do realizacji swoich potrzeb w zakresie rozwoju.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Cele szczegółowe niniejszego wniosku są następujące: i) przyczyniać się do poprawy zdolności krajów partnerskich do samodzielnego zapobiegania kryzysom i zarządzania nimi, ii) przyczyniać się do poprawy skuteczności działań prorozwojowych Unii poprzez współpracę z wszystkimi podmiotami odpowiedzialnymi za bezpieczeństwo, w tym wojskiem, w oparciu o najszybszą możliwą, elastyczną i kompleksową realizację unijnego postulatu budowy zdolności na rzecz bezpieczeństwa i rozwoju, oraz iii) przyczyniać się do zapewnienia poszanowania praworządności, dobrych rządów oraz większej kontroli cywilnej i nadzoru cywilnego nad wojskiem w państwach trzecich.</w:t>
      </w:r>
    </w:p>
    <w:p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bdr w:val="nil"/>
        </w:rPr>
        <w:t>•</w:t>
      </w:r>
      <w:r>
        <w:rPr>
          <w:noProof/>
        </w:rPr>
        <w:tab/>
        <w:t>Spójność z innymi politykami Unii</w:t>
      </w:r>
    </w:p>
    <w:p>
      <w:pPr>
        <w:pStyle w:val="Text1"/>
        <w:ind w:left="0"/>
        <w:rPr>
          <w:noProof/>
        </w:rPr>
      </w:pPr>
      <w:r>
        <w:rPr>
          <w:noProof/>
        </w:rPr>
        <w:t>Niniejsza inicjatywa wpisuje się w ambicję zmobilizowania narzędzi unijnych w zakresie głównych wyzwań, jak wskazano we wspólnym komunikacie „Kompleksowe podejście UE do zewnętrznych konfliktów i sytuacji kryzysowych”</w:t>
      </w:r>
      <w:r>
        <w:rPr>
          <w:rStyle w:val="FootnoteReference"/>
          <w:noProof/>
        </w:rPr>
        <w:footnoteReference w:id="8"/>
      </w:r>
      <w:r>
        <w:rPr>
          <w:noProof/>
        </w:rPr>
        <w:t xml:space="preserve"> oraz w późniejszych konkluzjach Rady</w:t>
      </w:r>
      <w:r>
        <w:rPr>
          <w:rStyle w:val="FootnoteReference"/>
          <w:noProof/>
        </w:rPr>
        <w:footnoteReference w:id="9"/>
      </w:r>
      <w:r>
        <w:rPr>
          <w:noProof/>
        </w:rPr>
        <w:t xml:space="preserve">. </w:t>
      </w:r>
    </w:p>
    <w:p>
      <w:pPr>
        <w:pStyle w:val="Default"/>
        <w:spacing w:after="240"/>
        <w:jc w:val="both"/>
        <w:rPr>
          <w:noProof/>
          <w:color w:val="auto"/>
          <w:lang w:val="pl-PL"/>
        </w:rPr>
      </w:pPr>
      <w:r>
        <w:rPr>
          <w:noProof/>
          <w:lang w:val="pl-PL"/>
        </w:rPr>
        <w:t>W odniesieniu do wspólnej polityki zagranicznej i bezpieczeństwa Unii (WPZiB), zarówno cywilne, jak i wojskowe misje (zwłaszcza szkoleniowe) i operacje realizowane w ramach wspólnej polityki bezpieczeństwa i obrony (WPBiO) są zasadniczym elementem kompleksowego podejścia UE do zarządzania kryzysowego w państwach trzecich</w:t>
      </w:r>
      <w:r>
        <w:rPr>
          <w:rStyle w:val="FootnoteReference"/>
          <w:noProof/>
          <w:lang w:val="pl-PL"/>
        </w:rPr>
        <w:footnoteReference w:id="10"/>
      </w:r>
      <w:r>
        <w:rPr>
          <w:noProof/>
          <w:color w:val="auto"/>
          <w:lang w:val="pl-PL"/>
        </w:rPr>
        <w:t xml:space="preserve">, zarazem stanowiąc filar szkoleniowy budowania zdolności na rzecz bezpieczeństwa i rozwoju wśród cywilnych i wojskowych służb bezpieczeństwa. </w:t>
      </w:r>
    </w:p>
    <w:p>
      <w:pPr>
        <w:pStyle w:val="Default"/>
        <w:spacing w:after="240"/>
        <w:jc w:val="both"/>
        <w:rPr>
          <w:noProof/>
          <w:color w:val="auto"/>
          <w:lang w:val="pl-PL"/>
        </w:rPr>
      </w:pPr>
      <w:r>
        <w:rPr>
          <w:noProof/>
          <w:color w:val="auto"/>
          <w:lang w:val="pl-PL"/>
        </w:rPr>
        <w:t>Zasoby na potrzeby operacji wojskowych podejmowanych w ramach WPBiO są finansowane przez uczestniczące państwa członkowskie UE i za pośrednictwem mechanizmu Athena</w:t>
      </w:r>
      <w:r>
        <w:rPr>
          <w:rStyle w:val="FootnoteReference"/>
          <w:noProof/>
          <w:lang w:val="pl-PL"/>
        </w:rPr>
        <w:footnoteReference w:id="11"/>
      </w:r>
      <w:r>
        <w:rPr>
          <w:noProof/>
          <w:color w:val="auto"/>
          <w:lang w:val="pl-PL"/>
        </w:rPr>
        <w:t>, który służy do zarządzania finansowaniem wspólnych kosztów operacji wojskowych UE w ramach WPBiO. Koszty te dotyczą między innymi kosztów założenia i prowadzenia kwatery głównej, infrastruktury, logistyki i wsparcia misji, nie obejmują natomiast kosztów poniesionych przez kraj partnerski wsparty przez misję lub operację.</w:t>
      </w:r>
    </w:p>
    <w:p>
      <w:pPr>
        <w:autoSpaceDE w:val="0"/>
        <w:autoSpaceDN w:val="0"/>
        <w:adjustRightInd w:val="0"/>
        <w:spacing w:after="240"/>
        <w:rPr>
          <w:noProof/>
        </w:rPr>
      </w:pPr>
      <w:r>
        <w:rPr>
          <w:noProof/>
        </w:rPr>
        <w:t>Poza ogólnym budżetem Unii Europejski Fundusz Rozwoju (EFR) zapewnia środki finansowe na wdrożenie unijnej polityki współpracy rozwojowej z krajami Afryki, Karaibów i Pacyfiku (AKP) w ramach umowy z Kotonu</w:t>
      </w:r>
      <w:r>
        <w:rPr>
          <w:rStyle w:val="FootnoteReference"/>
          <w:noProof/>
        </w:rPr>
        <w:footnoteReference w:id="12"/>
      </w:r>
      <w:r>
        <w:rPr>
          <w:noProof/>
        </w:rPr>
        <w:t>. Instrument na rzecz Pokoju w Afryce</w:t>
      </w:r>
      <w:r>
        <w:rPr>
          <w:rStyle w:val="FootnoteReference"/>
          <w:noProof/>
        </w:rPr>
        <w:footnoteReference w:id="13"/>
      </w:r>
      <w:r>
        <w:rPr>
          <w:noProof/>
        </w:rPr>
        <w:t xml:space="preserve"> (APF) powstał w 2003 r. pod egidą EFR i jest na chwilę obecną najdalej idącym instrumentem na rzecz współzależności bezpieczeństwa i rozwoju, zarazem zapewniając wsparcie dla działań wojskowych. Instrument ten podlega jednak licznym ograniczeniom, w szczególności jeśli chodzi o jego wyłącznie regionalny zasięg, co uniemożliwia ogólnoświatowe zastosowanie na szczeblu krajowym.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PODSTAWA PRAWNA, POMOCNICZOŚĆ I PROPORCJONALNOŚĆ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Podstawa prawna</w:t>
      </w:r>
    </w:p>
    <w:p>
      <w:pPr>
        <w:pStyle w:val="Text1"/>
        <w:ind w:left="0"/>
        <w:rPr>
          <w:noProof/>
        </w:rPr>
      </w:pPr>
      <w:r>
        <w:rPr>
          <w:noProof/>
        </w:rPr>
        <w:t xml:space="preserve">Podstawą prawną niniejszego wniosku ustawodawczego jest art. 209 ust. 1 oraz art. 212 ust. 2 TFUE. </w:t>
      </w:r>
    </w:p>
    <w:p>
      <w:pPr>
        <w:spacing w:after="240"/>
        <w:rPr>
          <w:noProof/>
        </w:rPr>
      </w:pPr>
      <w:r>
        <w:rPr>
          <w:noProof/>
        </w:rPr>
        <w:t>Zważywszy na szeroki zakres współpracy na rzecz rozwoju</w:t>
      </w:r>
      <w:r>
        <w:rPr>
          <w:rStyle w:val="FootnoteReference"/>
          <w:noProof/>
        </w:rPr>
        <w:footnoteReference w:id="14"/>
      </w:r>
      <w:r>
        <w:rPr>
          <w:noProof/>
        </w:rPr>
        <w:t>, finansowanie budowania zdolności (wsparcie szkoleniowe i sprzętowe) w sektorze bezpieczeństwa na podstawie art. 209 i 212 TFUE nie jest samo w sobie wykluczone tylko ze względu na wojskowy charakter beneficjenta</w:t>
      </w:r>
      <w:r>
        <w:rPr>
          <w:rStyle w:val="FootnoteReference"/>
          <w:noProof/>
        </w:rPr>
        <w:footnoteReference w:id="15"/>
      </w:r>
      <w:r>
        <w:rPr>
          <w:noProof/>
        </w:rPr>
        <w:t xml:space="preserve">. Biorąc pod uwagę cele unijnej współpracy na rzecz rozwoju, tj. przyczynianie się do realizacji postulatu zrównoważonego rozwoju w krajach rozwijających się, finansowanie wojska jest możliwe w nadzwyczajnych okolicznościach (patrz także szczegółowe wyjaśnienie w pkt 5 poniżej).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Pomocniczość i proporcjonalność</w:t>
      </w:r>
    </w:p>
    <w:p>
      <w:pPr>
        <w:pStyle w:val="Text1"/>
        <w:ind w:left="0"/>
        <w:rPr>
          <w:noProof/>
        </w:rPr>
      </w:pPr>
      <w:r>
        <w:rPr>
          <w:noProof/>
        </w:rPr>
        <w:t>Proponowane rozporządzenie jest zgodne z zasadą pomocniczości oraz z zasadą proporcjonalności określoną w artykule 5 TUE.</w:t>
      </w:r>
    </w:p>
    <w:p>
      <w:pPr>
        <w:pStyle w:val="Text1"/>
        <w:ind w:left="0"/>
        <w:rPr>
          <w:noProof/>
        </w:rPr>
      </w:pPr>
      <w:r>
        <w:rPr>
          <w:noProof/>
        </w:rPr>
        <w:t>Działanie UE jest konieczne i uzasadnione ze względu zarówno na cele określone w Traktacie, jak i zasadę pomocniczości. Kompleksowe i elastyczne wsparcie UE dla sektora bezpieczeństwa niosłoby wartość dodaną poprzez objęcie działaniami krótko- i długoterminowymi wszystkich podmiotów odpowiedzialnych za bezpieczeństwo w danym kraju, a także pozwalałoby na lepszą koordynację takiej pomocy. Interwencje na szczeblu UE mogą być lepszym sposobem osiągnięcia bezpieczeństwa i stabilności, a także stanowić czynnik poprawiający skuteczność międzynarodowych wysiłków na rzecz bezpieczeństwa i rozwoju.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Wybór instrumentu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Proponowany wniosek ustawodawczy ma formę rozporządzenia zmieniającego istniejący akt prawny.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WYNIKI OCEN EX-POST, KONSULTACJI Z ZAINTERESOWANYMI STRONAMI I OCEN SKUTKÓW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Konsultacje z zainteresowanymi stronami</w:t>
      </w:r>
    </w:p>
    <w:p>
      <w:pPr>
        <w:rPr>
          <w:noProof/>
        </w:rPr>
      </w:pPr>
      <w:r>
        <w:rPr>
          <w:noProof/>
        </w:rPr>
        <w:t>Internetowe konsultacje społeczne w celu uzyskania opinii społeczeństwa rozpoczęły się w dniu 1 kwietnia, a zakończyły się w dniu 27 maja 2016 r. W sumie wpłynęło 78 odpowiedzi, głównie od osób prywatnych. Szereg państw członkowskich (Czechy, Finlandia, Francja, Niemcy, Włochy, Luksemburg, Holandia, Portugalia i Hiszpania) wniosło wkład w postaci dokumentu roboczego z dnia 15 kwietnia 2016 r.</w:t>
      </w:r>
    </w:p>
    <w:p>
      <w:pPr>
        <w:rPr>
          <w:noProof/>
        </w:rPr>
      </w:pPr>
      <w:r>
        <w:rPr>
          <w:noProof/>
        </w:rPr>
        <w:t>Ogólnie rzecz biorąc, reakcje wskazywały na duże poparcie dla trzech głównych zasad leżących u podstaw inicjatywy, a mianowicie: i) skuteczny, działający zgodnie z prawem i odpowiedzialny sektor bezpieczeństwa w krajach partnerskich może przyczyniać się do pokoju, bezpieczeństwa ludzkiego i zrównoważonego rozwoju; ii) unijne strategie wsparcia powinny w większym stopniu uwzględniać współzależność bezpieczeństwa i rozwoju, aby lepiej wspierać zrównoważony rozwój w krajach partnerskich oraz iii) wzmocnienie sprawowania dobrych rządów przez podmioty wojskowe, zwłaszcza w krajach niestabilnych i wychodzących z konfliktów, może doprowadzić do stabilizacji i osiągnięcia celów zrównoważonego rozwoju.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Ocena skutków</w:t>
      </w:r>
    </w:p>
    <w:p>
      <w:pPr>
        <w:pStyle w:val="Text1"/>
        <w:ind w:left="0"/>
        <w:rPr>
          <w:noProof/>
        </w:rPr>
      </w:pPr>
      <w:r>
        <w:rPr>
          <w:noProof/>
        </w:rPr>
        <w:t>Na poparcie proponowanego wniosku ustawodawczego przeprowadzona została ocena skutków. Sprawozdanie z oceny skutków zawiera analizę różnych wariantów polityki pod kątem realizacji konkretnych celów, a także ocenę opcji wykraczających poza budżet ogólny Unii i mieszczących się w nim.</w:t>
      </w:r>
    </w:p>
    <w:p>
      <w:pPr>
        <w:pStyle w:val="Text1"/>
        <w:ind w:left="0"/>
        <w:rPr>
          <w:noProof/>
        </w:rPr>
      </w:pPr>
      <w:r>
        <w:rPr>
          <w:noProof/>
        </w:rPr>
        <w:t xml:space="preserve">W ocenie skutków stwierdzono, że zmiana Instrumentu na rzecz przyczyniania się do Stabilności i Pokoju byłaby najbardziej odpowiednią i skuteczną opcją krótkoterminową, biorąc pod uwagę cele, czas, zasięg geograficzny i elastyczność jej realizacji jako instrumentu kryzysowego. W ocenie skutków stwierdza się również, że kompleksowe wdrożenie inicjatywy budowania zdolności na rzecz bezpieczeństwa i rozwoju (czyli obejmującej wsparcie dla wojska do celów związanych z obronnością) wymaga połączenia instrumentu budżetowego (w odniesieniu do zadań w zakresie rozwoju) z innym, potencjalnie pozabudżetowym, mechanizmem. 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ab/>
        <w:t>Prawa podstawowe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>Wniosek ustawodawczy zapewnia, by środki pomocy na podstawie nowych przepisów w odniesieniu do budowania zdolności na rzecz bezpieczeństwa i rozwoju były wdrażane zgodnie z przepisami prawa międzynarodowego, w tym międzynarodowego prawa humanitarnego. Komisja będzie monitorować wdrażanie tych środków pomocy w celu zapewnienia realizacji zobowiązań w zakresie praw człowieka.</w:t>
      </w:r>
    </w:p>
    <w:p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WPŁYW NA BUDŻET</w:t>
      </w:r>
    </w:p>
    <w:p>
      <w:pPr>
        <w:autoSpaceDE w:val="0"/>
        <w:autoSpaceDN w:val="0"/>
        <w:adjustRightInd w:val="0"/>
        <w:spacing w:before="0" w:after="0"/>
        <w:rPr>
          <w:rFonts w:eastAsia="Arial Unicode MS"/>
          <w:noProof/>
        </w:rPr>
      </w:pPr>
      <w:r>
        <w:rPr>
          <w:noProof/>
        </w:rPr>
        <w:t>Jeśli chodzi o koszty, wymagany byłby budżet w wysokości 100 000 000 EUR na lata 2017–2020. Inicjatywa będzie finansowana dzięki przesunięciom w ramach działu IV budżetu ogólnego Unii. Żadne dodatkowe środki nie zostaną uruchomione. Wdrożenie będzie uregulowane rozporządzeniem (UE) nr 236/2014</w:t>
      </w:r>
      <w:r>
        <w:rPr>
          <w:rStyle w:val="FootnoteReference"/>
          <w:noProof/>
        </w:rPr>
        <w:footnoteReference w:id="16"/>
      </w:r>
      <w:r>
        <w:rPr>
          <w:noProof/>
        </w:rPr>
        <w:t>.</w:t>
      </w:r>
    </w:p>
    <w:p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ELEMENTY FAKULTATYWNE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Plany wdrożenia i monitorowanie, ocena i sprawozdania</w:t>
      </w:r>
    </w:p>
    <w:p>
      <w:pPr>
        <w:rPr>
          <w:noProof/>
        </w:rPr>
      </w:pPr>
      <w:r>
        <w:rPr>
          <w:noProof/>
        </w:rPr>
        <w:t>Formy monitorowania i oceny są określone w art. 12 i 13 rozporządzenia (UE) nr 236/2014, które ma zastosowanie do wszystkich unijnych instrumentów finansowania zewnętrznego, w tym Instrumentu na rzecz przyczyniania się do Stabilności i Pokoju, który jest preferowaną opcją. Zasady sprawozdawczości są również przewidziane w powyższym rozporządzeniu.</w:t>
      </w:r>
    </w:p>
    <w:p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</w:rPr>
        <w:t>•</w:t>
      </w:r>
      <w:r>
        <w:rPr>
          <w:noProof/>
        </w:rPr>
        <w:tab/>
        <w:t>Szczegółowe objaśnienia poszczególnych przepisów wniosku</w:t>
      </w:r>
    </w:p>
    <w:p>
      <w:pPr>
        <w:pStyle w:val="Text1"/>
        <w:ind w:left="0"/>
        <w:rPr>
          <w:noProof/>
        </w:rPr>
      </w:pPr>
      <w:r>
        <w:rPr>
          <w:noProof/>
        </w:rPr>
        <w:t>Ta część zawiera szczegółowy komentarz na temat głównych przepisów wprowadzonych w drodze proponowanego rozporządzenia zmieniającego rozporządzenie (UE) nr 230/214 ustanawiające Instrument na rzecz przyczyniania się do Stabilności i Pokoju.</w:t>
      </w:r>
    </w:p>
    <w:p>
      <w:pPr>
        <w:pStyle w:val="Point1"/>
        <w:rPr>
          <w:noProof/>
        </w:rPr>
      </w:pPr>
      <w:r>
        <w:rPr>
          <w:noProof/>
        </w:rPr>
        <w:t>1)</w:t>
      </w:r>
      <w:r>
        <w:rPr>
          <w:noProof/>
        </w:rPr>
        <w:tab/>
        <w:t>Przedmiot i cele (artykuł 1, tytuł I, Przepisy ogólne)</w:t>
      </w:r>
    </w:p>
    <w:p>
      <w:pPr>
        <w:pStyle w:val="Text1"/>
        <w:ind w:left="0"/>
        <w:rPr>
          <w:noProof/>
        </w:rPr>
      </w:pPr>
      <w:r>
        <w:rPr>
          <w:noProof/>
        </w:rPr>
        <w:t>Celem zmian w art. 1 ust. 2 jest włączenie w zakres rozporządzenia pomocy dla podmiotów odpowiedzialnych za bezpieczeństwo, w tym podmiotów wojskowych. Pomoc może być udzielana w nadzwyczajnych okolicznościach opisanych poniżej (patrz punkt 2) w kontekście szerszego procesu reform sektora bezpieczeństwa lub w ramach budowania zdolności na rzecz bezpieczeństwa i rozwoju zgodnie z nadrzędnym celem, jakim jest osiągnięcie zrównoważonego rozwoju.</w:t>
      </w:r>
    </w:p>
    <w:p>
      <w:pPr>
        <w:pStyle w:val="Point1"/>
        <w:rPr>
          <w:noProof/>
        </w:rPr>
      </w:pPr>
      <w:r>
        <w:rPr>
          <w:noProof/>
        </w:rPr>
        <w:t>2)</w:t>
      </w:r>
      <w:r>
        <w:rPr>
          <w:noProof/>
        </w:rPr>
        <w:tab/>
        <w:t>Budowanie zdolności na rzecz bezpieczeństwa i rozwoju (artykuł 3a, tytuł II Rodzaje pomocy unijnej)</w:t>
      </w:r>
    </w:p>
    <w:p>
      <w:pPr>
        <w:pStyle w:val="Text1"/>
        <w:ind w:left="0"/>
        <w:rPr>
          <w:noProof/>
        </w:rPr>
      </w:pPr>
      <w:r>
        <w:rPr>
          <w:noProof/>
        </w:rPr>
        <w:t xml:space="preserve">Proponowany artykuł 3a stanowi w </w:t>
      </w:r>
      <w:r>
        <w:rPr>
          <w:noProof/>
          <w:u w:val="single"/>
        </w:rPr>
        <w:t>ustępie pierwszym</w:t>
      </w:r>
      <w:r>
        <w:rPr>
          <w:noProof/>
        </w:rPr>
        <w:t xml:space="preserve">, że pomoc unijna może być wykorzystywana w nadzwyczajnych okolicznościach do budowania zdolności podmiotów wojskowych w krajach partnerskich w celu przyczynienia się do zrównoważonego rozwoju, a w szczególności do tworzenia stabilnych, pokojowych i integracyjnych społeczeństw. Realizacja postulatu stabilnych, pokojowych i integracyjnych społeczeństw nawiązuje do 16. celu zrównoważonego rozwoju (SDG) dotyczącego pokoju i sprawiedliwości, który uwypukla znaczenie promowania pokojowych i integracyjnych społeczeństw, zapewnienia wszystkim dostępu do wymiaru sprawiedliwości oraz budowania skutecznych i odpowiedzialnych instytucji na wszystkich szczeblach. Cel ten podkreśla potrzebę wzmocnienia odpowiednich instytucji krajowych, w tym poprzez współpracę międzynarodową na rzecz budowania zdolności na wszystkich szczeblach, zwłaszcza w krajach rozwijających się, aby między innymi zapobiegać przemocy oraz zwalczać terroryzm i przestępczość. Nadzwyczajne okoliczności, o których mowa w ustępie 1, są bardziej szczegółowo zdefiniowane w ustępie 3 nowego artykułu 3a. </w:t>
      </w:r>
    </w:p>
    <w:p>
      <w:pPr>
        <w:pStyle w:val="Text1"/>
        <w:ind w:left="0"/>
        <w:rPr>
          <w:noProof/>
        </w:rPr>
      </w:pPr>
      <w:r>
        <w:rPr>
          <w:noProof/>
        </w:rPr>
        <w:t xml:space="preserve">W </w:t>
      </w:r>
      <w:r>
        <w:rPr>
          <w:noProof/>
          <w:u w:val="single"/>
        </w:rPr>
        <w:t>ustępie 2</w:t>
      </w:r>
      <w:r>
        <w:rPr>
          <w:noProof/>
        </w:rPr>
        <w:t xml:space="preserve"> artykuł 3a ilustruje rodzaj działań, które mogą być objęte wsparciem, tj. programy budowania zdolności na rzecz bezpieczeństwa i rozwoju, w tym szkolenia, mentoring i doradztwo, a także dostawy sprzętu, poprawa infrastruktury i świadczenie innych usług.</w:t>
      </w:r>
    </w:p>
    <w:p>
      <w:pPr>
        <w:pStyle w:val="Text1"/>
        <w:ind w:left="0"/>
        <w:rPr>
          <w:noProof/>
        </w:rPr>
      </w:pPr>
      <w:r>
        <w:rPr>
          <w:noProof/>
        </w:rPr>
        <w:t xml:space="preserve">W </w:t>
      </w:r>
      <w:r>
        <w:rPr>
          <w:noProof/>
          <w:u w:val="single"/>
        </w:rPr>
        <w:t>ustępie 3</w:t>
      </w:r>
      <w:r>
        <w:rPr>
          <w:noProof/>
        </w:rPr>
        <w:t xml:space="preserve"> artykuł 3a uszczegóławia wspomniane w ustępie 1 nadzwyczajne okoliczności, w razie których świadczona jest pomoc. Ustęp 3 lit. a) i lit. b) należy czytać łącznie. Ustęp 3 lit. a) wymaga, aby podmioty wojskowe były finansowane tylko wtedy, gdy nie ma możliwości spełnienia wymagań dla odpowiedniej realizacji celów Unii wynikających z rozporządzenia (UE) nr 230/2014 za pośrednictwem podmiotów pozawojskowych, a przesłanki dla stworzenia stabilnych, pokojowych i integracyjnych społeczeństw zostały zachwiane przez poważne zagrożenie dla istnienia funkcjonujących instytucji państwowych lub instytucje państwowe nie są w stanie dalej przeciwdziałać takiemu poważnemu zagrożeniu (np. upadły). Ustęp 3 lit. b) wymaga, by społeczność międzynarodowa lub Unia i dany kraj zgadzały się co do tego, że sektor bezpieczeństwa, w szczególności wojsko, jest kluczem do stabilności, pokoju i rozwoju, zwłaszcza w kontekście kryzysu i niestabilności. Taka zgoda może mieć formę rezolucji Rady Bezpieczeństwa ONZ lub dokumentu programowego uzgodnionego między Unią i innymi partnerami międzynarodowymi (jak np. porozumienie w sprawie Somalii); zaangażowanie Unii jest również możliwe na mocy tytułu V Traktatu o Unii Europejskiej.</w:t>
      </w:r>
    </w:p>
    <w:p>
      <w:pPr>
        <w:pStyle w:val="Text1"/>
        <w:ind w:left="0"/>
        <w:rPr>
          <w:noProof/>
        </w:rPr>
      </w:pPr>
      <w:r>
        <w:rPr>
          <w:noProof/>
          <w:u w:val="single"/>
        </w:rPr>
        <w:t>Ustęp 4</w:t>
      </w:r>
      <w:r>
        <w:rPr>
          <w:noProof/>
        </w:rPr>
        <w:t xml:space="preserve"> artykułu 3a przedstawia ograniczenia dla pomocy unijnej w ramach nowego artykułu, która nie obejmuje stałych wydatków wojskowych, zakupów broni i amunicji, jak również szkoleń, których wyłącznym celem jest przyczynianie się do zdolności bojowej sił zbrojnych.</w:t>
      </w:r>
    </w:p>
    <w:p>
      <w:pPr>
        <w:pStyle w:val="Text1"/>
        <w:ind w:left="0"/>
        <w:rPr>
          <w:noProof/>
        </w:rPr>
      </w:pPr>
      <w:r>
        <w:rPr>
          <w:noProof/>
          <w:u w:val="single"/>
        </w:rPr>
        <w:t>Ustęp 5</w:t>
      </w:r>
      <w:r>
        <w:rPr>
          <w:noProof/>
        </w:rPr>
        <w:t xml:space="preserve"> artykułu 3a zawiera ogólne zasady, na których powinna opierać się pomoc świadczona na podstawie tego artykułu, takie jak zaangażowanie państwa partnerskiego; potrzeba rozwijania elementów i dobrych praktyk niezbędnych do zapewnienia trwałości w perspektywie średnio- i długoterminowej, jak również promowanie praworządności i ustalonych zasad prawa międzynarodowego.</w:t>
      </w:r>
    </w:p>
    <w:p>
      <w:pPr>
        <w:pStyle w:val="Text1"/>
        <w:ind w:left="0"/>
        <w:rPr>
          <w:noProof/>
        </w:rPr>
      </w:pPr>
      <w:r>
        <w:rPr>
          <w:noProof/>
          <w:u w:val="single"/>
        </w:rPr>
        <w:t>Ustęp 6</w:t>
      </w:r>
      <w:r>
        <w:rPr>
          <w:noProof/>
        </w:rPr>
        <w:t xml:space="preserve"> artykułu 3a wzywa natomiast do ustanowienia procedur oceny ryzyka, monitorowania i oceny środków pomocowych wdrażanych na podstawie nowego artykułu.</w:t>
      </w:r>
    </w:p>
    <w:p>
      <w:pPr>
        <w:pStyle w:val="Point1"/>
        <w:rPr>
          <w:noProof/>
        </w:rPr>
      </w:pPr>
      <w:r>
        <w:rPr>
          <w:noProof/>
        </w:rPr>
        <w:t>3)</w:t>
      </w:r>
      <w:r>
        <w:rPr>
          <w:noProof/>
        </w:rPr>
        <w:tab/>
        <w:t>Nadzwyczajne środki pomocy oraz przejściowe programy reagowania (artykuł 7, tytuł III, Programowanie i wdrażanie)</w:t>
      </w:r>
    </w:p>
    <w:p>
      <w:pPr>
        <w:pStyle w:val="Text1"/>
        <w:ind w:left="0"/>
        <w:rPr>
          <w:noProof/>
        </w:rPr>
      </w:pPr>
      <w:r>
        <w:rPr>
          <w:noProof/>
        </w:rPr>
        <w:t>Artykuł 7 ust. 1 został zmieniony poprzez uwzględnienie odwołania do nowego artykułu 3a i stanowi, że pomoc unijna na podstawie nowego artykułu 3a może być udzielana w formie nadzwyczajnych środków pomocy oraz przejściowych programów reagowania.</w:t>
      </w:r>
    </w:p>
    <w:p>
      <w:pPr>
        <w:pStyle w:val="Point1"/>
        <w:rPr>
          <w:noProof/>
        </w:rPr>
      </w:pPr>
      <w:r>
        <w:rPr>
          <w:noProof/>
        </w:rPr>
        <w:t>4)</w:t>
      </w:r>
      <w:r>
        <w:rPr>
          <w:noProof/>
        </w:rPr>
        <w:tab/>
        <w:t>Tematyczne dokumenty strategiczne oraz wieloletnie programy indykatywne (artykuł 8, tytuł III, Programowanie i wdrażanie)</w:t>
      </w:r>
    </w:p>
    <w:p>
      <w:pPr>
        <w:pStyle w:val="Text1"/>
        <w:ind w:left="0"/>
        <w:rPr>
          <w:noProof/>
        </w:rPr>
      </w:pPr>
      <w:r>
        <w:rPr>
          <w:noProof/>
        </w:rPr>
        <w:t>Artykuł 8 ust. 1 został zmieniony poprzez uwzględnienie odwołania do nowego artykułu 3a i stanowi, że pomoc unijna na podstawie nowego artykułu 3a może być realizowana za pomocą tematycznych dokumentów strategicznych.</w:t>
      </w:r>
    </w:p>
    <w:p>
      <w:pPr>
        <w:pStyle w:val="Point1"/>
        <w:rPr>
          <w:noProof/>
        </w:rPr>
      </w:pPr>
      <w:r>
        <w:rPr>
          <w:noProof/>
        </w:rPr>
        <w:t>5)</w:t>
      </w:r>
      <w:r>
        <w:rPr>
          <w:noProof/>
        </w:rPr>
        <w:tab/>
        <w:t>Prawa człowieka (artykuł 10, tytuł III, Programowanie i wdrażanie)</w:t>
      </w:r>
    </w:p>
    <w:p>
      <w:pPr>
        <w:pStyle w:val="Text1"/>
        <w:ind w:left="0"/>
        <w:rPr>
          <w:noProof/>
        </w:rPr>
      </w:pPr>
      <w:r>
        <w:rPr>
          <w:noProof/>
        </w:rPr>
        <w:t>Artykuł 10 ust. 1 został zmieniony, aby obowiązek wdrażania środków pomocy zgodnie z przepisami prawa międzynarodowego, w tym międzynarodowego prawa humanitarnego, rozszerzyć na środki pomocy związane z budowaniem zdolności na rzecz bezpieczeństwa i rozwoju na podstawie nowego artykułu 3a.</w:t>
      </w:r>
    </w:p>
    <w:p>
      <w:pPr>
        <w:pStyle w:val="Point1"/>
        <w:rPr>
          <w:noProof/>
        </w:rPr>
      </w:pPr>
      <w:r>
        <w:rPr>
          <w:noProof/>
        </w:rPr>
        <w:t>6)</w:t>
      </w:r>
      <w:r>
        <w:rPr>
          <w:noProof/>
        </w:rPr>
        <w:tab/>
        <w:t>Pula środków finansowych (artykuł 13, tytuł IV, Przepisy końcowe)</w:t>
      </w:r>
    </w:p>
    <w:p>
      <w:pPr>
        <w:pStyle w:val="Text1"/>
        <w:ind w:left="0"/>
        <w:rPr>
          <w:noProof/>
        </w:rPr>
      </w:pPr>
      <w:r>
        <w:rPr>
          <w:noProof/>
        </w:rPr>
        <w:t xml:space="preserve">Artykuł 13 ust. 1 zwiększa pulę środków finansowych na wykonanie rozporządzenia o kwotę 100 000 000 EUR, co oznacza, że pula środków finansowych Instrumentu na rzecz przyczyniania się do Stabilności i Pokoju wynosi 2 438 719 000 EUR. Podział przewidziany w art. 13 ust. 3 pozostaje niezmieniony, aby umożliwić realizację działań związanych z budowaniem zdolności na rzecz bezpieczeństwa i rozwoju na podstawie różnych artykułów i ich finansowania w ramach różnych linii budżetowych. </w:t>
      </w:r>
    </w:p>
    <w:p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noProof/>
        </w:rPr>
      </w:pPr>
    </w:p>
    <w:p>
      <w:pPr>
        <w:rPr>
          <w:noProof/>
        </w:rPr>
        <w:sectPr>
          <w:footerReference w:type="default" r:id="rId11"/>
          <w:footerReference w:type="first" r:id="rId12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>
      <w:pPr>
        <w:pStyle w:val="Rfrenceinterinstitutionnelle"/>
        <w:rPr>
          <w:noProof/>
        </w:rPr>
      </w:pPr>
      <w:r>
        <w:rPr>
          <w:noProof/>
        </w:rPr>
        <w:t>2016/0207 (COD)</w:t>
      </w:r>
    </w:p>
    <w:p>
      <w:pPr>
        <w:pStyle w:val="Statut"/>
        <w:rPr>
          <w:noProof/>
        </w:rPr>
      </w:pPr>
      <w:r>
        <w:rPr>
          <w:noProof/>
        </w:rPr>
        <w:t>Wniosek</w:t>
      </w:r>
    </w:p>
    <w:p>
      <w:pPr>
        <w:pStyle w:val="Typedudocument"/>
        <w:rPr>
          <w:noProof/>
        </w:rPr>
      </w:pPr>
      <w:r>
        <w:rPr>
          <w:noProof/>
        </w:rPr>
        <w:t>ROZPORZĄDZENIE PARLAMENTU EUROPEJSKIEGO I RADY</w:t>
      </w:r>
    </w:p>
    <w:p>
      <w:pPr>
        <w:pStyle w:val="Titreobjet"/>
        <w:rPr>
          <w:noProof/>
        </w:rPr>
      </w:pPr>
      <w:r>
        <w:rPr>
          <w:noProof/>
        </w:rPr>
        <w:t>zmieniające rozporządzenie Parlamentu Europejskiego i Rady (UE) nr 230/2014 z dnia 11 marca 2014 r. ustanawiające Instrument na rzecz przyczyniania się do Stabilności i Pokoju</w:t>
      </w:r>
    </w:p>
    <w:p>
      <w:pPr>
        <w:pStyle w:val="Institutionquiagit"/>
        <w:rPr>
          <w:noProof/>
        </w:rPr>
      </w:pPr>
      <w:r>
        <w:rPr>
          <w:noProof/>
        </w:rPr>
        <w:t>PARLAMENT EUROPEJSKI I RADA UNII EUROPEJSKIEJ,</w:t>
      </w:r>
    </w:p>
    <w:p>
      <w:pPr>
        <w:rPr>
          <w:noProof/>
        </w:rPr>
      </w:pPr>
      <w:r>
        <w:rPr>
          <w:noProof/>
        </w:rPr>
        <w:t>uwzględniając Traktat o funkcjonowaniu Unii Europejskiej, w szczególności jego art. 209 ust. 1 i art. 212 ust. 2,</w:t>
      </w:r>
    </w:p>
    <w:p>
      <w:pPr>
        <w:rPr>
          <w:noProof/>
        </w:rPr>
      </w:pPr>
      <w:r>
        <w:rPr>
          <w:noProof/>
        </w:rPr>
        <w:t>uwzględniając wniosek Komisji Europejskiej,</w:t>
      </w:r>
    </w:p>
    <w:p>
      <w:pPr>
        <w:rPr>
          <w:noProof/>
        </w:rPr>
      </w:pPr>
      <w:r>
        <w:rPr>
          <w:noProof/>
        </w:rPr>
        <w:t>po przekazaniu projektu aktu ustawodawczego parlamentom narodowym,</w:t>
      </w:r>
    </w:p>
    <w:p>
      <w:pPr>
        <w:rPr>
          <w:noProof/>
        </w:rPr>
      </w:pPr>
      <w:r>
        <w:rPr>
          <w:noProof/>
        </w:rPr>
        <w:t>stanowiąc zgodnie ze zwykłą procedurą ustawodawczą,</w:t>
      </w:r>
    </w:p>
    <w:p>
      <w:pPr>
        <w:rPr>
          <w:noProof/>
        </w:rPr>
      </w:pPr>
      <w:r>
        <w:rPr>
          <w:noProof/>
        </w:rPr>
        <w:t>a także mając na uwadze, co następuje:</w:t>
      </w:r>
    </w:p>
    <w:p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Związek między bezpieczeństwem a rozwojem został dostrzeżony w Konsensusie europejskim w sprawie rozwoju z 2005 r.</w:t>
      </w:r>
      <w:r>
        <w:rPr>
          <w:rStyle w:val="FootnoteReference"/>
          <w:noProof/>
        </w:rPr>
        <w:footnoteReference w:id="17"/>
      </w:r>
      <w:r>
        <w:rPr>
          <w:noProof/>
        </w:rPr>
        <w:t xml:space="preserve">. </w:t>
      </w:r>
    </w:p>
    <w:p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Przyjęta przez Organizację Narodów Zjednoczonych we wrześniu 2015 r. Agenda na Rzecz Zrównoważonego Rozwoju 2030 uwypukla znaczenie promowania pokojowych i integracyjnych społeczeństw zarówno dla realizacji 16. celu zrównoważonego rozwoju, jak i dla osiągnięcia innych efektów polityki rozwoju. 16. cel zrównoważonego rozwoju zawiera konkretny postulat „wzmocnienia odpowiednich instytucji krajowych, w tym poprzez współpracę międzynarodową na rzecz budowania zdolności na wszystkich szczeblach, zwłaszcza w krajach rozwijających się, aby zapobiegać przemocy oraz zwalczać terroryzm i przestępczość”.</w:t>
      </w:r>
      <w:r>
        <w:rPr>
          <w:rStyle w:val="FootnoteReference"/>
          <w:noProof/>
        </w:rPr>
        <w:footnoteReference w:id="18"/>
      </w:r>
      <w:r>
        <w:rPr>
          <w:noProof/>
        </w:rPr>
        <w:t>.</w:t>
      </w:r>
    </w:p>
    <w:p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 xml:space="preserve">Wspieranie podmiotów sektora bezpieczeństwa, w tym wojskowych w nadzwyczajnych okolicznościach, w państwach trzecich w kontekście zapobiegania konfliktom, zarządzania kryzysowego lub stabilizacji ma zasadnicze znaczenie, aby zapewnić odpowiednie warunki dla zwalczania ubóstwa i rozwoju. Działania te są szczególnie konieczne w celu zapewnienia ochrony ludności cywilnej w obszarach dotkniętych konfliktami, kryzysami lub niestabilnością. Dobre rządy oraz skuteczna kontrola demokratyczna i nadzór cywilny nad systemem bezpieczeństwa, w tym wojskiem, a także przestrzeganie praw człowieka i zasad praworządności, są zasadniczymi cechami dobrze funkcjonującego państwa w każdym kontekście i należy je propagować poprzez wsparcie państw trzecich w szerszej reformie sektora bezpieczeństwa. </w:t>
      </w:r>
    </w:p>
    <w:p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 xml:space="preserve">Rada Europejska w swoich konkluzjach z 19-20 grudnia 2013 r. podkreśliła znaczenie wspierania krajów partnerskich i organizacji regionalnych poprzez zapewnienie w miarę potrzeb szkoleń, doradztwa, sprzętu i zasobów, aby mogły one w coraz większym stopniu samodzielnie zapobiegać kryzysom lub zarządzać nimi. </w:t>
      </w:r>
    </w:p>
    <w:p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We wspólnym komunikacie zatytułowanym „Budowanie zdolności na rzecz bezpieczeństwa i rozwoju – Umożliwienie partnerom zapobiegania kryzysom i zarządzania nimi” Komisja i Wysoki przedstawiciel Unii do spraw zagranicznych i polityki bezpieczeństwa potwierdzili, że potrzebne są stabilne i bezpieczne społeczeństwa, aby osiągnąć cele rozwoju</w:t>
      </w:r>
      <w:r>
        <w:rPr>
          <w:rStyle w:val="FootnoteReference"/>
          <w:noProof/>
        </w:rPr>
        <w:footnoteReference w:id="19"/>
      </w:r>
      <w:r>
        <w:rPr>
          <w:noProof/>
        </w:rPr>
        <w:t xml:space="preserve">. </w:t>
      </w:r>
    </w:p>
    <w:p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>W swoich konkluzjach w sprawie wspólnej polityki bezpieczeństwa i obrony (WPBiO) z dnia 18 maja 2015 r. Rada wezwała do zbadania możliwości zwiększenia spójności i koordynacji działań UE w zakresie bezpieczeństwa i rozwoju, a także usprawnienia budowania zdolności na rzecz bezpieczeństwa i rozwoju, zwłaszcza w odniesieniu do instrumentów finansowych</w:t>
      </w:r>
      <w:r>
        <w:rPr>
          <w:rStyle w:val="FootnoteReference"/>
          <w:noProof/>
        </w:rPr>
        <w:footnoteReference w:id="20"/>
      </w:r>
      <w:r>
        <w:rPr>
          <w:noProof/>
        </w:rPr>
        <w:t xml:space="preserve">. Wezwano w nich również do opracowania ogólnounijnych ram strategicznych reformy sektora bezpieczeństwa, które skupiałyby WPBiO i wszystkie inne odpowiednie narzędzia wspólnej polityki zagranicznej i bezpieczeństwa (WPZiB), a także instrumenty współpracy na rzecz rozwoju oraz podmioty działające w przestrzeni wolności, bezpieczeństwa i sprawiedliwości. </w:t>
      </w:r>
    </w:p>
    <w:p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 xml:space="preserve">Należy zatem odpowiednio zmienić rozporządzenie (UE) nr 230/2014, </w:t>
      </w:r>
    </w:p>
    <w:p>
      <w:pPr>
        <w:pStyle w:val="Formuledadoption"/>
        <w:rPr>
          <w:noProof/>
        </w:rPr>
      </w:pPr>
      <w:r>
        <w:rPr>
          <w:noProof/>
        </w:rPr>
        <w:t>PRZYJMUJĄ NINIEJSZE ROZPORZĄDZENIE:</w:t>
      </w:r>
    </w:p>
    <w:p>
      <w:pPr>
        <w:pStyle w:val="Titrearticle"/>
        <w:rPr>
          <w:noProof/>
        </w:rPr>
      </w:pPr>
      <w:r>
        <w:rPr>
          <w:noProof/>
        </w:rPr>
        <w:t>Artykuł 1</w:t>
      </w:r>
    </w:p>
    <w:p>
      <w:pPr>
        <w:rPr>
          <w:noProof/>
          <w:szCs w:val="24"/>
        </w:rPr>
      </w:pPr>
      <w:r>
        <w:rPr>
          <w:noProof/>
        </w:rPr>
        <w:t>W rozporządzeniu (UE) nr 230/2014 wprowadza się następujące zmiany:</w:t>
      </w:r>
    </w:p>
    <w:p>
      <w:pPr>
        <w:pStyle w:val="Point0"/>
        <w:rPr>
          <w:noProof/>
          <w:szCs w:val="24"/>
        </w:rPr>
      </w:pPr>
      <w:r>
        <w:rPr>
          <w:noProof/>
        </w:rPr>
        <w:t>1)</w:t>
      </w:r>
      <w:r>
        <w:rPr>
          <w:noProof/>
        </w:rPr>
        <w:tab/>
        <w:t>w art. 1 ust. 2 dodaje się akapit w brzmieniu:</w:t>
      </w:r>
    </w:p>
    <w:p>
      <w:pPr>
        <w:spacing w:before="150" w:after="0"/>
        <w:rPr>
          <w:rFonts w:eastAsia="Times New Roman"/>
          <w:b/>
          <w:bCs/>
          <w:noProof/>
          <w:szCs w:val="24"/>
        </w:rPr>
      </w:pPr>
      <w:r>
        <w:rPr>
          <w:rStyle w:val="Strong"/>
          <w:b w:val="0"/>
          <w:noProof/>
        </w:rPr>
        <w:t>„W przypadku, gdy pomoc Unii udzielana jest podmiotom sektora bezpieczeństwa, może ona również objąć podmioty wojskowe w nadzwyczajnych okolicznościach przewidzianych w art. 3a, zwłaszcza w kontekście szerszego procesu reform sektora bezpieczeństwa lub w ramach budowania zdolności na rzecz bezpieczeństwa i rozwoju zgodnie z nadrzędnym celem, jakim jest osiągnięcie zrównoważonego rozwoju.”;</w:t>
      </w:r>
    </w:p>
    <w:p>
      <w:pPr>
        <w:pStyle w:val="Point0"/>
        <w:rPr>
          <w:noProof/>
        </w:rPr>
      </w:pPr>
      <w:r>
        <w:rPr>
          <w:noProof/>
        </w:rPr>
        <w:t>2)</w:t>
      </w:r>
      <w:r>
        <w:rPr>
          <w:noProof/>
        </w:rPr>
        <w:tab/>
        <w:t>dodaje się art. 3a w brzmieniu:</w:t>
      </w:r>
    </w:p>
    <w:p>
      <w:pPr>
        <w:spacing w:before="150" w:after="0"/>
        <w:rPr>
          <w:rFonts w:eastAsia="Times New Roman"/>
          <w:noProof/>
          <w:szCs w:val="24"/>
        </w:rPr>
      </w:pPr>
      <w:r>
        <w:rPr>
          <w:i/>
          <w:noProof/>
        </w:rPr>
        <w:t>„Artykuł 3a</w:t>
      </w:r>
      <w:r>
        <w:rPr>
          <w:noProof/>
        </w:rPr>
        <w:t xml:space="preserve"> </w:t>
      </w:r>
    </w:p>
    <w:p>
      <w:pPr>
        <w:spacing w:before="150" w:after="0"/>
        <w:rPr>
          <w:rFonts w:eastAsia="Times New Roman"/>
          <w:bCs/>
          <w:noProof/>
          <w:szCs w:val="24"/>
        </w:rPr>
      </w:pPr>
      <w:r>
        <w:rPr>
          <w:noProof/>
        </w:rPr>
        <w:t xml:space="preserve">Budowanie zdolności na rzecz bezpieczeństwa i rozwoju </w:t>
      </w:r>
    </w:p>
    <w:p>
      <w:pPr>
        <w:spacing w:before="150" w:after="0"/>
        <w:rPr>
          <w:rFonts w:eastAsia="Times New Roman"/>
          <w:bCs/>
          <w:noProof/>
          <w:szCs w:val="24"/>
        </w:rPr>
      </w:pPr>
      <w:r>
        <w:rPr>
          <w:noProof/>
        </w:rPr>
        <w:t>1.</w:t>
      </w:r>
      <w:r>
        <w:rPr>
          <w:noProof/>
        </w:rPr>
        <w:tab/>
        <w:t xml:space="preserve">W celu przyczynienia się do zrównoważonego rozwoju, a w szczególności do tworzenia stabilnych, pokojowych i integracyjnych społeczeństw, pomoc unijna na mocy niniejszego rozporządzenia może być wykorzystywana do budowania zdolności podmiotów wojskowych w krajach partnerskich w nadzwyczajnych okolicznościach określonych w ust. 3 niniejszego artykułu. </w:t>
      </w:r>
    </w:p>
    <w:p>
      <w:pPr>
        <w:spacing w:before="150" w:after="0"/>
        <w:rPr>
          <w:rFonts w:eastAsia="Times New Roman"/>
          <w:bCs/>
          <w:noProof/>
          <w:szCs w:val="24"/>
        </w:rPr>
      </w:pPr>
      <w:r>
        <w:rPr>
          <w:noProof/>
        </w:rPr>
        <w:t>2.</w:t>
      </w:r>
      <w:r>
        <w:rPr>
          <w:noProof/>
        </w:rPr>
        <w:tab/>
        <w:t>Pomoc może w szczególności objąć realizację programów budowania zdolności na rzecz bezpieczeństwa i rozwoju, w tym szkolenia, mentoring i doradztwo, a także dostawę sprzętu, poprawę infrastruktury i świadczenie innych usług.</w:t>
      </w:r>
    </w:p>
    <w:p>
      <w:pPr>
        <w:spacing w:before="150" w:after="0"/>
        <w:rPr>
          <w:rFonts w:eastAsia="Times New Roman"/>
          <w:bCs/>
          <w:noProof/>
          <w:szCs w:val="24"/>
        </w:rPr>
      </w:pPr>
      <w:r>
        <w:rPr>
          <w:noProof/>
        </w:rPr>
        <w:t>3.</w:t>
      </w:r>
      <w:r>
        <w:rPr>
          <w:noProof/>
        </w:rPr>
        <w:tab/>
        <w:t>Pomoc na podstawie niniejszego artykułu może być świadczona jedynie w sytuacji, gdy:</w:t>
      </w:r>
    </w:p>
    <w:p>
      <w:pPr>
        <w:spacing w:before="150" w:after="0"/>
        <w:rPr>
          <w:rFonts w:eastAsia="Times New Roman"/>
          <w:bCs/>
          <w:noProof/>
          <w:szCs w:val="24"/>
        </w:rPr>
      </w:pPr>
      <w:r>
        <w:rPr>
          <w:noProof/>
        </w:rPr>
        <w:t>a)</w:t>
      </w:r>
      <w:r>
        <w:rPr>
          <w:noProof/>
        </w:rPr>
        <w:tab/>
        <w:t>nie ma możliwości spełnienia wymagań dla odpowiedniej realizacji celów Unii wynikających z niniejszego rozporządzenia za pośrednictwem podmiotów pozawojskowych, a przesłanki dla stworzenia stabilnych, pokojowych i integracyjnych społeczeństw zostały zachwiane przez poważne zagrożenie dla istnienia funkcjonujących instytucji państwowych, jak również dla ochrony praw człowieka i podstawowych wolności, lub instytucje państwowe nie są w stanie dalej przeciwdziałać takiemu poważnemu zagrożeniu; oraz</w:t>
      </w:r>
    </w:p>
    <w:p>
      <w:pPr>
        <w:spacing w:before="150" w:after="0"/>
        <w:rPr>
          <w:rFonts w:eastAsia="Times New Roman"/>
          <w:bCs/>
          <w:noProof/>
          <w:szCs w:val="24"/>
        </w:rPr>
      </w:pPr>
      <w:r>
        <w:rPr>
          <w:noProof/>
        </w:rPr>
        <w:t>b)</w:t>
      </w:r>
      <w:r>
        <w:rPr>
          <w:noProof/>
        </w:rPr>
        <w:tab/>
        <w:t xml:space="preserve">istnieje zgoda pomiędzy danym krajem i społecznością międzynarodową lub Unią Europejską, że sektor bezpieczeństwa, w szczególności wojsko, jest kluczem do stabilności, pokoju i rozwoju, zwłaszcza w przypadku kryzysu lub w kontekstach i sytuacjach niestabilności. </w:t>
      </w:r>
    </w:p>
    <w:p>
      <w:pPr>
        <w:spacing w:before="150" w:after="0"/>
        <w:rPr>
          <w:rFonts w:eastAsia="Times New Roman"/>
          <w:bCs/>
          <w:noProof/>
          <w:szCs w:val="24"/>
        </w:rPr>
      </w:pPr>
      <w:r>
        <w:rPr>
          <w:noProof/>
        </w:rPr>
        <w:t>4.</w:t>
      </w:r>
      <w:r>
        <w:rPr>
          <w:noProof/>
        </w:rPr>
        <w:tab/>
        <w:t>Pomoc Unii nie może służyć do finansowania:</w:t>
      </w:r>
    </w:p>
    <w:p>
      <w:pPr>
        <w:spacing w:before="150" w:after="0"/>
        <w:rPr>
          <w:rFonts w:eastAsia="Times New Roman"/>
          <w:bCs/>
          <w:noProof/>
          <w:szCs w:val="24"/>
        </w:rPr>
      </w:pPr>
      <w:r>
        <w:rPr>
          <w:noProof/>
        </w:rPr>
        <w:t>a)</w:t>
      </w:r>
      <w:r>
        <w:rPr>
          <w:noProof/>
        </w:rPr>
        <w:tab/>
        <w:t>stałych wydatków wojskowych,</w:t>
      </w:r>
    </w:p>
    <w:p>
      <w:pPr>
        <w:spacing w:before="150" w:after="0"/>
        <w:rPr>
          <w:rFonts w:eastAsia="Times New Roman"/>
          <w:bCs/>
          <w:noProof/>
          <w:szCs w:val="24"/>
        </w:rPr>
      </w:pPr>
      <w:r>
        <w:rPr>
          <w:noProof/>
        </w:rPr>
        <w:t>b)</w:t>
      </w:r>
      <w:r>
        <w:rPr>
          <w:noProof/>
        </w:rPr>
        <w:tab/>
        <w:t>zakupu broni i amunicji,</w:t>
      </w:r>
    </w:p>
    <w:p>
      <w:pPr>
        <w:spacing w:before="150" w:after="0"/>
        <w:ind w:left="720" w:hanging="720"/>
        <w:rPr>
          <w:rFonts w:eastAsia="Times New Roman"/>
          <w:bCs/>
          <w:noProof/>
          <w:szCs w:val="24"/>
        </w:rPr>
      </w:pPr>
      <w:r>
        <w:rPr>
          <w:noProof/>
        </w:rPr>
        <w:t>c)</w:t>
      </w:r>
      <w:r>
        <w:rPr>
          <w:noProof/>
        </w:rPr>
        <w:tab/>
        <w:t>szkoleń, których wyłącznym celem jest przyczynianie się do zdolności bojowej sił zbrojnych.</w:t>
      </w:r>
    </w:p>
    <w:p>
      <w:pPr>
        <w:spacing w:before="150" w:after="0"/>
        <w:rPr>
          <w:rFonts w:eastAsia="Times New Roman"/>
          <w:bCs/>
          <w:noProof/>
          <w:szCs w:val="24"/>
        </w:rPr>
      </w:pPr>
      <w:r>
        <w:rPr>
          <w:noProof/>
        </w:rPr>
        <w:t>5.</w:t>
      </w:r>
      <w:r>
        <w:rPr>
          <w:noProof/>
        </w:rPr>
        <w:tab/>
        <w:t xml:space="preserve">Przy projektowaniu i wdrażaniu środków na mocy niniejszego artykułu Komisja propaguje zaangażowanie kraju partnerskiego. Komisja rozwija także elementy i dobre praktyki niezbędne do zapewnienia trwałości w perspektywie średnio- i długoterminowej, jak również propaguje praworządność i ustalone zasady prawa międzynarodowego. </w:t>
      </w:r>
    </w:p>
    <w:p>
      <w:pPr>
        <w:spacing w:before="150" w:after="0"/>
        <w:rPr>
          <w:rFonts w:eastAsia="Times New Roman"/>
          <w:bCs/>
          <w:noProof/>
          <w:szCs w:val="24"/>
        </w:rPr>
      </w:pPr>
      <w:r>
        <w:rPr>
          <w:noProof/>
        </w:rPr>
        <w:t>6.</w:t>
      </w:r>
      <w:r>
        <w:rPr>
          <w:noProof/>
        </w:rPr>
        <w:tab/>
        <w:t>Komisja ustanawia odpowiednie procedury oceny ryzyka, monitorowania i oceny środków na podstawie niniejszego artykułu.”;</w:t>
      </w:r>
    </w:p>
    <w:p>
      <w:pPr>
        <w:pStyle w:val="Point0"/>
        <w:rPr>
          <w:noProof/>
        </w:rPr>
      </w:pPr>
      <w:r>
        <w:rPr>
          <w:noProof/>
        </w:rPr>
        <w:t>3)</w:t>
      </w:r>
      <w:r>
        <w:rPr>
          <w:noProof/>
        </w:rPr>
        <w:tab/>
        <w:t>artykuł 7 ust. 1 otrzymuje brzmienie:</w:t>
      </w:r>
    </w:p>
    <w:p>
      <w:pPr>
        <w:rPr>
          <w:noProof/>
        </w:rPr>
      </w:pPr>
      <w:r>
        <w:rPr>
          <w:noProof/>
        </w:rPr>
        <w:t>„1. Pomoc unijna na podstawie art. 3 i, w stosownych przypadkach, art. 3a udzielana jest w formie nadzwyczajnych środków pomocy oraz przejściowych programów reagowania.”;</w:t>
      </w:r>
    </w:p>
    <w:p>
      <w:pPr>
        <w:pStyle w:val="Point0"/>
        <w:rPr>
          <w:noProof/>
        </w:rPr>
      </w:pPr>
      <w:r>
        <w:rPr>
          <w:noProof/>
        </w:rPr>
        <w:t>4)</w:t>
      </w:r>
      <w:r>
        <w:rPr>
          <w:noProof/>
        </w:rPr>
        <w:tab/>
        <w:t>artykuł 8 ust. 1 otrzymuje brzmienie:</w:t>
      </w:r>
    </w:p>
    <w:p>
      <w:pPr>
        <w:rPr>
          <w:noProof/>
        </w:rPr>
      </w:pPr>
      <w:r>
        <w:rPr>
          <w:noProof/>
        </w:rPr>
        <w:t>„1. Tematyczne dokumenty strategiczne stanowią ogólną podstawę realizacji pomocy zgodnie z art. 4 i 5 oraz, w stosownych przypadkach, art. 3a. Tematyczne dokumenty strategiczne zapewniają ramy współpracy Unii z zainteresowanymi krajami lub regionami partnerskimi.”;</w:t>
      </w:r>
    </w:p>
    <w:p>
      <w:pPr>
        <w:pStyle w:val="Point0"/>
        <w:rPr>
          <w:noProof/>
        </w:rPr>
      </w:pPr>
      <w:r>
        <w:rPr>
          <w:noProof/>
        </w:rPr>
        <w:t>5)</w:t>
      </w:r>
      <w:r>
        <w:rPr>
          <w:noProof/>
        </w:rPr>
        <w:tab/>
        <w:t>artykuł 10 ust. 1 otrzymuje brzmienie:</w:t>
      </w:r>
    </w:p>
    <w:p>
      <w:pPr>
        <w:spacing w:before="150" w:after="0"/>
        <w:rPr>
          <w:noProof/>
          <w:szCs w:val="24"/>
        </w:rPr>
      </w:pPr>
      <w:r>
        <w:rPr>
          <w:noProof/>
        </w:rPr>
        <w:t>„1. Komisja zapewnia wdrażanie przyjętych na mocy niniejszego rozporządzenia środków związanych ze zwalczaniem terroryzmu i przestępczości zorganizowanej, jak również środków objętych art. 3a, zgodnie z prawem międzynarodowym, w tym międzynarodowym prawem humanitarnym.”;</w:t>
      </w:r>
    </w:p>
    <w:p>
      <w:pPr>
        <w:pStyle w:val="Point0"/>
        <w:rPr>
          <w:noProof/>
        </w:rPr>
      </w:pPr>
      <w:r>
        <w:rPr>
          <w:noProof/>
        </w:rPr>
        <w:t>6)</w:t>
      </w:r>
      <w:r>
        <w:rPr>
          <w:noProof/>
        </w:rPr>
        <w:tab/>
        <w:t>w art. 13 ust. 1:</w:t>
      </w:r>
    </w:p>
    <w:p>
      <w:pPr>
        <w:rPr>
          <w:noProof/>
        </w:rPr>
      </w:pPr>
      <w:r>
        <w:rPr>
          <w:noProof/>
        </w:rPr>
        <w:t xml:space="preserve">liczba „2 338 719 000” zostaje zastąpiona liczbą „2 438 719 000”. </w:t>
      </w:r>
    </w:p>
    <w:p>
      <w:pPr>
        <w:pStyle w:val="Titrearticle"/>
        <w:rPr>
          <w:noProof/>
        </w:rPr>
      </w:pPr>
      <w:r>
        <w:rPr>
          <w:noProof/>
        </w:rPr>
        <w:t>Artykuł 2</w:t>
      </w:r>
    </w:p>
    <w:p>
      <w:pPr>
        <w:rPr>
          <w:noProof/>
        </w:rPr>
      </w:pPr>
      <w:r>
        <w:rPr>
          <w:noProof/>
        </w:rPr>
        <w:t xml:space="preserve">Niniejsze rozporządzenie wchodzi w życie następnego dnia po jego opublikowaniu w </w:t>
      </w:r>
      <w:r>
        <w:rPr>
          <w:i/>
          <w:noProof/>
        </w:rPr>
        <w:t>Dzienniku Urzędowym Unii Europejskiej.</w:t>
      </w:r>
    </w:p>
    <w:p>
      <w:pPr>
        <w:pStyle w:val="Applicationdirecte"/>
        <w:rPr>
          <w:noProof/>
        </w:rPr>
      </w:pPr>
      <w:r>
        <w:rPr>
          <w:noProof/>
        </w:rPr>
        <w:t>Niniejsze rozporządzenie wiąże w całości i jest bezpośrednio stosowane we wszystkich państwach członkowskich.</w:t>
      </w:r>
    </w:p>
    <w:p>
      <w:pPr>
        <w:pStyle w:val="Fait"/>
        <w:rPr>
          <w:noProof/>
        </w:rPr>
      </w:pPr>
      <w:r>
        <w:rPr>
          <w:noProof/>
        </w:rPr>
        <w:t>Sporządzono w Strasburgu dnia  r.</w:t>
      </w:r>
    </w:p>
    <w:p>
      <w:pPr>
        <w:pStyle w:val="Institutionquisigne"/>
        <w:rPr>
          <w:noProof/>
        </w:rPr>
      </w:pPr>
      <w:r>
        <w:rPr>
          <w:noProof/>
        </w:rPr>
        <w:t>W imieniu Parlamentu Europejskiego</w:t>
      </w:r>
      <w:r>
        <w:rPr>
          <w:noProof/>
        </w:rPr>
        <w:tab/>
        <w:t>W imieniu Rady</w:t>
      </w:r>
    </w:p>
    <w:p>
      <w:pPr>
        <w:pStyle w:val="Personnequisigne"/>
        <w:rPr>
          <w:noProof/>
        </w:rPr>
      </w:pPr>
      <w:r>
        <w:rPr>
          <w:noProof/>
        </w:rPr>
        <w:t>Przewodniczący</w:t>
      </w:r>
      <w:r>
        <w:rPr>
          <w:noProof/>
        </w:rPr>
        <w:tab/>
        <w:t>Przewodniczący</w:t>
      </w:r>
      <w:r>
        <w:rPr>
          <w:noProof/>
        </w:rPr>
        <w:br w:type="page"/>
      </w:r>
    </w:p>
    <w:p>
      <w:pPr>
        <w:pStyle w:val="Fichefinanciretitre"/>
        <w:rPr>
          <w:noProof/>
        </w:rPr>
      </w:pPr>
      <w:r>
        <w:rPr>
          <w:noProof/>
        </w:rPr>
        <w:t xml:space="preserve">OCENA SKUTKÓW FINANSOWYCH REGULACJI </w:t>
      </w:r>
    </w:p>
    <w:p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STRUKTURA WNIOSKU/INICJATYWY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1.1.</w:t>
      </w:r>
      <w:r>
        <w:rPr>
          <w:noProof/>
        </w:rPr>
        <w:tab/>
      </w:r>
      <w:r>
        <w:rPr>
          <w:b w:val="0"/>
          <w:noProof/>
        </w:rPr>
        <w:t>Tytuł wniosku/inicjatywy</w:t>
      </w:r>
      <w:r>
        <w:rPr>
          <w:noProof/>
        </w:rPr>
        <w:t xml:space="preserve">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1.2.</w:t>
      </w:r>
      <w:r>
        <w:rPr>
          <w:noProof/>
        </w:rPr>
        <w:tab/>
      </w:r>
      <w:r>
        <w:rPr>
          <w:b w:val="0"/>
          <w:noProof/>
        </w:rPr>
        <w:t>Dziedziny polityki w strukturze ABM/ABB, których dotyczy wniosek/inicjatywa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1.3.</w:t>
      </w:r>
      <w:r>
        <w:rPr>
          <w:noProof/>
        </w:rPr>
        <w:tab/>
      </w:r>
      <w:r>
        <w:rPr>
          <w:b w:val="0"/>
          <w:noProof/>
        </w:rPr>
        <w:t>Charakter wniosku/inicjatywy</w:t>
      </w:r>
      <w:r>
        <w:rPr>
          <w:noProof/>
        </w:rPr>
        <w:t xml:space="preserve">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1.4.</w:t>
      </w:r>
      <w:r>
        <w:rPr>
          <w:noProof/>
        </w:rPr>
        <w:tab/>
      </w:r>
      <w:r>
        <w:rPr>
          <w:b w:val="0"/>
          <w:noProof/>
        </w:rPr>
        <w:t>Cele</w:t>
      </w:r>
      <w:r>
        <w:rPr>
          <w:noProof/>
        </w:rPr>
        <w:t xml:space="preserve">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1.5.</w:t>
      </w:r>
      <w:r>
        <w:rPr>
          <w:noProof/>
        </w:rPr>
        <w:tab/>
      </w:r>
      <w:r>
        <w:rPr>
          <w:b w:val="0"/>
          <w:noProof/>
        </w:rPr>
        <w:t>Uzasadnienie wniosku/inicjatywy</w:t>
      </w:r>
      <w:r>
        <w:rPr>
          <w:noProof/>
        </w:rPr>
        <w:t xml:space="preserve">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1.6.</w:t>
      </w:r>
      <w:r>
        <w:rPr>
          <w:noProof/>
        </w:rPr>
        <w:tab/>
      </w:r>
      <w:r>
        <w:rPr>
          <w:b w:val="0"/>
          <w:noProof/>
        </w:rPr>
        <w:t>Okres trwania działania i jego wpływ finansowy</w:t>
      </w:r>
      <w:r>
        <w:rPr>
          <w:noProof/>
        </w:rPr>
        <w:t xml:space="preserve">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1.7.</w:t>
      </w:r>
      <w:r>
        <w:rPr>
          <w:noProof/>
        </w:rPr>
        <w:tab/>
      </w:r>
      <w:r>
        <w:rPr>
          <w:b w:val="0"/>
          <w:noProof/>
        </w:rPr>
        <w:t>Przewidywane tryby zarządzania</w:t>
      </w:r>
      <w:r>
        <w:rPr>
          <w:noProof/>
        </w:rPr>
        <w:t xml:space="preserve"> </w:t>
      </w:r>
    </w:p>
    <w:p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ŚRODKI ZARZĄDZANIA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2.1.</w:t>
      </w:r>
      <w:r>
        <w:rPr>
          <w:noProof/>
        </w:rPr>
        <w:tab/>
      </w:r>
      <w:r>
        <w:rPr>
          <w:b w:val="0"/>
          <w:noProof/>
        </w:rPr>
        <w:t>Zasady nadzoru i sprawozdawczości</w:t>
      </w:r>
      <w:r>
        <w:rPr>
          <w:noProof/>
        </w:rPr>
        <w:t xml:space="preserve">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2.2.</w:t>
      </w:r>
      <w:r>
        <w:rPr>
          <w:noProof/>
        </w:rPr>
        <w:tab/>
      </w:r>
      <w:r>
        <w:rPr>
          <w:b w:val="0"/>
          <w:noProof/>
        </w:rPr>
        <w:t>System zarządzania i kontroli</w:t>
      </w:r>
      <w:r>
        <w:rPr>
          <w:noProof/>
        </w:rPr>
        <w:t xml:space="preserve">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2.3.</w:t>
      </w:r>
      <w:r>
        <w:rPr>
          <w:noProof/>
        </w:rPr>
        <w:tab/>
      </w:r>
      <w:r>
        <w:rPr>
          <w:b w:val="0"/>
          <w:noProof/>
        </w:rPr>
        <w:t>Środki zapobiegania nadużyciom finansowym i nieprawidłowościom</w:t>
      </w:r>
      <w:r>
        <w:rPr>
          <w:noProof/>
        </w:rPr>
        <w:t xml:space="preserve"> </w:t>
      </w:r>
    </w:p>
    <w:p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SZACUNKOWY WPŁYW FINANSOWY WNIOSKU/INICJATYWY </w:t>
      </w:r>
    </w:p>
    <w:p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3.1.</w:t>
      </w:r>
      <w:r>
        <w:rPr>
          <w:noProof/>
        </w:rPr>
        <w:tab/>
      </w:r>
      <w:r>
        <w:rPr>
          <w:b w:val="0"/>
          <w:noProof/>
        </w:rPr>
        <w:t>Działy wieloletnich ram finansowych i linie budżetowe po stronie wydatków, na które wniosek/inicjatywa ma wpływ</w:t>
      </w:r>
      <w:r>
        <w:rPr>
          <w:noProof/>
        </w:rPr>
        <w:t xml:space="preserve"> </w:t>
      </w:r>
    </w:p>
    <w:p>
      <w:pPr>
        <w:pStyle w:val="ManualHeading2"/>
        <w:rPr>
          <w:noProof/>
        </w:rPr>
      </w:pPr>
      <w:r>
        <w:rPr>
          <w:noProof/>
        </w:rPr>
        <w:tab/>
      </w:r>
      <w:r>
        <w:rPr>
          <w:b w:val="0"/>
          <w:noProof/>
        </w:rPr>
        <w:t>3.2.</w:t>
      </w:r>
      <w:r>
        <w:rPr>
          <w:noProof/>
        </w:rPr>
        <w:tab/>
      </w:r>
      <w:r>
        <w:rPr>
          <w:b w:val="0"/>
          <w:noProof/>
        </w:rPr>
        <w:t>Szacunkowy wpływ na wydatki</w:t>
      </w:r>
      <w:r>
        <w:rPr>
          <w:noProof/>
        </w:rPr>
        <w:t xml:space="preserve"> </w:t>
      </w:r>
    </w:p>
    <w:p>
      <w:pPr>
        <w:pStyle w:val="ManualHeading3"/>
        <w:rPr>
          <w:noProof/>
        </w:rPr>
      </w:pPr>
      <w:r>
        <w:rPr>
          <w:noProof/>
        </w:rPr>
        <w:tab/>
        <w:t>3.2.1.</w:t>
      </w:r>
      <w:r>
        <w:rPr>
          <w:noProof/>
        </w:rPr>
        <w:tab/>
        <w:t xml:space="preserve">Synteza szacunkowego wpływu na wydatki </w:t>
      </w:r>
    </w:p>
    <w:p>
      <w:pPr>
        <w:pStyle w:val="ManualHeading3"/>
        <w:rPr>
          <w:noProof/>
        </w:rPr>
      </w:pPr>
      <w:r>
        <w:rPr>
          <w:noProof/>
        </w:rPr>
        <w:tab/>
        <w:t>3.2.2.</w:t>
      </w:r>
      <w:r>
        <w:rPr>
          <w:noProof/>
        </w:rPr>
        <w:tab/>
        <w:t xml:space="preserve">Szacunkowy wpływ na środki operacyjne </w:t>
      </w:r>
    </w:p>
    <w:p>
      <w:pPr>
        <w:pStyle w:val="ManualHeading3"/>
        <w:rPr>
          <w:noProof/>
        </w:rPr>
      </w:pPr>
      <w:r>
        <w:rPr>
          <w:noProof/>
        </w:rPr>
        <w:tab/>
        <w:t>3.2.3.</w:t>
      </w:r>
      <w:r>
        <w:rPr>
          <w:noProof/>
        </w:rPr>
        <w:tab/>
        <w:t>Szacunkowy wpływ na środki administracyjne</w:t>
      </w:r>
    </w:p>
    <w:p>
      <w:pPr>
        <w:pStyle w:val="ManualHeading3"/>
        <w:rPr>
          <w:noProof/>
        </w:rPr>
      </w:pPr>
      <w:r>
        <w:rPr>
          <w:noProof/>
        </w:rPr>
        <w:tab/>
        <w:t>3.2.4.</w:t>
      </w:r>
      <w:r>
        <w:rPr>
          <w:noProof/>
        </w:rPr>
        <w:tab/>
        <w:t>Zgodność z obowiązującymi wieloletnimi ramami finansowymi</w:t>
      </w:r>
    </w:p>
    <w:p>
      <w:pPr>
        <w:pStyle w:val="ManualHeading3"/>
        <w:rPr>
          <w:noProof/>
        </w:rPr>
      </w:pPr>
      <w:r>
        <w:rPr>
          <w:noProof/>
        </w:rPr>
        <w:tab/>
        <w:t>3.2.5.</w:t>
      </w:r>
      <w:r>
        <w:rPr>
          <w:noProof/>
        </w:rPr>
        <w:tab/>
        <w:t xml:space="preserve">Udział osób trzecich w finansowaniu </w:t>
      </w:r>
    </w:p>
    <w:p>
      <w:pPr>
        <w:pStyle w:val="ManualHeading2"/>
        <w:jc w:val="left"/>
        <w:rPr>
          <w:b w:val="0"/>
          <w:noProof/>
        </w:rPr>
        <w:sectPr>
          <w:pgSz w:w="11907" w:h="16840" w:code="9"/>
          <w:pgMar w:top="1134" w:right="1418" w:bottom="1134" w:left="1418" w:header="709" w:footer="709" w:gutter="0"/>
          <w:cols w:space="720"/>
          <w:docGrid w:linePitch="360"/>
        </w:sectPr>
      </w:pPr>
      <w:r>
        <w:rPr>
          <w:noProof/>
        </w:rPr>
        <w:tab/>
      </w:r>
      <w:r>
        <w:rPr>
          <w:b w:val="0"/>
          <w:noProof/>
        </w:rPr>
        <w:t>3.3.</w:t>
      </w:r>
      <w:r>
        <w:rPr>
          <w:noProof/>
        </w:rPr>
        <w:tab/>
      </w:r>
      <w:r>
        <w:rPr>
          <w:b w:val="0"/>
          <w:noProof/>
        </w:rPr>
        <w:t>Szacunkowy wpływ na dochody</w:t>
      </w:r>
    </w:p>
    <w:p>
      <w:pPr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OCENA SKUTKÓW FINANSOWYCH REGULACJI</w:t>
      </w:r>
    </w:p>
    <w:p>
      <w:pPr>
        <w:pStyle w:val="ManualHeading1"/>
        <w:rPr>
          <w:noProof/>
        </w:rPr>
      </w:pPr>
      <w:r>
        <w:t>1.</w:t>
      </w:r>
      <w:r>
        <w:tab/>
      </w:r>
      <w:r>
        <w:rPr>
          <w:noProof/>
        </w:rPr>
        <w:t xml:space="preserve">STRUKTURA WNIOSKU/INICJATYWY </w:t>
      </w:r>
    </w:p>
    <w:p>
      <w:pPr>
        <w:pStyle w:val="ManualHeading2"/>
        <w:rPr>
          <w:noProof/>
        </w:rPr>
      </w:pPr>
      <w:r>
        <w:t>1.1.</w:t>
      </w:r>
      <w:r>
        <w:tab/>
      </w:r>
      <w:r>
        <w:rPr>
          <w:noProof/>
        </w:rPr>
        <w:t xml:space="preserve">Tytuł wniosku/inicjatywy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ROZPORZĄDZENIE PARLAMENTU EUROPEJSKIEGO I RADY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zmieniające rozporządzenie Parlamentu Europejskiego i Rady (UE) nr 230/2014 ustanawiające Instrument na rzecz przyczyniania się do Stabilności i Pokoju.</w:t>
      </w:r>
    </w:p>
    <w:p>
      <w:pPr>
        <w:pStyle w:val="ManualHeading2"/>
        <w:rPr>
          <w:noProof/>
          <w:szCs w:val="24"/>
        </w:rPr>
      </w:pPr>
      <w:r>
        <w:t>1.2.</w:t>
      </w:r>
      <w:r>
        <w:tab/>
      </w:r>
      <w:r>
        <w:rPr>
          <w:noProof/>
        </w:rPr>
        <w:t>Dziedziny polityki w strukturze ABM/ABB, których dotyczy wniosek/inicjatywa</w:t>
      </w:r>
      <w:r>
        <w:rPr>
          <w:rStyle w:val="FootnoteReference"/>
          <w:noProof/>
        </w:rPr>
        <w:footnoteReference w:id="21"/>
      </w:r>
      <w:r>
        <w:rPr>
          <w:i/>
          <w:noProof/>
        </w:rPr>
        <w:t xml:space="preserve">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Wniosek dotyczy dwóch dziedzin polityki: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Tytuł 19: Instrumenty polityki zagranicznej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Działanie 19 02: Instrument na rzecz przyczyniania się do Stabilności i Pokoju (IcSP) – Reagowanie na sytuacje kryzysowe, zapobieganie konfliktom, budowanie pokoju i gotowość na sytuacje kryzysowe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Tytuł 21: Współpraca międzynarodowa i rozwój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Działanie 21 05: Instrument na rzecz przyczyniania się do Stabilności i Pokoju (IcSP) – Globalne, transregionalne i nowo pojawiające się zagrożenia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Tytuły rozdziałów budżetowych odpowiadają obecnej strukturze instrumentów finansowych na lata 2014-2020. Proponuje się zachować te same działania i tytuły.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pStyle w:val="ManualHeading2"/>
        <w:rPr>
          <w:bCs/>
          <w:noProof/>
          <w:szCs w:val="24"/>
        </w:rPr>
      </w:pPr>
      <w:r>
        <w:t>1.3.</w:t>
      </w:r>
      <w:r>
        <w:tab/>
      </w:r>
      <w:r>
        <w:rPr>
          <w:noProof/>
        </w:rPr>
        <w:t xml:space="preserve">Charakter wniosku/inicjatywy </w:t>
      </w:r>
    </w:p>
    <w:p>
      <w:pPr>
        <w:pStyle w:val="Text1"/>
        <w:rPr>
          <w:b/>
          <w:noProof/>
          <w:sz w:val="22"/>
        </w:rPr>
      </w:pPr>
      <w:r>
        <w:rPr>
          <w:noProof/>
          <w:sz w:val="22"/>
        </w:rPr>
        <w:t>X</w:t>
      </w:r>
      <w:r>
        <w:rPr>
          <w:noProof/>
          <w:sz w:val="22"/>
        </w:rPr>
        <w:sym w:font="Wingdings" w:char="F0A8"/>
      </w:r>
      <w:r>
        <w:rPr>
          <w:noProof/>
          <w:sz w:val="22"/>
        </w:rPr>
        <w:t xml:space="preserve"> </w:t>
      </w:r>
      <w:r>
        <w:rPr>
          <w:noProof/>
        </w:rPr>
        <w:t xml:space="preserve">Wniosek/inicjatywa dotyczy </w:t>
      </w:r>
      <w:r>
        <w:rPr>
          <w:b/>
          <w:noProof/>
        </w:rPr>
        <w:t>nowego działania</w:t>
      </w:r>
      <w:r>
        <w:rPr>
          <w:b/>
          <w:noProof/>
          <w:sz w:val="22"/>
        </w:rPr>
        <w:t xml:space="preserve"> </w:t>
      </w:r>
    </w:p>
    <w:p>
      <w:pPr>
        <w:pStyle w:val="Text1"/>
        <w:rPr>
          <w:noProof/>
          <w:sz w:val="22"/>
        </w:rPr>
      </w:pPr>
      <w:r>
        <w:rPr>
          <w:noProof/>
          <w:sz w:val="22"/>
        </w:rPr>
        <w:sym w:font="Wingdings" w:char="F0A8"/>
      </w:r>
      <w:r>
        <w:rPr>
          <w:noProof/>
          <w:sz w:val="22"/>
        </w:rPr>
        <w:t xml:space="preserve"> </w:t>
      </w:r>
      <w:r>
        <w:rPr>
          <w:noProof/>
        </w:rPr>
        <w:t xml:space="preserve">Wniosek/inicjatywa dotyczy </w:t>
      </w:r>
      <w:r>
        <w:rPr>
          <w:b/>
          <w:noProof/>
        </w:rPr>
        <w:t>nowego działania będącego następstwem projektu pilotażowego/działania przygotowawczego</w:t>
      </w:r>
      <w:r>
        <w:rPr>
          <w:rStyle w:val="FootnoteReference"/>
          <w:b/>
          <w:noProof/>
        </w:rPr>
        <w:footnoteReference w:id="22"/>
      </w:r>
      <w:r>
        <w:rPr>
          <w:noProof/>
          <w:sz w:val="22"/>
        </w:rPr>
        <w:t xml:space="preserve"> </w:t>
      </w:r>
    </w:p>
    <w:p>
      <w:pPr>
        <w:pStyle w:val="Text1"/>
        <w:rPr>
          <w:noProof/>
          <w:sz w:val="22"/>
        </w:rPr>
      </w:pPr>
      <w:r>
        <w:rPr>
          <w:noProof/>
          <w:sz w:val="22"/>
        </w:rPr>
        <w:sym w:font="Wingdings" w:char="F0A8"/>
      </w:r>
      <w:r>
        <w:rPr>
          <w:noProof/>
          <w:sz w:val="22"/>
        </w:rPr>
        <w:t xml:space="preserve"> </w:t>
      </w:r>
      <w:r>
        <w:rPr>
          <w:noProof/>
        </w:rPr>
        <w:t xml:space="preserve">Wniosek/inicjatywa wiąże się z </w:t>
      </w:r>
      <w:r>
        <w:rPr>
          <w:b/>
          <w:noProof/>
        </w:rPr>
        <w:t>przedłużeniem bieżącego działania</w:t>
      </w:r>
      <w:r>
        <w:rPr>
          <w:noProof/>
          <w:sz w:val="22"/>
        </w:rPr>
        <w:t xml:space="preserve"> </w:t>
      </w:r>
    </w:p>
    <w:p>
      <w:pPr>
        <w:pStyle w:val="Text1"/>
        <w:rPr>
          <w:noProof/>
        </w:rPr>
      </w:pPr>
      <w:r>
        <w:rPr>
          <w:noProof/>
          <w:sz w:val="22"/>
        </w:rPr>
        <w:sym w:font="Wingdings" w:char="F0A8"/>
      </w:r>
      <w:r>
        <w:rPr>
          <w:i/>
          <w:noProof/>
          <w:sz w:val="22"/>
        </w:rPr>
        <w:t xml:space="preserve"> </w:t>
      </w:r>
      <w:r>
        <w:rPr>
          <w:noProof/>
        </w:rPr>
        <w:t xml:space="preserve">Wniosek/inicjatywa dotyczy </w:t>
      </w:r>
      <w:r>
        <w:rPr>
          <w:b/>
          <w:noProof/>
        </w:rPr>
        <w:t>działania, które zostało przekształcone pod kątem nowego działania</w:t>
      </w:r>
      <w:r>
        <w:rPr>
          <w:noProof/>
        </w:rPr>
        <w:t xml:space="preserve"> </w:t>
      </w:r>
    </w:p>
    <w:p>
      <w:pPr>
        <w:pStyle w:val="ManualHeading2"/>
        <w:rPr>
          <w:bCs/>
          <w:noProof/>
          <w:szCs w:val="24"/>
        </w:rPr>
      </w:pPr>
      <w:r>
        <w:t>1.4.</w:t>
      </w:r>
      <w:r>
        <w:tab/>
      </w:r>
      <w:r>
        <w:rPr>
          <w:noProof/>
        </w:rPr>
        <w:t>Cele</w:t>
      </w:r>
    </w:p>
    <w:p>
      <w:pPr>
        <w:pStyle w:val="ManualHeading3"/>
        <w:rPr>
          <w:noProof/>
        </w:rPr>
      </w:pPr>
      <w:r>
        <w:t>1.4.1.</w:t>
      </w:r>
      <w:r>
        <w:tab/>
      </w:r>
      <w:r>
        <w:rPr>
          <w:noProof/>
        </w:rPr>
        <w:t xml:space="preserve">Wieloletni(e) cel(e) strategiczny(-e) Komisji wskazany(-e) we wniosku/inicjatywie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Wniosek odnosi się do celu strategicznego 9 – Silniejsza pozycja UE na arenie międzynarodowej – określonego w wytycznych politycznych przewodniczącego Junckera</w:t>
      </w:r>
      <w:r>
        <w:rPr>
          <w:rStyle w:val="FootnoteReference"/>
          <w:noProof/>
        </w:rPr>
        <w:footnoteReference w:id="23"/>
      </w:r>
      <w:r>
        <w:rPr>
          <w:noProof/>
        </w:rPr>
        <w:t>. W szczególności jest odpowiedzią na potrzebę silniejszej Europy w zakresie polityki zagranicznej, aby lepiej przyczyniać się do wspierania rozwoju oraz zapewnienia pokoju i dobrobytu na świecie.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W związku z tym program prac Komisji na 2016 r., przyjęty w dniu 27 października 2015 r.</w:t>
      </w:r>
      <w:r>
        <w:rPr>
          <w:rStyle w:val="FootnoteReference"/>
          <w:noProof/>
        </w:rPr>
        <w:footnoteReference w:id="24"/>
      </w:r>
      <w:r>
        <w:rPr>
          <w:noProof/>
        </w:rPr>
        <w:t>, przewiduje w załączniku I „ewentualne wprowadzenie nowego specjalnego instrumentu na rzecz budowania potencjału bezpieczeństwa i rozwoju w krajach trzecich” (pkt 21).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Ogólne cele inicjatywy odpowiadają celom określonym w art. 21 Traktatu o Unii Europejskiej (TUE) oraz w art. 208 Traktatu o funkcjonowaniu Unii Europejskiej (TFUE) i są to w szczególności: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- przyczynianie się do zachowania pokoju, zapobiegania konfliktom i umacniania bezpieczeństwa międzynarodowego zgodnie z celami i zasadami Karty Narodów Zjednoczonych,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- wspieranie zrównoważonego rozwoju gospodarczego, społecznego i środowiskowego krajów rozwijających się, przyjmując za nadrzędny cel likwidację ubóstwa, przy jednoczesnym przestrzeganiu zobowiązań oraz biorąc pod uwagę cele przyjęte w ramach Organizacji Narodów Zjednoczonych i innych właściwych organizacji międzynarodowych.</w:t>
      </w:r>
    </w:p>
    <w:p>
      <w:pPr>
        <w:pStyle w:val="ManualHeading3"/>
        <w:rPr>
          <w:bCs/>
          <w:noProof/>
          <w:szCs w:val="24"/>
        </w:rPr>
      </w:pPr>
      <w:r>
        <w:t>1.4.2.</w:t>
      </w:r>
      <w:r>
        <w:tab/>
      </w:r>
      <w:r>
        <w:rPr>
          <w:noProof/>
        </w:rPr>
        <w:t xml:space="preserve">Cel(e) szczegółowy(-e) i działanie(-a) ABM/ABB, których dotyczy wniosek/inicjatywa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Inicjatywa budowania zdolności na rzecz bezpieczeństwa i rozwoju będzie wdrażana na podstawie obowiązującego rozporządzenia (UE) nr 230/2014 i jako taka będzie przyczyniać się do realizacji celów określonych w art. 1 ust. 1 tego rozporządzenia, tj. do „bezpośredniego wsparcia polityk zewnętrznych Unii przez usprawnienie i zwiększenie spójności działań Unii w dziedzinach reagowania kryzysowego, zapobiegania konfliktom, budowania pokoju oraz gotowości na sytuacje kryzysowe, a także przeciwdziałania zagrożeniom o charakterze globalnym i ponadregionalnym”.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Wniosek ma w szczególności na celu:</w:t>
      </w:r>
    </w:p>
    <w:p>
      <w:pPr>
        <w:pStyle w:val="Bullet1"/>
        <w:numPr>
          <w:ilvl w:val="0"/>
          <w:numId w:val="13"/>
        </w:numPr>
        <w:rPr>
          <w:noProof/>
        </w:rPr>
      </w:pPr>
      <w:r>
        <w:rPr>
          <w:noProof/>
        </w:rPr>
        <w:t>przyczynianie się do poprawy zdolności krajów partnerskich do samodzielnego zapobiegania kryzysom i zarządzania nimi,</w:t>
      </w:r>
    </w:p>
    <w:p>
      <w:pPr>
        <w:pStyle w:val="Bullet1"/>
        <w:rPr>
          <w:noProof/>
        </w:rPr>
      </w:pPr>
      <w:r>
        <w:rPr>
          <w:noProof/>
        </w:rPr>
        <w:t xml:space="preserve">przyczynianie się do poprawy skuteczności działań prorozwojowych Unii poprzez współpracę ze wszystkimi podmiotami odpowiedzialnymi za bezpieczeństwo, w tym wojskiem, w oparciu o najszybszą możliwą, elastyczną i kompleksową realizację unijnego postulatu budowy zdolności na rzecz bezpieczeństwa i rozwoju, oraz </w:t>
      </w:r>
    </w:p>
    <w:p>
      <w:pPr>
        <w:pStyle w:val="Bullet1"/>
        <w:rPr>
          <w:noProof/>
        </w:rPr>
      </w:pPr>
      <w:r>
        <w:rPr>
          <w:noProof/>
        </w:rPr>
        <w:t>przyczynianie się do zapewnienia poszanowania praworządności, dobrych rządów oraz większej kontroli cywilnej i nadzoru cywilnego nad wojskiem w państwach trzecich.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u w:val="single"/>
        </w:rPr>
      </w:pPr>
      <w:r>
        <w:rPr>
          <w:noProof/>
          <w:u w:val="single"/>
        </w:rPr>
        <w:t>Działanie(-a) ABM/ABB, których dotyczy wniosek/inicjatywa: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Działanie 19 02: Instrument na rzecz przyczyniania się do Stabilności i Pokoju (IcSP) – Reagowanie na sytuacje kryzysowe, zapobieganie konfliktom, budowanie pokoju i gotowość na sytuacje kryzysowe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Działanie 21 05: Instrument na rzecz przyczyniania się do Stabilności i Pokoju (IcSP) – Globalne, transregionalne i nowo pojawiające się zagrożenia </w:t>
      </w:r>
    </w:p>
    <w:p>
      <w:pPr>
        <w:pStyle w:val="ManualHeading3"/>
        <w:rPr>
          <w:bCs/>
          <w:noProof/>
          <w:szCs w:val="24"/>
        </w:rPr>
      </w:pPr>
      <w:r>
        <w:t>1.4.3.</w:t>
      </w:r>
      <w:r>
        <w:tab/>
      </w:r>
      <w:r>
        <w:rPr>
          <w:noProof/>
        </w:rPr>
        <w:t>Oczekiwane wyniki i wpływ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Należy wskazać, jakie efekty przyniesie wniosek/inicjatywa beneficjentom/grupie docelowej.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- Poprawa zdolności krajów partnerskich do samodzielnego zapobiegania kryzysom i zarządzania nimi.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- Poprawa skuteczności działań wszystkich podmiotów z sektorów bezpieczeństwa krajów partnerskich na rzecz większego bezpieczeństwa ludzkiego w państwach niestabilnych lub na obszarach podatnych na sytuacje kryzysowe bądź pokonfliktowych.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- Wzrost poszanowania praworządności, dobrych rządów oraz większa kontrola cywilna i nadzór cywilny nad wojskiem w państwach trzecich.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Stabilniejsze i bezpieczniejsze społeczeństwa są warunkiem koniecznym zrównoważonego rozwoju i większego dobrobytu i redukują przy tym obciążenia związane z niestabilnością i konfliktami. Oczekiwane długoterminowe skutki gospodarcze i rozwojowe niniejszej inicjatywy powinny być znaczące dla zainteresowanych krajów. </w:t>
      </w:r>
    </w:p>
    <w:p>
      <w:pPr>
        <w:pStyle w:val="ManualHeading3"/>
        <w:rPr>
          <w:bCs/>
          <w:noProof/>
          <w:szCs w:val="24"/>
        </w:rPr>
      </w:pPr>
      <w:r>
        <w:t>1.4.4.</w:t>
      </w:r>
      <w:r>
        <w:tab/>
      </w:r>
      <w:r>
        <w:rPr>
          <w:noProof/>
        </w:rPr>
        <w:t xml:space="preserve">Wskaźniki wyników i wpływu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Należy określić wskaźniki, które umożliwią monitorowanie realizacji wniosku/inicjatywy.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Trwają prace nad określeniem nowych wskaźników wyników i wypływu. Właściwy może być ogólny wskaźnik poziomu bezpieczeństwa ludzkiego (wolność od strachu) wśród mieszkańców państw niestabilnych lub obszarów podatnych na sytuacje kryzysowe bądź pokonfliktowych.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Stosowny komunikat programowy Instrumentu na rzecz przyczyniania się do Stabilności i Pokoju zostanie uzupełniony o nowe wskaźniki.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Poszczególne działania będą powiązane z konkretnymi celami. Działania będą również mierzone w oparciu o wskaźniki specyficzne dla projektu. </w:t>
      </w:r>
    </w:p>
    <w:p>
      <w:pPr>
        <w:pStyle w:val="ManualHeading2"/>
        <w:rPr>
          <w:bCs/>
          <w:noProof/>
          <w:szCs w:val="24"/>
        </w:rPr>
      </w:pPr>
      <w:r>
        <w:t>1.5.</w:t>
      </w:r>
      <w:r>
        <w:tab/>
      </w:r>
      <w:r>
        <w:rPr>
          <w:noProof/>
        </w:rPr>
        <w:t xml:space="preserve">Uzasadnienie wniosku/inicjatywy </w:t>
      </w:r>
    </w:p>
    <w:p>
      <w:pPr>
        <w:pStyle w:val="ManualHeading3"/>
        <w:rPr>
          <w:noProof/>
        </w:rPr>
      </w:pPr>
      <w:r>
        <w:t>1.5.1.</w:t>
      </w:r>
      <w:r>
        <w:tab/>
      </w:r>
      <w:r>
        <w:rPr>
          <w:noProof/>
        </w:rPr>
        <w:t xml:space="preserve">Potrzeby, które mają zostać zaspokojone w perspektywie krótko- lub długoterminowej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Wniosek nawiązuje do wspólnego komunikatu Komisji Europejskiej i Wysokiego Przedstawiciela Unii do Spraw Zagranicznych i Polityki Bezpieczeństwa w sprawie „Budowania zdolności na rzecz bezpieczeństwa i rozwoju” z dnia 28 kwietnia 2015 r. (JOIN (2015) 17) oraz do konkluzji Rady do Spraw Zagranicznych (formacji obrony) z dnia 18 maja 2015 r. postulujących przedstawienie propozycji sposobu kompleksowego i elastycznego wsparcia budowy zdolności (szkolenia i sprzęt) podmiotów wojskowych w państwach trzecich w ramach realizacji celów unijnej polityki współpracy na rzecz rozwoju.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We wspólnym komunikacie podkreślono, że poprawa funkcjonowania podmiotów odpowiedzialnych za bezpieczeństwo, w tym sił wojskowych, poprzez budowanie zdolności na rzecz bezpieczeństwa i rozwoju, a także wzmocnienie sprawowania przez nie dobrych rządów, zwłaszcza w krajach niestabilnych i wychodzących z konfliktów, przyczynia się do pokoju, bezpieczeństwa ludzkiego i stabilności, a tym samym do osiągnięcia celów zrównoważonego rozwoju. Poparto w nim również unijne wysiłki na rzecz zapobiegania konfliktom w państwach niestabilnych i podatnych na konflikty, zarazem wskazując luki w zdolności UE do wspierania budowy zdolności partnerów w sektorze bezpieczeństwa.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Rada Europejska w swoich konkluzjach z dnia 25-26 czerwca 2015 r. przypomniała o potrzebie „upodmiotowienia i uaktywnienia partnerów w celu zapobiegania kryzysom i zarządzania nimi, w tym przez konkretne projekty o elastycznym zakresie geograficznym dotyczące budowania zdolności”, nawiązując do wcześniejszych konkluzji Rady Europejskiej z dnia 19-20 grudnia 2013 r., w których stwierdzono, że „ ważne jest wspieranie krajów partnerskich i organizacji regionalnych przez zapewnianie, w odpowiednich przypadkach, szkolenia, doradztwa, sprzętu i zasobów, tak by w coraz większym stopniu podmioty te mogły samodzielnie zapobiegać kryzysom lub zarządzać nimi”. </w:t>
      </w:r>
    </w:p>
    <w:p>
      <w:pPr>
        <w:pStyle w:val="ManualHeading3"/>
        <w:rPr>
          <w:bCs/>
          <w:noProof/>
          <w:szCs w:val="24"/>
        </w:rPr>
      </w:pPr>
      <w:r>
        <w:t>1.5.2.</w:t>
      </w:r>
      <w:r>
        <w:tab/>
      </w:r>
      <w:r>
        <w:rPr>
          <w:noProof/>
        </w:rPr>
        <w:t>Wartość dodana z tytułu zaangażowania Unii Europejskiej</w:t>
      </w:r>
    </w:p>
    <w:p>
      <w:pPr>
        <w:pStyle w:val="Text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noProof/>
          <w:szCs w:val="24"/>
        </w:rPr>
      </w:pPr>
      <w:r>
        <w:rPr>
          <w:noProof/>
        </w:rPr>
        <w:t>Działanie UE jest konieczne i uzasadnione ze względu zarówno na cele określone w Traktacie, zwłaszcza w art. 21 TUE, jak i zasadę pomocniczości. Kompleksowe i elastyczne wsparcie w zakresie budowania zdolności na rzecz bezpieczeństwa i rozwoju (CBSD) na szczeblu UE pozwoliłoby na objęcie działaniami krótko- i długoterminowymi wszystkich podmiotów odpowiedzialnych za bezpieczeństwo w danym kraju, jak również na lepszą koordynację takiej pomocy.</w:t>
      </w:r>
    </w:p>
    <w:p>
      <w:pPr>
        <w:pStyle w:val="Text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noProof/>
          <w:szCs w:val="24"/>
        </w:rPr>
      </w:pPr>
      <w:r>
        <w:rPr>
          <w:noProof/>
        </w:rPr>
        <w:t xml:space="preserve">Interwencje na szczeblu UE mogą być lepszym sposobem osiągnięcia bezpieczeństwa i stabilności, a także stanowić czynnik poprawiający skuteczność międzynarodowych wysiłków na rzecz bezpieczeństwa i rozwoju. Cel polityczny zapewnienia bezpieczeństwa UE nie może być osiągnięty bez skutecznej współpracy z partnerami w krajach spoza UE i organizacjami międzynarodowymi. </w:t>
      </w:r>
    </w:p>
    <w:p>
      <w:pPr>
        <w:pStyle w:val="Text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noProof/>
          <w:szCs w:val="24"/>
        </w:rPr>
      </w:pPr>
      <w:r>
        <w:rPr>
          <w:noProof/>
        </w:rPr>
        <w:t>Działania Unii i państw członkowskich wzajemnie się uzupełniają i wzmacniają zgodnie z art. 212 ust. 1 TFUE. Unia Europejska i jej państwa członkowskie mają do odegrania ważną rolę w oparciu o kompleksowe podejście do zapobiegania konfliktom i ich przyczynom oraz zarządzania nimi.</w:t>
      </w:r>
    </w:p>
    <w:p>
      <w:pPr>
        <w:pStyle w:val="ManualHeading3"/>
        <w:rPr>
          <w:bCs/>
          <w:noProof/>
          <w:szCs w:val="24"/>
        </w:rPr>
      </w:pPr>
      <w:r>
        <w:t>1.5.3.</w:t>
      </w:r>
      <w:r>
        <w:tab/>
      </w:r>
      <w:r>
        <w:rPr>
          <w:noProof/>
        </w:rPr>
        <w:t xml:space="preserve">Główne wnioski wyciągnięte z podobnych działań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Przyszłe postępy w zmniejszaniu ubóstwa i długoterminowe korzyści pod względem zrównoważonego rozwoju w kontekście osiągnięcia 16. celu zrównoważonego rozwoju (Pokój, sprawiedliwość i silne instytucje) będą w znacznym stopniu zależeć od zdolności do wykorzenienia przyczyn niestabilności, a zwłaszcza braku bezpieczeństwa.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Znaczna część programów pomocy zewnętrznej finansowanych w ramach unijnych instrumentów rozwoju i współpracy technicznej UE jest już ukierunkowana na rozwiązywanie problemów w zakresie bezpieczeństwa i rozwoju za pośrednictwem wielu różnych kanałów i instrumentów. Jednak partnerzy z państw trzecich szukający wsparcia dla budowania zdolności na rzecz bezpieczeństwa i rozwoju, w tym w postaci szkoleń lub sprzętu, nie zawsze je otrzymują, jako że obecne instrumenty UE nie są dostosowane do elastycznego spełniania tego typu potrzeb.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Cs w:val="24"/>
        </w:rPr>
      </w:pPr>
      <w:r>
        <w:rPr>
          <w:noProof/>
        </w:rPr>
        <w:t>Wspólny komunikat wskazuje na lukę w zestawie unijnych instrumentów w odniesieniu do wsparcia podmiotów wojskowych w krajach partnerskich w zapewnieniu stabilności, która jest warunkiem działań na rzecz rozwoju.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Luka ta wpływa na skuteczność i trwałość działań zewnętrznych Unii, w tym jej polityki rozwoju. W warunkach pogorszenia bezpieczeństwa na świecie ograniczenia obecnego zestawu unijnych instrumentów działań zewnętrznych upośledzają możliwość kompleksowego rozwiązania przedmiotowego problemu, poprawy współpracy, a przez to i możliwość skutecznego przyczyniania się do wysiłków na rzecz rozwoju.</w:t>
      </w:r>
    </w:p>
    <w:p>
      <w:pPr>
        <w:pStyle w:val="ManualHeading3"/>
        <w:rPr>
          <w:bCs/>
          <w:noProof/>
          <w:szCs w:val="24"/>
        </w:rPr>
      </w:pPr>
      <w:r>
        <w:t>1.5.4.</w:t>
      </w:r>
      <w:r>
        <w:tab/>
      </w:r>
      <w:r>
        <w:rPr>
          <w:noProof/>
        </w:rPr>
        <w:t>Spójność z innymi właściwymi instrumentami oraz możliwa synergia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Inicjatywa zapewni: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(a) spójność z innymi działaniami UE (w tym działaniami WPZiB) w ramach szerszego, kompleksowego podejścia UE do konfliktów i kryzysów zewnętrznych,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(b) spójność, koordynację i komplementarność różnych krótkoterminowych i długoterminowych możliwości i instrumentów w oparciu o wspólną wizję strategiczną.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Poszczególne działania w ramach proponowanej inicjatywy powinny być zaprojektowane zgodnie z nowymi, ogólnounijnymi ramami reformy sektora bezpieczeństwa (RSB), w tym zasadami monitorowania i oceny oraz dedykowanym mechanizmem zarządzania ryzykiem. W programach należy wykazać spójność z odpowiednimi strategiami krajowymi lub regionalnymi, a także należy je projektować i planować w sposób zapewniający zaangażowanie wszystkich zainteresowanych podmiotów UE.</w:t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br w:type="page"/>
      </w:r>
      <w:r>
        <w:t>1.6.</w:t>
      </w:r>
      <w:r>
        <w:tab/>
      </w:r>
      <w:r>
        <w:rPr>
          <w:noProof/>
        </w:rPr>
        <w:t xml:space="preserve">Okres trwania działania i jego wpływ finansowy </w:t>
      </w:r>
    </w:p>
    <w:p>
      <w:pPr>
        <w:pStyle w:val="Text1"/>
        <w:rPr>
          <w:noProof/>
        </w:rPr>
      </w:pPr>
      <w:r>
        <w:rPr>
          <w:noProof/>
        </w:rPr>
        <w:t>X</w:t>
      </w:r>
      <w:r>
        <w:rPr>
          <w:noProof/>
        </w:rPr>
        <w:sym w:font="Wingdings" w:char="F0A8"/>
      </w:r>
      <w:r>
        <w:rPr>
          <w:noProof/>
        </w:rPr>
        <w:t xml:space="preserve"> Wniosek/inicjatywa o </w:t>
      </w:r>
      <w:r>
        <w:rPr>
          <w:b/>
          <w:noProof/>
        </w:rPr>
        <w:t xml:space="preserve">ograniczonym okresie trwania </w:t>
      </w:r>
    </w:p>
    <w:p>
      <w:pPr>
        <w:pStyle w:val="ListDash2"/>
        <w:rPr>
          <w:noProof/>
        </w:rPr>
      </w:pPr>
      <w:r>
        <w:rPr>
          <w:noProof/>
        </w:rPr>
        <w:t>X</w:t>
      </w:r>
      <w:r>
        <w:rPr>
          <w:noProof/>
        </w:rPr>
        <w:sym w:font="Wingdings" w:char="F0A8"/>
      </w:r>
      <w:r>
        <w:rPr>
          <w:noProof/>
        </w:rPr>
        <w:tab/>
        <w:t xml:space="preserve">Okres trwania wniosku/inicjatywy: od 1.1.2017 do 31.12.2020 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</w:r>
      <w:r>
        <w:rPr>
          <w:noProof/>
        </w:rPr>
        <w:tab/>
        <w:t>Okres trwania wpływu finansowego: od 2017 r. do 2020 r.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Wniosek/inicjatywa o </w:t>
      </w:r>
      <w:r>
        <w:rPr>
          <w:b/>
          <w:noProof/>
        </w:rPr>
        <w:t>nieograniczonym okresie trwania</w:t>
      </w:r>
    </w:p>
    <w:p>
      <w:pPr>
        <w:pStyle w:val="ListDash1"/>
        <w:rPr>
          <w:noProof/>
        </w:rPr>
      </w:pPr>
      <w:r>
        <w:rPr>
          <w:noProof/>
        </w:rPr>
        <w:t>Wprowadzenie w życie z okresem rozruchu od RRRR r. do RRRR r.,</w:t>
      </w:r>
    </w:p>
    <w:p>
      <w:pPr>
        <w:pStyle w:val="ListDash1"/>
        <w:rPr>
          <w:noProof/>
        </w:rPr>
      </w:pPr>
      <w:r>
        <w:rPr>
          <w:noProof/>
        </w:rPr>
        <w:t>po którym następuje faza operacyjna.</w:t>
      </w:r>
    </w:p>
    <w:p>
      <w:pPr>
        <w:pStyle w:val="ManualHeading2"/>
        <w:rPr>
          <w:bCs/>
          <w:noProof/>
          <w:szCs w:val="24"/>
        </w:rPr>
      </w:pPr>
      <w:r>
        <w:t>1.7.</w:t>
      </w:r>
      <w:r>
        <w:tab/>
      </w:r>
      <w:r>
        <w:rPr>
          <w:noProof/>
        </w:rPr>
        <w:tab/>
        <w:t>Planowane tryby zarządzania</w:t>
      </w:r>
      <w:r>
        <w:rPr>
          <w:rStyle w:val="FootnoteReference"/>
          <w:noProof/>
        </w:rPr>
        <w:footnoteReference w:id="25"/>
      </w:r>
      <w:r>
        <w:rPr>
          <w:rStyle w:val="FootnoteReference"/>
          <w:noProof/>
        </w:rPr>
        <w:t xml:space="preserve"> </w:t>
      </w:r>
    </w:p>
    <w:p>
      <w:pPr>
        <w:pStyle w:val="Text1"/>
        <w:rPr>
          <w:noProof/>
        </w:rPr>
      </w:pPr>
      <w:r>
        <w:rPr>
          <w:noProof/>
        </w:rPr>
        <w:t>X</w:t>
      </w:r>
      <w:r>
        <w:rPr>
          <w:noProof/>
        </w:rPr>
        <w:sym w:font="Wingdings" w:char="F0A8"/>
      </w:r>
      <w:r>
        <w:rPr>
          <w:noProof/>
        </w:rPr>
        <w:t xml:space="preserve"> </w:t>
      </w:r>
      <w:r>
        <w:rPr>
          <w:b/>
          <w:noProof/>
        </w:rPr>
        <w:t>Bezpośrednie zarządzanie</w:t>
      </w:r>
      <w:r>
        <w:rPr>
          <w:noProof/>
        </w:rPr>
        <w:t xml:space="preserve"> przez Komisję</w:t>
      </w:r>
    </w:p>
    <w:p>
      <w:pPr>
        <w:pStyle w:val="ListDash2"/>
        <w:rPr>
          <w:rFonts w:cs="EUAlbertina"/>
          <w:noProof/>
        </w:rPr>
      </w:pPr>
      <w:r>
        <w:rPr>
          <w:noProof/>
        </w:rPr>
        <w:t>X</w:t>
      </w:r>
      <w:r>
        <w:rPr>
          <w:noProof/>
        </w:rPr>
        <w:sym w:font="Wingdings" w:char="F0A8"/>
      </w:r>
      <w:r>
        <w:rPr>
          <w:noProof/>
        </w:rPr>
        <w:t xml:space="preserve"> w ramach jej służb, w tym za pośrednictwem jej pracowników w delegaturach Unii; 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przez agencje wykonawcze </w:t>
      </w:r>
    </w:p>
    <w:p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</w:t>
      </w:r>
      <w:r>
        <w:rPr>
          <w:b/>
          <w:noProof/>
        </w:rPr>
        <w:t>Zarządzanie dzielone</w:t>
      </w:r>
      <w:r>
        <w:rPr>
          <w:noProof/>
        </w:rPr>
        <w:t xml:space="preserve"> z państwami członkowskimi </w:t>
      </w:r>
    </w:p>
    <w:p>
      <w:pPr>
        <w:pStyle w:val="Text1"/>
        <w:rPr>
          <w:noProof/>
        </w:rPr>
      </w:pPr>
      <w:r>
        <w:rPr>
          <w:noProof/>
        </w:rPr>
        <w:t>X</w:t>
      </w:r>
      <w:r>
        <w:rPr>
          <w:noProof/>
        </w:rPr>
        <w:sym w:font="Wingdings" w:char="F0A8"/>
      </w:r>
      <w:r>
        <w:rPr>
          <w:noProof/>
        </w:rPr>
        <w:t xml:space="preserve"> </w:t>
      </w:r>
      <w:r>
        <w:rPr>
          <w:b/>
          <w:noProof/>
        </w:rPr>
        <w:t>Zarządzanie pośrednie</w:t>
      </w:r>
      <w:r>
        <w:rPr>
          <w:noProof/>
        </w:rPr>
        <w:t xml:space="preserve"> poprzez przekazanie zadań związanych z wykonaniem budżetu: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państwom trzecim lub organom przez nie wyznaczonym;</w:t>
      </w:r>
    </w:p>
    <w:p>
      <w:pPr>
        <w:pStyle w:val="ListDash2"/>
        <w:rPr>
          <w:noProof/>
        </w:rPr>
      </w:pPr>
      <w:r>
        <w:rPr>
          <w:noProof/>
        </w:rPr>
        <w:t>X</w:t>
      </w:r>
      <w:r>
        <w:rPr>
          <w:noProof/>
        </w:rPr>
        <w:sym w:font="Wingdings" w:char="F0A8"/>
      </w:r>
      <w:r>
        <w:rPr>
          <w:noProof/>
        </w:rPr>
        <w:t xml:space="preserve"> organizacjom międzynarodowym i ich agencjom (należy wyszczególnić);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EBI oraz Europejskiemu Funduszowi Inwestycyjnemu;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organom, o których mowa w art. 208 i 209 rozporządzenia finansowego;</w:t>
      </w:r>
    </w:p>
    <w:p>
      <w:pPr>
        <w:pStyle w:val="ListDash2"/>
        <w:rPr>
          <w:noProof/>
        </w:rPr>
      </w:pPr>
      <w:r>
        <w:rPr>
          <w:noProof/>
        </w:rPr>
        <w:t>X</w:t>
      </w:r>
      <w:r>
        <w:rPr>
          <w:noProof/>
        </w:rPr>
        <w:sym w:font="Wingdings" w:char="F0A8"/>
      </w:r>
      <w:r>
        <w:rPr>
          <w:noProof/>
        </w:rPr>
        <w:t xml:space="preserve"> organom prawa publicznego;</w:t>
      </w:r>
    </w:p>
    <w:p>
      <w:pPr>
        <w:pStyle w:val="ListDash2"/>
        <w:rPr>
          <w:noProof/>
        </w:rPr>
      </w:pPr>
      <w:r>
        <w:rPr>
          <w:noProof/>
        </w:rPr>
        <w:t>X</w:t>
      </w:r>
      <w:r>
        <w:rPr>
          <w:noProof/>
        </w:rPr>
        <w:sym w:font="Wingdings" w:char="F0A8"/>
      </w:r>
      <w:r>
        <w:rPr>
          <w:noProof/>
        </w:rPr>
        <w:t xml:space="preserve"> podmiotom podlegającym prawu prywatnemu, które świadczą usługi użyteczności publicznej, o ile zapewniają one odpowiednie gwarancje finansowe;</w:t>
      </w:r>
    </w:p>
    <w:p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podmiotom podlegającym prawu prywatnemu państwa członkowskiego, którym powierzono realizację partnerstwa publiczno-prywatnego oraz które zapewniają odpowiednie gwarancje finansowe;</w:t>
      </w:r>
    </w:p>
    <w:p>
      <w:pPr>
        <w:pStyle w:val="ListDash2"/>
        <w:rPr>
          <w:noProof/>
        </w:rPr>
      </w:pPr>
      <w:r>
        <w:rPr>
          <w:noProof/>
        </w:rPr>
        <w:t>X</w:t>
      </w:r>
      <w:r>
        <w:rPr>
          <w:noProof/>
        </w:rPr>
        <w:sym w:font="Wingdings" w:char="F0A8"/>
      </w:r>
      <w:r>
        <w:rPr>
          <w:noProof/>
        </w:rPr>
        <w:t xml:space="preserve"> osobom odpowiedzialnym za wykonanie określonych działań w dziedzinie wspólnej polityki zagranicznej i bezpieczeństwa na mocy tytułu V Traktatu o Unii Europejskiej oraz określonym we właściwym podstawowym akcie prawnym.</w:t>
      </w:r>
    </w:p>
    <w:p>
      <w:pPr>
        <w:pStyle w:val="ListDash2"/>
        <w:rPr>
          <w:i/>
          <w:noProof/>
          <w:sz w:val="18"/>
          <w:u w:val="single"/>
        </w:rPr>
      </w:pPr>
      <w:r>
        <w:rPr>
          <w:i/>
          <w:noProof/>
          <w:sz w:val="18"/>
        </w:rPr>
        <w:t>W przypadku wskazania więcej niż jednego trybu należy podać dodatkowe informacje w części „Uwagi”.</w:t>
      </w:r>
    </w:p>
    <w:p>
      <w:pPr>
        <w:rPr>
          <w:noProof/>
        </w:rPr>
      </w:pPr>
      <w:r>
        <w:rPr>
          <w:noProof/>
        </w:rPr>
        <w:t xml:space="preserve">Uwagi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noProof/>
          <w:szCs w:val="24"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  <w:r>
        <w:rPr>
          <w:noProof/>
        </w:rPr>
        <w:t>Zastosowanie mają zasady zarządzania określone w rozporządzeniu (UE) nr 236/2014 Parlamentu Europejskiego i Rady z dnia 11 marca 2014 roku ustanawiającym wspólne zasady i procedury wdrażania unijnych instrumentów na rzecz finansowania działań zewnętrznych.</w:t>
      </w:r>
    </w:p>
    <w:p>
      <w:pPr>
        <w:pStyle w:val="ManualHeading1"/>
        <w:rPr>
          <w:bCs/>
          <w:noProof/>
          <w:szCs w:val="24"/>
        </w:rPr>
      </w:pPr>
      <w:r>
        <w:t>2.</w:t>
      </w:r>
      <w:r>
        <w:tab/>
      </w:r>
      <w:r>
        <w:rPr>
          <w:noProof/>
        </w:rPr>
        <w:t xml:space="preserve">ŚRODKI ZARZĄDZANIA </w:t>
      </w:r>
    </w:p>
    <w:p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 xml:space="preserve">Zasady nadzoru i sprawozdawczości </w:t>
      </w:r>
    </w:p>
    <w:p>
      <w:pPr>
        <w:pStyle w:val="Text1"/>
        <w:rPr>
          <w:i/>
          <w:noProof/>
          <w:sz w:val="20"/>
          <w:u w:val="single"/>
        </w:rPr>
      </w:pPr>
      <w:r>
        <w:rPr>
          <w:i/>
          <w:noProof/>
          <w:sz w:val="20"/>
        </w:rPr>
        <w:t>Należy określić częstotliwość i warunki.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Delegatury UE i służby Komisji będą stale monitorować realizację projektów budowania zdolności na rzecz bezpieczeństwa i rozwoju z podmiotami wojskowymi, w tym poprzez wizyty w terenie, aby dostarczać zarządzającym wartościowych informacji o postępach lub ich braku w odniesieniu do przyjętych celów, jednocześnie pomagając we wskazywaniu/przewidywaniu potencjalnych trudności w celu podejmowania działań naprawczych.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Do oceny wyników programów budowania zdolności na rzecz bezpieczeństwa i rozwoju mogą zostać również zatrudnieni niezależni eksperci zewnętrzni. Zarówno wewnętrzne, jak i zewnętrzne oceny przyczynią się do rozliczalności i poprawy prowadzonych interwencji, a także pozwolą wyciągnąć wnioski, które posłużą do opracowywania przyszłych polityk i działań za pomocą uznanych na szczeblu międzynarodowym kryteriów oceny OECD-DAC, obejmujących ocenę (potencjalnych) skutków.</w:t>
      </w:r>
    </w:p>
    <w:p>
      <w:pPr>
        <w:pStyle w:val="ManualHeading2"/>
        <w:rPr>
          <w:bCs/>
          <w:noProof/>
          <w:szCs w:val="24"/>
        </w:rPr>
      </w:pPr>
      <w:r>
        <w:t>2.2.</w:t>
      </w:r>
      <w:r>
        <w:tab/>
      </w:r>
      <w:r>
        <w:rPr>
          <w:noProof/>
        </w:rPr>
        <w:t xml:space="preserve">System zarządzania i kontroli </w:t>
      </w:r>
    </w:p>
    <w:p>
      <w:pPr>
        <w:pStyle w:val="ManualHeading3"/>
        <w:rPr>
          <w:noProof/>
        </w:rPr>
      </w:pPr>
      <w:r>
        <w:t>2.2.1.</w:t>
      </w:r>
      <w:r>
        <w:tab/>
      </w:r>
      <w:r>
        <w:rPr>
          <w:noProof/>
        </w:rPr>
        <w:t xml:space="preserve">Zidentyfikowane ryzyko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Środowisko ryzyka: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Wsparcie podmiotów wojskowych w krajach dotkniętych konfliktami pociąga za sobą wiele rodzajów ryzyka (kontekstowych, programowych, reputacyjnych i instytucjonalnych), które mogą mieć negatywny wpływ na skuteczność i trwałość wsparcia w zakresie budowania zdolności na rzecz bezpieczeństwa i rozwoju. Potencjalne ryzyko nadużyć w zakresie dostarczonego sprzętu, który w skrajnych sytuacjach może zostać wykorzystany przez siły lokalne w sposób prowadzący do poważnych naruszeń praw człowieka lub przekazany nieprzyjaznym podmiotom (np. niepaństwowym grupom zbrojnym, które przechwycą sprzęt) jest kwestią wymagającą szczególnej uwagi podczas opracowywania projektu oraz w trakcie jego realizacji poprzez ścisły monitoring. Wykluczenie śmiercionośnego sprzętu stanowi pewne zabezpieczenie przed niewłaściwym wykorzystaniem pomocy, ale nieśmiercionośny sprzęt wojskowy może również służyć do nadużyć z perspektywy międzynarodowego prawa humanitarnego.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Ograniczenie ryzyka: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Środki z zakresu budowania zdolności na rzecz bezpieczeństwa i rozwoju wykluczają finansowanie broni i amunicji, co ogranicza ryzyko niewłaściwego wykorzystania sprzętu.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Ponadto w celu ograniczenia możliwych zagrożeń i zgodnie ze wspólnym komunikatem postulującym opracowanie metodologii zarządzania ryzykiem w zakresie wsparcia UE dla sektora bezpieczeństwa w krajach partnerskich lub organizacji partnerskich, wymagane będzie przeprowadzenie konkretnej oceny ryzyka dla wszystkich programów budowania zdolności na rzecz bezpieczeństwa i rozwoju, które przewidują współpracę z wojskiem krajów partnerskich. Ryzyko będzie również na bieżąco monitorowane w trakcie realizacji projektów.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Konkretne sposoby oceny i monitorowania ryzyka są aktualnie opracowywane w ramach polityki RSB.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Cennym wkładem w tym względzie będą wnioski z dotychczasowych doświadczeń w zakresie zarządzania ryzykiem wsparcia budżetowego, jak również opracowywane wskaźniki skuteczności misji WPBiO.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Konkretne rodzaje oceny ryzyka mające zastosowanie w przypadku budowania zdolności na rzecz stabilności i rozwoju mogą w szczególności obejmować: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- ocenę ryzyka konfliktów (w oparciu o narzędzia ryzyka strukturalnego, takie jak opracowany przez Wspólne Centrum Badawcze globalny wskaźnik ryzyka konfliktu (GCRI)) oraz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- ramy analizy konfliktów (CAF) w celu wypracowania wspólnego zrozumienia sytuacji i jej regularnego monitorowania przez podmioty z sektorów humanitarnego, rozwoju i bezpieczeństwa.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Zobowiązanie do zapewnienia przejrzystości oraz wpływu wydatków na pokój i bezpieczeństwo, a także śledzenia ich wkładu w realizację 16. celu zrównoważonego rozwoju, może być odpowiedzią na to, co niektórzy interesariusze mogą postrzegać jako ryzyko „sekurytyzacji rozwoju”.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W ramach powyższych środków ograniczania ryzyka unijne wsparcie dla budowania zdolności na rzecz bezpieczeństwa i rozwoju powinno również uwzględniać analizę kontekstową i opierać się na uwrażliwieniu na konflikty. Zasada „nie szkodzić” będzie główną zasadą leżącą u podstaw budowania zdolności na rzecz stabilności i rozwoju. Zajdzie potrzeba przeprowadzenia w odpowiednim czasie dogłębnej analizy sytuacji politycznej i bezpieczeństwa w danym kraju oraz związanych z nią potencjalnych zagrożeń, aby ustalić zdolność Unii do udzielenia pomocy, tj. uniknąć niewłaściwego wykorzystania wsparcia. Delegatury UE będą uczestniczyć w przeprowadzaniu odpowiednich ocen. Oceny te obejmą między innymi wpływ na zasoby, inwentaryzację działań pozostałych podmiotów, planowaną pomoc w zakresie podejmowania działań na rzecz budowania zdolności, ocenę szczególnych potrzeb danego kraju, a także cele i wskaźniki służące do monitorowania postępów. Inne ważne aspekty, takie jak zaangażowanie państwa partnerskiego, zdolność absorpcji oraz trwałość w średnim i długim okresie, a także związek z szerszymi i długoterminowymi programami RSB w dziedzinie sprawowania rządów, będą częścią wspomnianej analizy kontekstowej.</w:t>
      </w:r>
    </w:p>
    <w:p>
      <w:pPr>
        <w:pStyle w:val="ManualHeading3"/>
        <w:rPr>
          <w:bCs/>
          <w:noProof/>
          <w:szCs w:val="24"/>
        </w:rPr>
      </w:pPr>
      <w:r>
        <w:t>2.2.2.</w:t>
      </w:r>
      <w:r>
        <w:tab/>
      </w:r>
      <w:r>
        <w:rPr>
          <w:noProof/>
        </w:rPr>
        <w:t>Informacje dotyczące struktury wewnętrznego systemu kontroli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u w:val="single"/>
        </w:rPr>
      </w:pPr>
      <w:r>
        <w:rPr>
          <w:noProof/>
          <w:u w:val="single"/>
        </w:rPr>
        <w:t>Struktura kontroli wewnętrznej FPI/DEVCO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Proces kontroli wewnętrznej/zarządzania FPI/DEVCO (Służby ds. Instrumentów Polityki Zagranicznej/DG ds. Współpracy Międzynarodowej i Rozwoju) ma na celu zapewnienie wystarczającej pewności co do należytego zarządzania działalnością pod względem finansowym, wiarygodności sprawozdawczości finansowej oraz zgodności z odpowiednim przepisami i procedurami.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u w:val="single"/>
        </w:rPr>
      </w:pPr>
      <w:r>
        <w:rPr>
          <w:noProof/>
          <w:u w:val="single"/>
        </w:rPr>
        <w:t>Skuteczność, wydajność i oszczędność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Aby zapewnić przestrzeganie zasad należytego zarządzania finansowego (oraz ograniczyć wysoki poziom ryzyka występujący w ramach struktur pomocy zewnętrznej), oprócz wszystkich elementów strategicznego procesu polityki i planowania Komisji, warunków audytu wewnętrznego i innych wymogów wynikających z norm kontroli wewnętrznej Komisji, FPI/DEVCO będzie w dalszym ciągu dostosowywać swoje środowisko kontroli, co obejmie: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–</w:t>
      </w:r>
      <w:r>
        <w:rPr>
          <w:noProof/>
        </w:rPr>
        <w:tab/>
        <w:t>w stosownych przypadkach przekazanie zarządzania projektami delegaturom UE w terenie,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–</w:t>
      </w:r>
      <w:r>
        <w:rPr>
          <w:noProof/>
        </w:rPr>
        <w:tab/>
        <w:t>wyraźne i sformalizowane zasady rozliczalności finansowej w drodze przekazania uprawnień przez delegowanego urzędnika zatwierdzającego szefowi działu lub delegatury,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–</w:t>
      </w:r>
      <w:r>
        <w:rPr>
          <w:noProof/>
        </w:rPr>
        <w:tab/>
        <w:t>regularne przekazywanie centrali sprawozdań przez delegatury UE (sprawozdań z zarządzania pomocą zewnętrzną dla DEVCO i sprawozdań subdelegowanego urzędnika zatwierdzającego dla FPI), w tym rocznego poświadczenia wiarygodności przez szefa delegatury,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–</w:t>
      </w:r>
      <w:r>
        <w:rPr>
          <w:noProof/>
        </w:rPr>
        <w:tab/>
        <w:t>gruntowne przeszkolenie pracowników zarówno centrali, jak i delegatur,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–</w:t>
      </w:r>
      <w:r>
        <w:rPr>
          <w:noProof/>
        </w:rPr>
        <w:tab/>
        <w:t>zapewnienie znaczącego wsparcia i odpowiednich wytycznych dla centrali i delegatur,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–</w:t>
      </w:r>
      <w:r>
        <w:rPr>
          <w:noProof/>
        </w:rPr>
        <w:tab/>
        <w:t>regularne misje „weryfikacyjne/nadzorcze” w „zdecentralizowanych” delegaturach,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–</w:t>
      </w:r>
      <w:r>
        <w:rPr>
          <w:noProof/>
        </w:rPr>
        <w:tab/>
        <w:t xml:space="preserve">metodologię zarządzania cyklem projektu i programu, obejmującą między innymi: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1"/>
        <w:rPr>
          <w:noProof/>
        </w:rPr>
      </w:pPr>
      <w:r>
        <w:rPr>
          <w:noProof/>
        </w:rPr>
        <w:tab/>
        <w:t xml:space="preserve">a) w razie potrzeby narzędzia zapewniające wysoką jakość projektowania interwencji, metody ich realizacji, mechanizm finansowania, system zarządzania, oceny i wyboru ewentualnych partnerów wdrażających,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1"/>
        <w:rPr>
          <w:noProof/>
        </w:rPr>
      </w:pPr>
      <w:r>
        <w:rPr>
          <w:noProof/>
        </w:rPr>
        <w:tab/>
        <w:t>b) narzędzia zarządzania programami i projektami, nadzoru i sprawozdawczości na rzecz efektywnego wdrażania, w tym regularne zewnętrzne monitorowanie projektów na miejscu,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1"/>
        <w:rPr>
          <w:noProof/>
        </w:rPr>
      </w:pPr>
      <w:r>
        <w:rPr>
          <w:noProof/>
        </w:rPr>
        <w:tab/>
        <w:t>c) elementy oceny i kontroli.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u w:val="single"/>
        </w:rPr>
      </w:pPr>
      <w:r>
        <w:rPr>
          <w:noProof/>
          <w:u w:val="single"/>
        </w:rPr>
        <w:t>Sprawozdawczość i rachunkowość finansowa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FPI/DEVCO będzie nadal stosować najwyższe standardy rachunkowości i sprawozdawczości finansowej z wykorzystaniem systemu rachunkowości memoriałowej Komisji (ABAC), jak również narzędzi dotyczących pomocy zewnętrznej.</w:t>
      </w:r>
    </w:p>
    <w:p>
      <w:pPr>
        <w:pStyle w:val="ManualHeading3"/>
        <w:rPr>
          <w:noProof/>
        </w:rPr>
      </w:pPr>
      <w:r>
        <w:t>2.2.3.</w:t>
      </w:r>
      <w:r>
        <w:tab/>
      </w:r>
      <w:r>
        <w:rPr>
          <w:noProof/>
        </w:rPr>
        <w:t xml:space="preserve">Oszacowanie kosztów i korzyści wynikających z kontroli i ocena prawdopodobnego ryzyka błędu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Celem ukierunkowanym na zgodność z przepisami w odniesieniu do danego instrumentu jest utrzymanie historycznego poziomu ryzyka niezgodności (stopy błędu) dla portfela FPI/DEVCO, stanowiącego poziom netto błędu rezydualnego (w perspektywie wieloletniej, po przeprowadzeniu wszystkich planowanych kontroli i korekt w odniesieniu do zamkniętych zamówień) poniżej 2 %.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 xml:space="preserve">Tradycyjnie wiąże się to z marginesem błędu na poziomie 2–5 % w odniesieniu do rocznej randomizowanej próbki transakcji, pobieranej przez Europejski Trybunał Obrachunkowy do celów rocznego poświadczenia wiarygodności (DAS). 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FPI/DEVCO uważa, że jest to najmniejsze możliwe ryzyko nieprzestrzegania przepisów w otoczeniu obarczonym tak wysokim ryzykiem, uwzględniając obciążenia administracyjne i konieczną opłacalność ekonomiczną w obszarze kontroli zgodności z przepisami.</w:t>
      </w:r>
    </w:p>
    <w:p>
      <w:pPr>
        <w:pStyle w:val="ManualHeading2"/>
        <w:rPr>
          <w:bCs/>
          <w:noProof/>
          <w:szCs w:val="24"/>
        </w:rPr>
      </w:pPr>
      <w:r>
        <w:t>2.3.</w:t>
      </w:r>
      <w:r>
        <w:tab/>
      </w:r>
      <w:r>
        <w:rPr>
          <w:noProof/>
        </w:rPr>
        <w:t xml:space="preserve">Środki zapobiegania nadużyciom finansowym i nieprawidłowościom </w:t>
      </w:r>
    </w:p>
    <w:p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Określić istniejące lub przewidywane środki zapobiegania i ochrony</w:t>
      </w:r>
    </w:p>
    <w:p>
      <w:pPr>
        <w:pStyle w:val="Text1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1210"/>
        <w:rPr>
          <w:noProof/>
          <w:u w:val="single"/>
        </w:rPr>
      </w:pPr>
      <w:r>
        <w:rPr>
          <w:noProof/>
          <w:u w:val="single"/>
        </w:rPr>
        <w:t>Środki zapobiegania nieprawidłowościom</w:t>
      </w:r>
    </w:p>
    <w:p>
      <w:pPr>
        <w:pStyle w:val="Text1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1210"/>
        <w:rPr>
          <w:noProof/>
        </w:rPr>
      </w:pPr>
      <w:r>
        <w:rPr>
          <w:noProof/>
        </w:rPr>
        <w:t xml:space="preserve">Z uwagi na ryzyko działań z zakresu budowania zdolności na rzecz bezpieczeństwa i rozwoju, stosowane systemy kontroli muszą uwzględniać występowanie znacznej liczby błędów zgodności (nieprawidłowości) w transakcjach i przewidywać liczne kontrole na wysokim poziomie, mające na celu zapobieganie błędom, ich wykrywanie i korygowanie na możliwie najwcześniejszym etapie procesu płatności. W praktyce oznacza to, że kontrole zgodności FPI/DEVCO będą na ogół polegały na kontrolach </w:t>
      </w:r>
      <w:r>
        <w:rPr>
          <w:i/>
          <w:noProof/>
        </w:rPr>
        <w:t>ex ante</w:t>
      </w:r>
      <w:r>
        <w:rPr>
          <w:noProof/>
        </w:rPr>
        <w:t xml:space="preserve"> prowadzonych przez audytorów zewnętrznych i pracowników Komisji w terenie przed dokonaniem końcowej płatności za projekt (chociaż przy zachowaniu niektórych audytów i kontroli </w:t>
      </w:r>
      <w:r>
        <w:rPr>
          <w:i/>
          <w:noProof/>
        </w:rPr>
        <w:t>ex post</w:t>
      </w:r>
      <w:r>
        <w:rPr>
          <w:noProof/>
        </w:rPr>
        <w:t xml:space="preserve">), i będą znacznie wykraczały poza zakres środków bezpieczeństwa finansowego wymaganych rozporządzeniem finansowym. </w:t>
      </w:r>
    </w:p>
    <w:p>
      <w:pPr>
        <w:pStyle w:val="Text1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1210"/>
        <w:rPr>
          <w:noProof/>
        </w:rPr>
      </w:pPr>
      <w:r>
        <w:rPr>
          <w:noProof/>
        </w:rPr>
        <w:t>Ramy zgodności FPI/DEVCO obejmują między innymi następujące ważne elementy składowe:</w:t>
      </w:r>
    </w:p>
    <w:p>
      <w:pPr>
        <w:pStyle w:val="Text1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1210"/>
        <w:rPr>
          <w:noProof/>
          <w:u w:val="single"/>
        </w:rPr>
      </w:pPr>
      <w:r>
        <w:rPr>
          <w:noProof/>
          <w:u w:val="single"/>
        </w:rPr>
        <w:t>Środki zapobiegania nadużyciom finansowym</w:t>
      </w:r>
    </w:p>
    <w:p>
      <w:pPr>
        <w:pStyle w:val="Text1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1210"/>
        <w:rPr>
          <w:noProof/>
        </w:rPr>
      </w:pPr>
      <w:r>
        <w:rPr>
          <w:noProof/>
        </w:rPr>
        <w:t>- Dostarczanie w miarę potrzeb konkretnych wytycznych, w tym Praktycznego przewodnika po procedurach udzielania zamówień (PRAG), Przewodnika DEVCO oraz Zestawu narzędzi do zarządzania finansowego (dla partnerów realizujących działania).</w:t>
      </w:r>
    </w:p>
    <w:p>
      <w:pPr>
        <w:pStyle w:val="Text1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1210"/>
        <w:rPr>
          <w:noProof/>
        </w:rPr>
      </w:pPr>
      <w:r>
        <w:rPr>
          <w:noProof/>
        </w:rPr>
        <w:t xml:space="preserve">- Obowiązkowe podstawowe szkolenia z zakresu zapobiegania nadużyciom finansowym i ich wykrywania dla personelu odpowiedzialnego za zarządzanie pomocą (menedżerów projektu, menedżerów finansowych, pracowników kontroli </w:t>
      </w:r>
      <w:r>
        <w:rPr>
          <w:i/>
          <w:noProof/>
        </w:rPr>
        <w:t>ex post</w:t>
      </w:r>
      <w:r>
        <w:rPr>
          <w:noProof/>
        </w:rPr>
        <w:t>/audytorów) w centrali i w delegaturach UE zgodnie ze Strategią zwalczania nadużyć finansowych w zakresie stosunków zewnętrznych UE oraz szczegółowymi strategiami FPI i DEVCO w zakresie zwalczania nadużyć finansowych. Strategia zwalczania nadużyć finansowych w zakresie stosunków zewnętrznych UE obejmuje działania zarówno Europejskiej Służby Działań Zewnętrznych (ESDZ), jak i odpowiednich służb Komisji zajmujących się stosunkami zewnętrznymi (DEVCO, FPI, DG ds. Polityki Sąsiedztwa i Negocjacji w sprawie Rozszerzenia), ze szczególnym uwzględnieniem działań prowadzonych przez delegatury UE.</w:t>
      </w:r>
    </w:p>
    <w:p>
      <w:pPr>
        <w:pStyle w:val="Text1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1210"/>
        <w:rPr>
          <w:noProof/>
        </w:rPr>
      </w:pPr>
      <w:r>
        <w:rPr>
          <w:noProof/>
        </w:rPr>
        <w:t xml:space="preserve">- Ocena </w:t>
      </w:r>
      <w:r>
        <w:rPr>
          <w:i/>
          <w:noProof/>
        </w:rPr>
        <w:t>ex ante</w:t>
      </w:r>
      <w:r>
        <w:rPr>
          <w:noProof/>
        </w:rPr>
        <w:t xml:space="preserve"> w celu sprawdzenia, czy organy zarządzające odpowiednimi funduszami (w ramach zarządzania zarówno bezpośredniego, jak i pośredniego) dysponują właściwymi środkami zwalczania nadużyć finansowych, służącymi zapobieganiu nadużyciom w procesie zarządzania funduszami UE i ich wykrywaniu. </w:t>
      </w:r>
    </w:p>
    <w:p>
      <w:pPr>
        <w:pStyle w:val="Text1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1210"/>
        <w:rPr>
          <w:noProof/>
        </w:rPr>
      </w:pPr>
      <w:r>
        <w:rPr>
          <w:noProof/>
        </w:rPr>
        <w:t xml:space="preserve">- Kontrola </w:t>
      </w:r>
      <w:r>
        <w:rPr>
          <w:i/>
          <w:noProof/>
        </w:rPr>
        <w:t>ex ante</w:t>
      </w:r>
      <w:r>
        <w:rPr>
          <w:noProof/>
        </w:rPr>
        <w:t xml:space="preserve"> dostępnych w krajach partnerskich (lub w organizacjach międzynarodowych) mechanizmów zwalczania nadużyć finansowych, przeprowadzana w ramach oceny zarządzania finansami publicznymi pod kątem kwalifikowalności do otrzymania wsparcia budżetowego (tj. aktywne zaangażowanie w walkę z nadużyciami finansowymi i korupcją, odpowiednie organy kontroli, dostateczny potencjał wymiaru sprawiedliwości oraz skuteczne mechanizmy reagowania i sankcji).</w:t>
      </w:r>
    </w:p>
    <w:p>
      <w:pPr>
        <w:pStyle w:val="Text1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1210"/>
        <w:rPr>
          <w:noProof/>
        </w:rPr>
      </w:pPr>
      <w:r>
        <w:rPr>
          <w:noProof/>
        </w:rPr>
        <w:t>- Komisja podpisała Akrze w 2008 r. Międzynarodową Inicjatywę na rzecz Przejrzystości Pomocy (IATI), przyjmując tym samym normę dla przejrzystości pomocy, która zapewnia udostępnianie bardziej aktualnych, szczegółowych i regularnych danych oraz dokumentów dotyczących przepływu środków pomocowych. - Od października 2011 r. Komisja pracuje nad wdrożeniem i stosowaniem standardów IATI dotyczących przejrzystości publikowania informacji o pomocy.</w:t>
      </w:r>
    </w:p>
    <w:p>
      <w:pPr>
        <w:pStyle w:val="Text1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1210"/>
        <w:rPr>
          <w:noProof/>
        </w:rPr>
      </w:pPr>
      <w:r>
        <w:rPr>
          <w:noProof/>
        </w:rPr>
        <w:t>- Ponadto Komisja we współpracy z państwami członkowskimi UE opracowuje wspólną aplikacją sieciową o nazwie EU Aid Explorer, która przetwarza dane dotyczące pomocy UE dostarczane w ramach IATI i innych źródeł na przyjazne dla użytkownika informacje na temat pomocy.</w:t>
      </w:r>
    </w:p>
    <w:p>
      <w:pPr>
        <w:pStyle w:val="Text1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1210"/>
        <w:rPr>
          <w:noProof/>
          <w:u w:val="single"/>
        </w:rPr>
      </w:pPr>
      <w:r>
        <w:rPr>
          <w:noProof/>
        </w:rPr>
        <w:t>- W 2015 roku Europejski Urząd ds. Zwalczania Nadużyć Finansowych (OLAF) podpisał pięć nowych porozumień o współpracy administracyjnej z organizacjami międzynarodowymi (Europejski Bank Odbudowy i Rozwoju, Międzyamerykański Bank Rozwoju, Organizacja Współpracy Gospodarczej i Rozwoju, Światowy Program Żywnościowy oraz Biuro ONZ ds. Obsługi Projektów). OLAF współpracuje również z odpowiednimi agencjami Organizacji Narodów Zjednoczonych, Bankiem Światowym i innymi organizacjami międzynarodowymi, które zajmują się zwalczaniem nadużyć finansowych. OLAF prowadzi także współpracę z EUROPOLEM i EUROJUSTEM. OLAF nawiązuje również, w sposób ciągły lub doraźnie w razie potrzeby, relacje z władzami krajów spoza UE w zakresie koniecznym do zbadania nadużyć finansowych na szkodę budżetu UE (głównie fundusze unijne przeznaczane na pomoc zewnętrzną). W 2015 r. OLAF zawarł porozumienia administracyjne z organami partnerskimi w Angoli, Mołdawii i Senegalu.</w:t>
      </w:r>
    </w:p>
    <w:p>
      <w:pPr>
        <w:pStyle w:val="Text1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1210"/>
        <w:rPr>
          <w:noProof/>
          <w:u w:val="single"/>
        </w:rPr>
      </w:pPr>
      <w:r>
        <w:rPr>
          <w:noProof/>
          <w:u w:val="single"/>
        </w:rPr>
        <w:t>Środki służące wykrywaniu i środki naprawcze w zakresie nieprawidłowości i nadużyć finansowych</w:t>
      </w:r>
    </w:p>
    <w:p>
      <w:pPr>
        <w:pStyle w:val="Text1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1210"/>
        <w:rPr>
          <w:noProof/>
        </w:rPr>
      </w:pPr>
      <w:r>
        <w:rPr>
          <w:noProof/>
        </w:rPr>
        <w:t>- zewnętrzne audyty i kontrole (zarówno obowiązkowe, jak i oparte na analizie ryzyka), również ze strony Europejskiego Trybunału Obrachunkowego,</w:t>
      </w:r>
    </w:p>
    <w:p>
      <w:pPr>
        <w:pStyle w:val="Text1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1210"/>
        <w:rPr>
          <w:noProof/>
        </w:rPr>
      </w:pPr>
      <w:r>
        <w:rPr>
          <w:noProof/>
        </w:rPr>
        <w:t>- kontrole z mocą wsteczną (oparte na analizie ryzyka) i odzyskiwanie należności,</w:t>
      </w:r>
    </w:p>
    <w:p>
      <w:pPr>
        <w:pStyle w:val="Text1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1210"/>
        <w:rPr>
          <w:noProof/>
        </w:rPr>
      </w:pPr>
      <w:r>
        <w:rPr>
          <w:noProof/>
        </w:rPr>
        <w:t>- zawieszenie finansowania UE w przypadku poważnego nadużycia finansowego, w tym korupcji na dużą skalę, do czasu podjęcia przez władze właściwych działań naprawczych i zapobiegających takim nadużyciom w przyszłości.</w:t>
      </w:r>
    </w:p>
    <w:p>
      <w:pPr>
        <w:pStyle w:val="Text1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1210"/>
        <w:rPr>
          <w:noProof/>
        </w:rPr>
      </w:pPr>
      <w:r>
        <w:rPr>
          <w:noProof/>
        </w:rPr>
        <w:t>- FPI/DEVCO będą nadal pracować nad strategią zwalczania nadużyć, zgodnie z przyjętą przez Komisję w 2013 r. Strategią zwalczania nadużyć w zakresie stosunków zewnętrznych UE („Strategia ramowa AFS”). FPI i DEVCO wdrażają strategię skupioną na trzech strategicznych celach:</w:t>
      </w:r>
    </w:p>
    <w:p>
      <w:pPr>
        <w:pStyle w:val="Text1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1210"/>
        <w:rPr>
          <w:noProof/>
        </w:rPr>
      </w:pPr>
      <w:r>
        <w:rPr>
          <w:noProof/>
        </w:rPr>
        <w:t>- podnoszenie ogólnej świadomości pracowników w zakresie zapobiegania nadużyciom finansowym i ich wykrywania, w szczególności na etapie przygotowywania i realizacji dotacji oraz zamówień,</w:t>
      </w:r>
    </w:p>
    <w:p>
      <w:pPr>
        <w:pStyle w:val="Text1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1210"/>
        <w:rPr>
          <w:noProof/>
        </w:rPr>
      </w:pPr>
      <w:r>
        <w:rPr>
          <w:noProof/>
        </w:rPr>
        <w:t>- poprawa zdolności personelu FPI i DEVCO do skutecznego przeciwdziałania wewnętrznym i zewnętrznym nadużyciom finansowym za pomocą narzędzi służących do zwalczania nadużyć finansowych,</w:t>
      </w:r>
    </w:p>
    <w:p>
      <w:pPr>
        <w:pStyle w:val="Text1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1210"/>
        <w:rPr>
          <w:noProof/>
        </w:rPr>
      </w:pPr>
      <w:r>
        <w:rPr>
          <w:noProof/>
        </w:rPr>
        <w:t>- poprawa reagowania w przypadku podejrzenia nadużycia finansowego oraz szybkości odzyskiwania kwot nienależnie wypłaconych.</w:t>
      </w:r>
    </w:p>
    <w:p>
      <w:pPr>
        <w:rPr>
          <w:noProof/>
        </w:rPr>
        <w:sectPr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1"/>
        <w:rPr>
          <w:bCs/>
          <w:noProof/>
          <w:szCs w:val="24"/>
        </w:rPr>
      </w:pPr>
      <w:r>
        <w:t>3.</w:t>
      </w:r>
      <w:r>
        <w:tab/>
      </w:r>
      <w:r>
        <w:rPr>
          <w:noProof/>
        </w:rPr>
        <w:t xml:space="preserve">SZACUNKOWY WPŁYW FINANSOWY WNIOSKU/INICJATYWY </w:t>
      </w:r>
    </w:p>
    <w:p>
      <w:pPr>
        <w:pStyle w:val="ManualHeading2"/>
        <w:rPr>
          <w:noProof/>
        </w:rPr>
      </w:pPr>
      <w:r>
        <w:t>3.1.</w:t>
      </w:r>
      <w:r>
        <w:tab/>
      </w:r>
      <w:r>
        <w:rPr>
          <w:noProof/>
        </w:rPr>
        <w:t xml:space="preserve">Działy wieloletnich ram finansowych i linie budżetowe po stronie wydatków, na które wniosek/inicjatywa ma wpływ </w:t>
      </w:r>
    </w:p>
    <w:p>
      <w:pPr>
        <w:pStyle w:val="ListBullet1"/>
        <w:rPr>
          <w:noProof/>
        </w:rPr>
      </w:pPr>
      <w:r>
        <w:rPr>
          <w:noProof/>
        </w:rPr>
        <w:t xml:space="preserve">Istniejące linie budżetowe </w:t>
      </w:r>
    </w:p>
    <w:p>
      <w:pPr>
        <w:pStyle w:val="Text1"/>
        <w:rPr>
          <w:noProof/>
        </w:rPr>
      </w:pPr>
      <w:r>
        <w:rPr>
          <w:noProof/>
          <w:u w:val="single"/>
        </w:rPr>
        <w:t>Według</w:t>
      </w:r>
      <w:r>
        <w:rPr>
          <w:noProof/>
        </w:rPr>
        <w:t xml:space="preserve"> działów wieloletnich ram finansowych i linii budżetowych.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5049"/>
        <w:gridCol w:w="1180"/>
        <w:gridCol w:w="1294"/>
        <w:gridCol w:w="1375"/>
        <w:gridCol w:w="1137"/>
        <w:gridCol w:w="2318"/>
      </w:tblGrid>
      <w:tr>
        <w:tc>
          <w:tcPr>
            <w:tcW w:w="1867" w:type="dxa"/>
            <w:vMerge w:val="restart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Dział wieloletnich ram finansowych</w:t>
            </w:r>
          </w:p>
        </w:tc>
        <w:tc>
          <w:tcPr>
            <w:tcW w:w="5049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>Linia budżetowa</w:t>
            </w:r>
          </w:p>
        </w:tc>
        <w:tc>
          <w:tcPr>
            <w:tcW w:w="1180" w:type="dxa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Rodzaj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18"/>
              </w:rPr>
              <w:t>środków</w:t>
            </w:r>
          </w:p>
        </w:tc>
        <w:tc>
          <w:tcPr>
            <w:tcW w:w="6124" w:type="dxa"/>
            <w:gridSpan w:val="4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  <w:sz w:val="20"/>
              </w:rPr>
              <w:t xml:space="preserve">Wkład </w:t>
            </w:r>
          </w:p>
        </w:tc>
      </w:tr>
      <w:tr>
        <w:tc>
          <w:tcPr>
            <w:tcW w:w="1867" w:type="dxa"/>
            <w:vMerge/>
            <w:vAlign w:val="center"/>
          </w:tcPr>
          <w:p>
            <w:pPr>
              <w:jc w:val="center"/>
              <w:rPr>
                <w:noProof/>
              </w:rPr>
            </w:pPr>
          </w:p>
        </w:tc>
        <w:tc>
          <w:tcPr>
            <w:tcW w:w="5049" w:type="dxa"/>
            <w:vAlign w:val="center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>Numer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20"/>
              </w:rPr>
              <w:t>Treść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8"/>
              </w:rPr>
              <w:t>Zróżn./Niezróżn.</w:t>
            </w:r>
            <w:r>
              <w:rPr>
                <w:rStyle w:val="FootnoteReference"/>
                <w:noProof/>
                <w:sz w:val="18"/>
              </w:rPr>
              <w:footnoteReference w:id="26"/>
            </w:r>
            <w:r>
              <w:rPr>
                <w:noProof/>
              </w:rPr>
              <w:t>.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>państw EFTA</w:t>
            </w:r>
            <w:r>
              <w:rPr>
                <w:rStyle w:val="FootnoteReference"/>
                <w:noProof/>
                <w:sz w:val="18"/>
              </w:rPr>
              <w:footnoteReference w:id="27"/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krajów kandydujących</w:t>
            </w:r>
            <w:r>
              <w:rPr>
                <w:rStyle w:val="FootnoteReference"/>
                <w:noProof/>
                <w:sz w:val="18"/>
              </w:rPr>
              <w:footnoteReference w:id="28"/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państw trzecich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noProof/>
              </w:rPr>
            </w:pPr>
            <w:r>
              <w:rPr>
                <w:noProof/>
                <w:sz w:val="16"/>
              </w:rPr>
              <w:t xml:space="preserve">w rozumieniu art. 21 ust. 2 lit. b) rozporządzenia finansowego </w:t>
            </w:r>
          </w:p>
        </w:tc>
      </w:tr>
      <w:tr>
        <w:tc>
          <w:tcPr>
            <w:tcW w:w="1867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IV.</w:t>
            </w:r>
          </w:p>
        </w:tc>
        <w:tc>
          <w:tcPr>
            <w:tcW w:w="5049" w:type="dxa"/>
            <w:vAlign w:val="center"/>
          </w:tcPr>
          <w:p>
            <w:pPr>
              <w:spacing w:before="60"/>
              <w:ind w:left="2551" w:hanging="567"/>
              <w:jc w:val="left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19 02 – Instrument na rzecz przyczyniania się do Stabilności i Pokoju – Reagowanie na sytuacje kryzysowe, zapobieganie konfliktom, budowanie pokoju i gotowość na sytuacje kryzysowe</w:t>
            </w:r>
          </w:p>
          <w:p>
            <w:pPr>
              <w:spacing w:after="60"/>
              <w:ind w:left="72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19 02 01 Reagowanie w sytuacjach kryzysu lub początku kryzysu</w:t>
            </w:r>
          </w:p>
          <w:p>
            <w:pPr>
              <w:spacing w:after="60"/>
              <w:ind w:left="72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19 02 02 Wsparcie dla zapobiegania konfliktom, budowania pokoju i gotowości na sytuacje kryzysowe</w:t>
            </w:r>
          </w:p>
          <w:p>
            <w:pPr>
              <w:spacing w:after="60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19 01 Wydatki administracyjne w obszarze polityki „Instrumenty polityki zagranicznej”</w:t>
            </w:r>
          </w:p>
          <w:p>
            <w:pPr>
              <w:spacing w:after="60"/>
              <w:ind w:left="732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19 01 04 01 – Wydatki pomocnicze na Instrument na rzecz przyczyniania się do Stabilności i Pokoju</w:t>
            </w:r>
          </w:p>
          <w:p>
            <w:pPr>
              <w:spacing w:after="60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21 05 – Instrument na rzecz przyczyniania się do Stabilności i Pokoju – Globalne, transregionalne i nowo pojawiające się zagrożenia</w:t>
            </w:r>
          </w:p>
          <w:p>
            <w:pPr>
              <w:spacing w:after="60"/>
              <w:ind w:left="732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21 05 01 Globalne, transregionalne i nowo pojawiające się zagrożenia</w:t>
            </w:r>
          </w:p>
          <w:p>
            <w:pPr>
              <w:spacing w:after="60"/>
              <w:jc w:val="left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21 01 Wydatki administracyjne w obszarze polityki „Współpraca międzynarodowa i rozwój”</w:t>
            </w:r>
          </w:p>
          <w:p>
            <w:pPr>
              <w:spacing w:after="60"/>
              <w:ind w:left="732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21 01 04 04 – Wydatki pomocnicze na Instrument na rzecz przyczyniania się do Stabilności i Pokoju</w:t>
            </w:r>
          </w:p>
        </w:tc>
        <w:tc>
          <w:tcPr>
            <w:tcW w:w="1180" w:type="dxa"/>
            <w:vAlign w:val="center"/>
          </w:tcPr>
          <w:p>
            <w:pPr>
              <w:ind w:left="2551" w:hanging="567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 xml:space="preserve">Zróżn </w:t>
            </w:r>
          </w:p>
        </w:tc>
        <w:tc>
          <w:tcPr>
            <w:tcW w:w="1294" w:type="dxa"/>
            <w:vAlign w:val="center"/>
          </w:tcPr>
          <w:p>
            <w:pPr>
              <w:ind w:left="2551" w:hanging="567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NIE</w:t>
            </w:r>
          </w:p>
        </w:tc>
        <w:tc>
          <w:tcPr>
            <w:tcW w:w="1375" w:type="dxa"/>
            <w:vAlign w:val="center"/>
          </w:tcPr>
          <w:p>
            <w:pPr>
              <w:ind w:left="2551" w:hanging="567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NIE</w:t>
            </w:r>
          </w:p>
        </w:tc>
        <w:tc>
          <w:tcPr>
            <w:tcW w:w="1137" w:type="dxa"/>
            <w:vAlign w:val="center"/>
          </w:tcPr>
          <w:p>
            <w:pPr>
              <w:ind w:left="2551" w:hanging="567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NIE</w:t>
            </w:r>
          </w:p>
        </w:tc>
        <w:tc>
          <w:tcPr>
            <w:tcW w:w="2318" w:type="dxa"/>
            <w:vAlign w:val="center"/>
          </w:tcPr>
          <w:p>
            <w:pPr>
              <w:ind w:left="2551" w:hanging="567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/NIE</w:t>
            </w:r>
          </w:p>
        </w:tc>
      </w:tr>
    </w:tbl>
    <w:p>
      <w:pPr>
        <w:pStyle w:val="ManualHeading2"/>
        <w:rPr>
          <w:bCs/>
          <w:noProof/>
          <w:szCs w:val="24"/>
        </w:rPr>
      </w:pPr>
      <w:r>
        <w:t>3.2.</w:t>
      </w:r>
      <w:r>
        <w:tab/>
      </w:r>
      <w:r>
        <w:rPr>
          <w:noProof/>
        </w:rPr>
        <w:t xml:space="preserve">Szacunkowy wpływ na wydatki </w:t>
      </w:r>
    </w:p>
    <w:p>
      <w:pPr>
        <w:pStyle w:val="ManualHeading3"/>
        <w:rPr>
          <w:noProof/>
          <w:u w:val="single"/>
        </w:rPr>
      </w:pPr>
      <w:r>
        <w:t>3.2.1.</w:t>
      </w:r>
      <w:r>
        <w:tab/>
      </w:r>
      <w:r>
        <w:rPr>
          <w:noProof/>
        </w:rPr>
        <w:t xml:space="preserve">Synteza szacunkowego wpływu na wydatki 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W mln EUR (do trzech miejsc po przecinku)</w:t>
      </w:r>
    </w:p>
    <w:tbl>
      <w:tblPr>
        <w:tblW w:w="0" w:type="auto"/>
        <w:jc w:val="center"/>
        <w:tblInd w:w="-1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3027"/>
        <w:gridCol w:w="1060"/>
        <w:gridCol w:w="166"/>
        <w:gridCol w:w="1496"/>
        <w:gridCol w:w="120"/>
        <w:gridCol w:w="534"/>
        <w:gridCol w:w="868"/>
        <w:gridCol w:w="868"/>
        <w:gridCol w:w="792"/>
        <w:gridCol w:w="944"/>
        <w:gridCol w:w="868"/>
        <w:gridCol w:w="868"/>
        <w:gridCol w:w="868"/>
        <w:gridCol w:w="530"/>
        <w:gridCol w:w="1167"/>
      </w:tblGrid>
      <w:tr>
        <w:trPr>
          <w:gridAfter w:val="1"/>
          <w:wAfter w:w="1167" w:type="dxa"/>
          <w:jc w:val="center"/>
        </w:trPr>
        <w:tc>
          <w:tcPr>
            <w:tcW w:w="4234" w:type="dxa"/>
            <w:gridSpan w:val="2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Dział wieloletnich ram</w:t>
            </w:r>
            <w:r>
              <w:rPr>
                <w:noProof/>
              </w:rPr>
              <w:br/>
              <w:t xml:space="preserve"> </w:t>
            </w:r>
            <w:r>
              <w:rPr>
                <w:b/>
                <w:noProof/>
                <w:sz w:val="20"/>
              </w:rPr>
              <w:t>finansowych</w:t>
            </w:r>
            <w:r>
              <w:rPr>
                <w:noProof/>
              </w:rPr>
              <w:t xml:space="preserve"> </w:t>
            </w:r>
          </w:p>
        </w:tc>
        <w:tc>
          <w:tcPr>
            <w:tcW w:w="1060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Numer</w:t>
            </w:r>
          </w:p>
        </w:tc>
        <w:tc>
          <w:tcPr>
            <w:tcW w:w="8922" w:type="dxa"/>
            <w:gridSpan w:val="12"/>
            <w:vAlign w:val="center"/>
          </w:tcPr>
          <w:p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Dział 4 Globalny wymiar Europy</w:t>
            </w:r>
          </w:p>
        </w:tc>
      </w:tr>
      <w:tr>
        <w:tblPrEx>
          <w:jc w:val="left"/>
        </w:tblPrEx>
        <w:trPr>
          <w:gridBefore w:val="1"/>
          <w:wBefore w:w="1207" w:type="dxa"/>
        </w:trPr>
        <w:tc>
          <w:tcPr>
            <w:tcW w:w="4253" w:type="dxa"/>
            <w:gridSpan w:val="3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DG: FPI/DEVCO</w:t>
            </w:r>
          </w:p>
        </w:tc>
        <w:tc>
          <w:tcPr>
            <w:tcW w:w="1616" w:type="dxa"/>
            <w:gridSpan w:val="2"/>
          </w:tcPr>
          <w:p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34" w:type="dxa"/>
          </w:tcPr>
          <w:p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>
            <w:pPr>
              <w:ind w:left="2551" w:hanging="567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b/>
                <w:noProof/>
                <w:sz w:val="18"/>
              </w:rPr>
              <w:t>2017</w:t>
            </w:r>
            <w:r>
              <w:rPr>
                <w:rStyle w:val="FootnoteReference"/>
                <w:b/>
                <w:noProof/>
                <w:sz w:val="18"/>
              </w:rPr>
              <w:footnoteReference w:id="29"/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noProof/>
                <w:sz w:val="18"/>
              </w:rPr>
              <w:t>2018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b/>
                <w:noProof/>
                <w:sz w:val="18"/>
              </w:rPr>
              <w:t>2019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b/>
                <w:noProof/>
                <w:sz w:val="18"/>
              </w:rPr>
              <w:t>2020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Wprowadzić taką liczbę kolumn dla poszczególnych lat, jaka jest niezbędna, by odzwierciedlić cały okres wpływu (por. pkt 1.6)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OGÓŁEM</w:t>
            </w:r>
          </w:p>
        </w:tc>
      </w:tr>
      <w:tr>
        <w:tblPrEx>
          <w:jc w:val="left"/>
        </w:tblPrEx>
        <w:trPr>
          <w:gridBefore w:val="1"/>
          <w:wBefore w:w="1207" w:type="dxa"/>
          <w:trHeight w:val="213"/>
        </w:trPr>
        <w:tc>
          <w:tcPr>
            <w:tcW w:w="6403" w:type="dxa"/>
            <w:gridSpan w:val="6"/>
            <w:vAlign w:val="center"/>
          </w:tcPr>
          <w:p>
            <w:pPr>
              <w:spacing w:before="0" w:after="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sym w:font="Wingdings" w:char="F09F"/>
            </w:r>
            <w:r>
              <w:rPr>
                <w:noProof/>
                <w:sz w:val="18"/>
              </w:rPr>
              <w:t xml:space="preserve"> Środki operacyjne</w:t>
            </w:r>
          </w:p>
        </w:tc>
        <w:tc>
          <w:tcPr>
            <w:tcW w:w="868" w:type="dxa"/>
            <w:vAlign w:val="center"/>
          </w:tcPr>
          <w:p>
            <w:pPr>
              <w:spacing w:before="0" w:after="0"/>
              <w:rPr>
                <w:noProof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0" w:after="0"/>
              <w:rPr>
                <w:noProof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before="0" w:after="0"/>
              <w:rPr>
                <w:noProof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before="0" w:after="0"/>
              <w:rPr>
                <w:noProof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0" w:after="0"/>
              <w:rPr>
                <w:noProof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0" w:after="0"/>
              <w:rPr>
                <w:noProof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0" w:after="0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before="0" w:after="0"/>
              <w:rPr>
                <w:b/>
                <w:noProof/>
                <w:sz w:val="18"/>
                <w:szCs w:val="18"/>
              </w:rPr>
            </w:pPr>
          </w:p>
        </w:tc>
      </w:tr>
      <w:tr>
        <w:tblPrEx>
          <w:jc w:val="left"/>
        </w:tblPrEx>
        <w:trPr>
          <w:gridBefore w:val="1"/>
          <w:wBefore w:w="1207" w:type="dxa"/>
          <w:trHeight w:val="277"/>
        </w:trPr>
        <w:tc>
          <w:tcPr>
            <w:tcW w:w="4253" w:type="dxa"/>
            <w:gridSpan w:val="3"/>
            <w:vMerge w:val="restart"/>
            <w:vAlign w:val="center"/>
          </w:tcPr>
          <w:p>
            <w:pPr>
              <w:spacing w:before="0" w:after="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Numer linii budżetowej: 19 02 01</w:t>
            </w:r>
          </w:p>
        </w:tc>
        <w:tc>
          <w:tcPr>
            <w:tcW w:w="1496" w:type="dxa"/>
            <w:vAlign w:val="center"/>
          </w:tcPr>
          <w:p>
            <w:pPr>
              <w:spacing w:before="0" w:after="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Środki na zobowiązania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0" w:after="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(1)</w:t>
            </w:r>
          </w:p>
        </w:tc>
        <w:tc>
          <w:tcPr>
            <w:tcW w:w="868" w:type="dxa"/>
            <w:vAlign w:val="center"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6,600</w:t>
            </w:r>
          </w:p>
        </w:tc>
        <w:tc>
          <w:tcPr>
            <w:tcW w:w="868" w:type="dxa"/>
            <w:vAlign w:val="center"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20,400</w:t>
            </w:r>
          </w:p>
        </w:tc>
        <w:tc>
          <w:tcPr>
            <w:tcW w:w="792" w:type="dxa"/>
            <w:vAlign w:val="center"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20,350</w:t>
            </w:r>
          </w:p>
        </w:tc>
        <w:tc>
          <w:tcPr>
            <w:tcW w:w="944" w:type="dxa"/>
            <w:vAlign w:val="center"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20,700</w:t>
            </w:r>
          </w:p>
        </w:tc>
        <w:tc>
          <w:tcPr>
            <w:tcW w:w="868" w:type="dxa"/>
            <w:vAlign w:val="center"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0" w:after="0"/>
              <w:jc w:val="righ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before="0" w:after="0"/>
              <w:jc w:val="right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68,050</w:t>
            </w:r>
          </w:p>
        </w:tc>
      </w:tr>
      <w:tr>
        <w:tblPrEx>
          <w:jc w:val="left"/>
        </w:tblPrEx>
        <w:trPr>
          <w:gridBefore w:val="1"/>
          <w:wBefore w:w="1207" w:type="dxa"/>
        </w:trPr>
        <w:tc>
          <w:tcPr>
            <w:tcW w:w="4253" w:type="dxa"/>
            <w:gridSpan w:val="3"/>
            <w:vMerge/>
          </w:tcPr>
          <w:p>
            <w:pPr>
              <w:spacing w:before="0" w:after="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before="0" w:after="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Środki na płatności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0" w:after="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(2)</w:t>
            </w:r>
          </w:p>
        </w:tc>
        <w:tc>
          <w:tcPr>
            <w:tcW w:w="868" w:type="dxa"/>
            <w:vAlign w:val="center"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</w:t>
            </w:r>
          </w:p>
        </w:tc>
        <w:tc>
          <w:tcPr>
            <w:tcW w:w="868" w:type="dxa"/>
            <w:vAlign w:val="center"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10,000</w:t>
            </w:r>
          </w:p>
        </w:tc>
        <w:tc>
          <w:tcPr>
            <w:tcW w:w="792" w:type="dxa"/>
            <w:vAlign w:val="center"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15,000</w:t>
            </w:r>
          </w:p>
        </w:tc>
        <w:tc>
          <w:tcPr>
            <w:tcW w:w="944" w:type="dxa"/>
            <w:vAlign w:val="center"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20,000</w:t>
            </w:r>
          </w:p>
        </w:tc>
        <w:tc>
          <w:tcPr>
            <w:tcW w:w="868" w:type="dxa"/>
            <w:vAlign w:val="center"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0" w:after="0"/>
              <w:jc w:val="righ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before="0" w:after="0"/>
              <w:jc w:val="right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45,000</w:t>
            </w:r>
          </w:p>
        </w:tc>
      </w:tr>
      <w:tr>
        <w:tblPrEx>
          <w:jc w:val="left"/>
        </w:tblPrEx>
        <w:trPr>
          <w:gridBefore w:val="1"/>
          <w:wBefore w:w="1207" w:type="dxa"/>
        </w:trPr>
        <w:tc>
          <w:tcPr>
            <w:tcW w:w="4253" w:type="dxa"/>
            <w:gridSpan w:val="3"/>
            <w:vMerge w:val="restart"/>
            <w:vAlign w:val="center"/>
          </w:tcPr>
          <w:p>
            <w:pPr>
              <w:spacing w:before="0" w:after="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Numer linii budżetowej: 19 02 02</w:t>
            </w:r>
          </w:p>
        </w:tc>
        <w:tc>
          <w:tcPr>
            <w:tcW w:w="1496" w:type="dxa"/>
            <w:vAlign w:val="center"/>
          </w:tcPr>
          <w:p>
            <w:pPr>
              <w:spacing w:before="0" w:after="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Środki na zobowiązania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0" w:after="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(1a)</w:t>
            </w:r>
          </w:p>
        </w:tc>
        <w:tc>
          <w:tcPr>
            <w:tcW w:w="868" w:type="dxa"/>
            <w:vAlign w:val="center"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0,608</w:t>
            </w:r>
          </w:p>
        </w:tc>
        <w:tc>
          <w:tcPr>
            <w:tcW w:w="868" w:type="dxa"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2,678</w:t>
            </w:r>
          </w:p>
        </w:tc>
        <w:tc>
          <w:tcPr>
            <w:tcW w:w="792" w:type="dxa"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2,528</w:t>
            </w:r>
          </w:p>
        </w:tc>
        <w:tc>
          <w:tcPr>
            <w:tcW w:w="944" w:type="dxa"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2,177</w:t>
            </w:r>
          </w:p>
        </w:tc>
        <w:tc>
          <w:tcPr>
            <w:tcW w:w="868" w:type="dxa"/>
            <w:vAlign w:val="center"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0" w:after="0"/>
              <w:jc w:val="righ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before="0" w:after="0"/>
              <w:jc w:val="right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7,990</w:t>
            </w:r>
          </w:p>
        </w:tc>
      </w:tr>
      <w:tr>
        <w:tblPrEx>
          <w:jc w:val="left"/>
        </w:tblPrEx>
        <w:trPr>
          <w:gridBefore w:val="1"/>
          <w:wBefore w:w="1207" w:type="dxa"/>
        </w:trPr>
        <w:tc>
          <w:tcPr>
            <w:tcW w:w="4253" w:type="dxa"/>
            <w:gridSpan w:val="3"/>
            <w:vMerge/>
          </w:tcPr>
          <w:p>
            <w:pPr>
              <w:spacing w:before="0" w:after="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before="0" w:after="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Środki na płatności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0" w:after="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(2a)</w:t>
            </w:r>
          </w:p>
        </w:tc>
        <w:tc>
          <w:tcPr>
            <w:tcW w:w="868" w:type="dxa"/>
            <w:vAlign w:val="center"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</w:t>
            </w:r>
          </w:p>
        </w:tc>
        <w:tc>
          <w:tcPr>
            <w:tcW w:w="868" w:type="dxa"/>
            <w:vAlign w:val="center"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1,000</w:t>
            </w:r>
          </w:p>
        </w:tc>
        <w:tc>
          <w:tcPr>
            <w:tcW w:w="792" w:type="dxa"/>
            <w:vAlign w:val="center"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2,000</w:t>
            </w:r>
          </w:p>
        </w:tc>
        <w:tc>
          <w:tcPr>
            <w:tcW w:w="944" w:type="dxa"/>
            <w:vAlign w:val="center"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2,000</w:t>
            </w:r>
          </w:p>
        </w:tc>
        <w:tc>
          <w:tcPr>
            <w:tcW w:w="868" w:type="dxa"/>
            <w:vAlign w:val="center"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0" w:after="0"/>
              <w:jc w:val="righ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before="0" w:after="0"/>
              <w:jc w:val="right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5,000</w:t>
            </w:r>
          </w:p>
        </w:tc>
      </w:tr>
      <w:tr>
        <w:tblPrEx>
          <w:jc w:val="left"/>
        </w:tblPrEx>
        <w:trPr>
          <w:gridBefore w:val="1"/>
          <w:wBefore w:w="1207" w:type="dxa"/>
        </w:trPr>
        <w:tc>
          <w:tcPr>
            <w:tcW w:w="4253" w:type="dxa"/>
            <w:gridSpan w:val="3"/>
            <w:vMerge w:val="restart"/>
          </w:tcPr>
          <w:p>
            <w:pPr>
              <w:spacing w:before="0"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Numer linii budżetowej: 21 05 01</w:t>
            </w:r>
          </w:p>
        </w:tc>
        <w:tc>
          <w:tcPr>
            <w:tcW w:w="1496" w:type="dxa"/>
            <w:vAlign w:val="center"/>
          </w:tcPr>
          <w:p>
            <w:pPr>
              <w:spacing w:before="0" w:after="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Środki na zobowiązania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0" w:after="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(1b)</w:t>
            </w:r>
          </w:p>
        </w:tc>
        <w:tc>
          <w:tcPr>
            <w:tcW w:w="868" w:type="dxa"/>
            <w:vAlign w:val="center"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2,150</w:t>
            </w:r>
          </w:p>
        </w:tc>
        <w:tc>
          <w:tcPr>
            <w:tcW w:w="868" w:type="dxa"/>
            <w:vAlign w:val="center"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6,250</w:t>
            </w:r>
          </w:p>
        </w:tc>
        <w:tc>
          <w:tcPr>
            <w:tcW w:w="792" w:type="dxa"/>
            <w:vAlign w:val="center"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6,300</w:t>
            </w:r>
          </w:p>
        </w:tc>
        <w:tc>
          <w:tcPr>
            <w:tcW w:w="944" w:type="dxa"/>
            <w:vAlign w:val="center"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6,300</w:t>
            </w:r>
          </w:p>
        </w:tc>
        <w:tc>
          <w:tcPr>
            <w:tcW w:w="868" w:type="dxa"/>
            <w:vAlign w:val="center"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0" w:after="0"/>
              <w:jc w:val="righ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before="0" w:after="0"/>
              <w:jc w:val="right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21,000</w:t>
            </w:r>
          </w:p>
        </w:tc>
      </w:tr>
      <w:tr>
        <w:tblPrEx>
          <w:jc w:val="left"/>
        </w:tblPrEx>
        <w:trPr>
          <w:gridBefore w:val="1"/>
          <w:wBefore w:w="1207" w:type="dxa"/>
        </w:trPr>
        <w:tc>
          <w:tcPr>
            <w:tcW w:w="4253" w:type="dxa"/>
            <w:gridSpan w:val="3"/>
            <w:vMerge/>
          </w:tcPr>
          <w:p>
            <w:pPr>
              <w:spacing w:before="0" w:after="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before="0" w:after="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Środki na płatności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0" w:after="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(2b)</w:t>
            </w:r>
          </w:p>
        </w:tc>
        <w:tc>
          <w:tcPr>
            <w:tcW w:w="868" w:type="dxa"/>
            <w:vAlign w:val="center"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</w:t>
            </w:r>
          </w:p>
        </w:tc>
        <w:tc>
          <w:tcPr>
            <w:tcW w:w="868" w:type="dxa"/>
            <w:vAlign w:val="center"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3,000</w:t>
            </w:r>
          </w:p>
        </w:tc>
        <w:tc>
          <w:tcPr>
            <w:tcW w:w="792" w:type="dxa"/>
            <w:vAlign w:val="center"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4,000</w:t>
            </w:r>
          </w:p>
        </w:tc>
        <w:tc>
          <w:tcPr>
            <w:tcW w:w="944" w:type="dxa"/>
            <w:vAlign w:val="center"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6,000</w:t>
            </w:r>
          </w:p>
        </w:tc>
        <w:tc>
          <w:tcPr>
            <w:tcW w:w="868" w:type="dxa"/>
            <w:vAlign w:val="center"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0" w:after="0"/>
              <w:jc w:val="righ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before="0" w:after="0"/>
              <w:jc w:val="right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13,000</w:t>
            </w:r>
          </w:p>
        </w:tc>
      </w:tr>
      <w:tr>
        <w:tblPrEx>
          <w:jc w:val="left"/>
        </w:tblPrEx>
        <w:trPr>
          <w:gridBefore w:val="1"/>
          <w:wBefore w:w="1207" w:type="dxa"/>
          <w:trHeight w:val="231"/>
        </w:trPr>
        <w:tc>
          <w:tcPr>
            <w:tcW w:w="7271" w:type="dxa"/>
            <w:gridSpan w:val="7"/>
            <w:vAlign w:val="center"/>
          </w:tcPr>
          <w:p>
            <w:pPr>
              <w:spacing w:before="0" w:after="0"/>
              <w:rPr>
                <w:b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Środki administracyjne finansowane ze środków przydzielonych na określone programy</w:t>
            </w:r>
            <w:r>
              <w:rPr>
                <w:rStyle w:val="FootnoteReference"/>
                <w:noProof/>
                <w:sz w:val="18"/>
              </w:rPr>
              <w:footnoteReference w:id="30"/>
            </w:r>
            <w:r>
              <w:rPr>
                <w:noProof/>
                <w:sz w:val="18"/>
              </w:rPr>
              <w:t xml:space="preserve"> </w:t>
            </w:r>
          </w:p>
        </w:tc>
        <w:tc>
          <w:tcPr>
            <w:tcW w:w="868" w:type="dxa"/>
            <w:vAlign w:val="center"/>
          </w:tcPr>
          <w:p>
            <w:pPr>
              <w:spacing w:before="0" w:after="0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before="0" w:after="0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before="0" w:after="0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0" w:after="0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0" w:after="0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0" w:after="0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before="0" w:after="0"/>
              <w:rPr>
                <w:b/>
                <w:noProof/>
                <w:sz w:val="18"/>
                <w:szCs w:val="18"/>
              </w:rPr>
            </w:pPr>
          </w:p>
        </w:tc>
      </w:tr>
      <w:tr>
        <w:tblPrEx>
          <w:jc w:val="left"/>
        </w:tblPrEx>
        <w:trPr>
          <w:gridBefore w:val="1"/>
          <w:wBefore w:w="1207" w:type="dxa"/>
          <w:trHeight w:val="319"/>
        </w:trPr>
        <w:tc>
          <w:tcPr>
            <w:tcW w:w="4253" w:type="dxa"/>
            <w:gridSpan w:val="3"/>
            <w:vAlign w:val="center"/>
          </w:tcPr>
          <w:p>
            <w:pPr>
              <w:spacing w:before="0" w:after="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Numer linii budżetowej: 19.01.04.01</w:t>
            </w:r>
          </w:p>
        </w:tc>
        <w:tc>
          <w:tcPr>
            <w:tcW w:w="1496" w:type="dxa"/>
            <w:vAlign w:val="center"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0" w:after="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(3)</w:t>
            </w:r>
          </w:p>
        </w:tc>
        <w:tc>
          <w:tcPr>
            <w:tcW w:w="868" w:type="dxa"/>
            <w:vAlign w:val="center"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0,643</w:t>
            </w:r>
          </w:p>
        </w:tc>
        <w:tc>
          <w:tcPr>
            <w:tcW w:w="868" w:type="dxa"/>
            <w:vAlign w:val="center"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0,673</w:t>
            </w:r>
          </w:p>
        </w:tc>
        <w:tc>
          <w:tcPr>
            <w:tcW w:w="792" w:type="dxa"/>
            <w:vAlign w:val="center"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0,823</w:t>
            </w:r>
          </w:p>
        </w:tc>
        <w:tc>
          <w:tcPr>
            <w:tcW w:w="944" w:type="dxa"/>
            <w:vAlign w:val="center"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0,823</w:t>
            </w:r>
          </w:p>
        </w:tc>
        <w:tc>
          <w:tcPr>
            <w:tcW w:w="868" w:type="dxa"/>
            <w:vAlign w:val="center"/>
          </w:tcPr>
          <w:p>
            <w:pPr>
              <w:spacing w:before="0" w:after="0"/>
              <w:jc w:val="righ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0" w:after="0"/>
              <w:jc w:val="righ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0" w:after="0"/>
              <w:jc w:val="righ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before="0" w:after="0"/>
              <w:jc w:val="right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2,962</w:t>
            </w:r>
          </w:p>
        </w:tc>
      </w:tr>
      <w:tr>
        <w:tblPrEx>
          <w:jc w:val="left"/>
        </w:tblPrEx>
        <w:trPr>
          <w:gridBefore w:val="1"/>
          <w:wBefore w:w="1207" w:type="dxa"/>
          <w:trHeight w:val="319"/>
        </w:trPr>
        <w:tc>
          <w:tcPr>
            <w:tcW w:w="4253" w:type="dxa"/>
            <w:gridSpan w:val="3"/>
            <w:vAlign w:val="center"/>
          </w:tcPr>
          <w:p>
            <w:pPr>
              <w:spacing w:before="0" w:after="0"/>
              <w:rPr>
                <w:noProof/>
                <w:sz w:val="18"/>
                <w:szCs w:val="18"/>
                <w:highlight w:val="yellow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  <w:highlight w:val="yellow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0" w:after="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(3a)</w:t>
            </w:r>
          </w:p>
        </w:tc>
        <w:tc>
          <w:tcPr>
            <w:tcW w:w="868" w:type="dxa"/>
            <w:vAlign w:val="center"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</w:t>
            </w:r>
          </w:p>
        </w:tc>
        <w:tc>
          <w:tcPr>
            <w:tcW w:w="868" w:type="dxa"/>
            <w:vAlign w:val="center"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</w:t>
            </w:r>
          </w:p>
        </w:tc>
        <w:tc>
          <w:tcPr>
            <w:tcW w:w="792" w:type="dxa"/>
            <w:vAlign w:val="center"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</w:t>
            </w:r>
          </w:p>
        </w:tc>
        <w:tc>
          <w:tcPr>
            <w:tcW w:w="944" w:type="dxa"/>
            <w:vAlign w:val="center"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</w:t>
            </w:r>
          </w:p>
        </w:tc>
        <w:tc>
          <w:tcPr>
            <w:tcW w:w="868" w:type="dxa"/>
            <w:vAlign w:val="center"/>
          </w:tcPr>
          <w:p>
            <w:pPr>
              <w:spacing w:before="0" w:after="0"/>
              <w:jc w:val="righ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0" w:after="0"/>
              <w:jc w:val="righ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0" w:after="0"/>
              <w:jc w:val="righ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before="0" w:after="0"/>
              <w:jc w:val="right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0,000</w:t>
            </w:r>
          </w:p>
        </w:tc>
      </w:tr>
      <w:tr>
        <w:tblPrEx>
          <w:jc w:val="left"/>
        </w:tblPrEx>
        <w:trPr>
          <w:gridBefore w:val="1"/>
          <w:wBefore w:w="1207" w:type="dxa"/>
        </w:trPr>
        <w:tc>
          <w:tcPr>
            <w:tcW w:w="4253" w:type="dxa"/>
            <w:gridSpan w:val="3"/>
            <w:vMerge w:val="restart"/>
            <w:vAlign w:val="center"/>
          </w:tcPr>
          <w:p>
            <w:pPr>
              <w:spacing w:before="0" w:after="0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OGÓŁEM środki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8"/>
              </w:rPr>
              <w:t>dla FPI/DEVCO</w:t>
            </w:r>
          </w:p>
        </w:tc>
        <w:tc>
          <w:tcPr>
            <w:tcW w:w="1496" w:type="dxa"/>
            <w:vAlign w:val="center"/>
          </w:tcPr>
          <w:p>
            <w:pPr>
              <w:spacing w:before="0" w:after="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Środki na zobowiązania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0" w:after="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=1+1a +1b+3</w:t>
            </w:r>
          </w:p>
        </w:tc>
        <w:tc>
          <w:tcPr>
            <w:tcW w:w="868" w:type="dxa"/>
            <w:vAlign w:val="center"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10,0</w:t>
            </w:r>
          </w:p>
        </w:tc>
        <w:tc>
          <w:tcPr>
            <w:tcW w:w="868" w:type="dxa"/>
            <w:vAlign w:val="center"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30,0</w:t>
            </w:r>
          </w:p>
        </w:tc>
        <w:tc>
          <w:tcPr>
            <w:tcW w:w="792" w:type="dxa"/>
            <w:vAlign w:val="center"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30,0</w:t>
            </w:r>
          </w:p>
        </w:tc>
        <w:tc>
          <w:tcPr>
            <w:tcW w:w="944" w:type="dxa"/>
            <w:vAlign w:val="center"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30,0</w:t>
            </w:r>
          </w:p>
        </w:tc>
        <w:tc>
          <w:tcPr>
            <w:tcW w:w="868" w:type="dxa"/>
            <w:vAlign w:val="center"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0" w:after="0"/>
              <w:jc w:val="righ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before="0" w:after="0"/>
              <w:jc w:val="right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100,000</w:t>
            </w:r>
          </w:p>
        </w:tc>
      </w:tr>
      <w:tr>
        <w:tblPrEx>
          <w:jc w:val="left"/>
        </w:tblPrEx>
        <w:trPr>
          <w:gridBefore w:val="1"/>
          <w:wBefore w:w="1207" w:type="dxa"/>
        </w:trPr>
        <w:tc>
          <w:tcPr>
            <w:tcW w:w="4253" w:type="dxa"/>
            <w:gridSpan w:val="3"/>
            <w:vMerge/>
          </w:tcPr>
          <w:p>
            <w:pPr>
              <w:spacing w:before="0" w:after="0"/>
              <w:rPr>
                <w:noProof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before="0" w:after="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Środki na płatności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spacing w:before="0" w:after="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=2+2a+2b</w:t>
            </w:r>
          </w:p>
          <w:p>
            <w:pPr>
              <w:spacing w:before="0" w:after="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+3+3a</w:t>
            </w:r>
          </w:p>
        </w:tc>
        <w:tc>
          <w:tcPr>
            <w:tcW w:w="868" w:type="dxa"/>
            <w:vAlign w:val="center"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</w:t>
            </w:r>
          </w:p>
        </w:tc>
        <w:tc>
          <w:tcPr>
            <w:tcW w:w="868" w:type="dxa"/>
            <w:vAlign w:val="center"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14,0</w:t>
            </w:r>
          </w:p>
        </w:tc>
        <w:tc>
          <w:tcPr>
            <w:tcW w:w="792" w:type="dxa"/>
            <w:vAlign w:val="center"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21,0</w:t>
            </w:r>
          </w:p>
        </w:tc>
        <w:tc>
          <w:tcPr>
            <w:tcW w:w="944" w:type="dxa"/>
            <w:vAlign w:val="center"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28,0</w:t>
            </w:r>
          </w:p>
        </w:tc>
        <w:tc>
          <w:tcPr>
            <w:tcW w:w="868" w:type="dxa"/>
            <w:vAlign w:val="center"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0" w:after="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0" w:after="0"/>
              <w:jc w:val="righ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before="0" w:after="0"/>
              <w:jc w:val="right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66,600</w:t>
            </w:r>
          </w:p>
        </w:tc>
      </w:tr>
    </w:tbl>
    <w:p>
      <w:pPr>
        <w:rPr>
          <w:noProof/>
        </w:rPr>
      </w:pPr>
      <w:r>
        <w:rPr>
          <w:noProof/>
        </w:rPr>
        <w:br w:type="page"/>
      </w:r>
    </w:p>
    <w:tbl>
      <w:tblPr>
        <w:tblW w:w="0" w:type="auto"/>
        <w:jc w:val="center"/>
        <w:tblInd w:w="-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1080"/>
        <w:gridCol w:w="7817"/>
      </w:tblGrid>
      <w:tr>
        <w:trPr>
          <w:jc w:val="center"/>
        </w:trPr>
        <w:tc>
          <w:tcPr>
            <w:tcW w:w="4744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b/>
                <w:noProof/>
              </w:rPr>
            </w:pPr>
            <w:r>
              <w:rPr>
                <w:noProof/>
              </w:rPr>
              <w:br w:type="page"/>
            </w:r>
            <w:r>
              <w:rPr>
                <w:b/>
                <w:noProof/>
                <w:sz w:val="22"/>
              </w:rPr>
              <w:t>Dział wieloletnich ram</w:t>
            </w:r>
            <w:r>
              <w:rPr>
                <w:noProof/>
              </w:rPr>
              <w:br/>
              <w:t xml:space="preserve"> </w:t>
            </w:r>
            <w:r>
              <w:rPr>
                <w:b/>
                <w:noProof/>
                <w:sz w:val="22"/>
              </w:rPr>
              <w:t>finansowych</w:t>
            </w:r>
            <w:r>
              <w:rPr>
                <w:noProof/>
              </w:rPr>
              <w:t xml:space="preserve"> </w:t>
            </w:r>
          </w:p>
        </w:tc>
        <w:tc>
          <w:tcPr>
            <w:tcW w:w="1080" w:type="dxa"/>
            <w:shd w:val="thinDiagStripe" w:color="C0C0C0" w:fill="auto"/>
            <w:vAlign w:val="center"/>
          </w:tcPr>
          <w:p>
            <w:pPr>
              <w:spacing w:before="60" w:after="60"/>
              <w:jc w:val="center"/>
              <w:rPr>
                <w:noProof/>
              </w:rPr>
            </w:pPr>
            <w:r>
              <w:rPr>
                <w:b/>
                <w:noProof/>
                <w:sz w:val="22"/>
              </w:rPr>
              <w:t>5</w:t>
            </w:r>
          </w:p>
        </w:tc>
        <w:tc>
          <w:tcPr>
            <w:tcW w:w="7817" w:type="dxa"/>
            <w:vAlign w:val="center"/>
          </w:tcPr>
          <w:p>
            <w:pPr>
              <w:spacing w:before="60" w:after="60"/>
              <w:rPr>
                <w:noProof/>
              </w:rPr>
            </w:pPr>
            <w:r>
              <w:rPr>
                <w:noProof/>
                <w:sz w:val="22"/>
              </w:rPr>
              <w:t>„Wydatki administracyjne”</w:t>
            </w:r>
          </w:p>
        </w:tc>
      </w:tr>
    </w:tbl>
    <w:p>
      <w:pPr>
        <w:jc w:val="right"/>
        <w:rPr>
          <w:noProof/>
          <w:sz w:val="20"/>
        </w:rPr>
      </w:pPr>
      <w:r>
        <w:rPr>
          <w:noProof/>
          <w:sz w:val="20"/>
        </w:rPr>
        <w:t>W mln EUR (do trzech miejsc po przecinku)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560"/>
        <w:gridCol w:w="53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b/>
                <w:noProof/>
                <w:sz w:val="18"/>
              </w:rPr>
              <w:t>N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b/>
                <w:noProof/>
                <w:sz w:val="18"/>
              </w:rPr>
              <w:t>N+1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b/>
                <w:noProof/>
                <w:sz w:val="18"/>
              </w:rPr>
              <w:t>N+2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b/>
                <w:noProof/>
                <w:sz w:val="18"/>
              </w:rPr>
              <w:t>N+3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 xml:space="preserve">Wprowadzić taką liczbę kolumn dla poszczególnych lat, jaka jest niezbędna, by odzwierciedlić cały okres wpływu (por. pkt 1.6) 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OGÓŁEM</w:t>
            </w:r>
          </w:p>
        </w:tc>
      </w:tr>
      <w:tr>
        <w:trPr>
          <w:gridAfter w:val="10"/>
          <w:wAfter w:w="9947" w:type="dxa"/>
        </w:trPr>
        <w:tc>
          <w:tcPr>
            <w:tcW w:w="3960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DG: FPI</w:t>
            </w:r>
          </w:p>
        </w:tc>
      </w:tr>
      <w:tr>
        <w:trPr>
          <w:trHeight w:val="313"/>
        </w:trPr>
        <w:tc>
          <w:tcPr>
            <w:tcW w:w="6054" w:type="dxa"/>
            <w:gridSpan w:val="3"/>
            <w:vAlign w:val="center"/>
          </w:tcPr>
          <w:p>
            <w:pPr>
              <w:spacing w:before="20" w:after="20"/>
              <w:ind w:left="2551" w:hanging="567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sym w:font="Wingdings" w:char="F09F"/>
            </w:r>
            <w:r>
              <w:rPr>
                <w:noProof/>
                <w:sz w:val="18"/>
              </w:rPr>
              <w:t>Zasoby ludzkie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ind w:left="2551" w:hanging="567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0,746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ind w:left="2551" w:hanging="567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0,746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ind w:left="2551" w:hanging="567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0,746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ind w:left="2551" w:hanging="567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0,746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ind w:left="2551" w:hanging="567"/>
              <w:jc w:val="right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2,984</w:t>
            </w:r>
          </w:p>
        </w:tc>
      </w:tr>
      <w:tr>
        <w:trPr>
          <w:trHeight w:val="351"/>
        </w:trPr>
        <w:tc>
          <w:tcPr>
            <w:tcW w:w="6054" w:type="dxa"/>
            <w:gridSpan w:val="3"/>
            <w:vAlign w:val="center"/>
          </w:tcPr>
          <w:p>
            <w:pPr>
              <w:spacing w:before="20" w:after="20"/>
              <w:ind w:left="2551" w:hanging="567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sym w:font="Wingdings" w:char="F09F"/>
            </w:r>
            <w:r>
              <w:rPr>
                <w:noProof/>
                <w:sz w:val="18"/>
              </w:rPr>
              <w:t>Pozostałe wydatki administracyjne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ind w:left="2551" w:hanging="567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0,06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ind w:left="2551" w:hanging="567"/>
              <w:jc w:val="right"/>
              <w:rPr>
                <w:b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0,06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ind w:left="2551" w:hanging="567"/>
              <w:jc w:val="right"/>
              <w:rPr>
                <w:b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0,06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ind w:left="2551" w:hanging="567"/>
              <w:jc w:val="right"/>
              <w:rPr>
                <w:b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0,06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ind w:left="2551" w:hanging="567"/>
              <w:jc w:val="right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0,240</w:t>
            </w:r>
          </w:p>
        </w:tc>
      </w:tr>
      <w:tr>
        <w:tc>
          <w:tcPr>
            <w:tcW w:w="3960" w:type="dxa"/>
            <w:vAlign w:val="center"/>
          </w:tcPr>
          <w:p>
            <w:pPr>
              <w:ind w:left="2551" w:hanging="567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OGÓŁEM</w:t>
            </w:r>
            <w:r>
              <w:rPr>
                <w:noProof/>
                <w:sz w:val="18"/>
              </w:rPr>
              <w:t xml:space="preserve"> FPI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ind w:left="2551" w:hanging="567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 xml:space="preserve">Środki 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ind w:left="2551" w:hanging="567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0,806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ind w:left="2551" w:hanging="567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0,806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ind w:left="2551" w:hanging="567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0,806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ind w:left="2551" w:hanging="567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0,806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ind w:left="2551" w:hanging="567"/>
              <w:jc w:val="right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3,224</w:t>
            </w:r>
          </w:p>
        </w:tc>
      </w:tr>
      <w:tr>
        <w:trPr>
          <w:gridAfter w:val="10"/>
          <w:wAfter w:w="9947" w:type="dxa"/>
        </w:trPr>
        <w:tc>
          <w:tcPr>
            <w:tcW w:w="3960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DG: DEVCO</w:t>
            </w:r>
          </w:p>
        </w:tc>
      </w:tr>
      <w:tr>
        <w:trPr>
          <w:trHeight w:val="313"/>
        </w:trPr>
        <w:tc>
          <w:tcPr>
            <w:tcW w:w="6054" w:type="dxa"/>
            <w:gridSpan w:val="3"/>
            <w:vAlign w:val="center"/>
          </w:tcPr>
          <w:p>
            <w:pPr>
              <w:spacing w:before="20" w:after="20"/>
              <w:ind w:left="2551" w:hanging="567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sym w:font="Wingdings" w:char="F09F"/>
            </w:r>
            <w:r>
              <w:rPr>
                <w:noProof/>
                <w:sz w:val="18"/>
              </w:rPr>
              <w:t>Zasoby ludzkie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ind w:left="2551" w:hanging="567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0,140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ind w:left="2551" w:hanging="567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0,140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ind w:left="2551" w:hanging="567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0,140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ind w:left="2551" w:hanging="567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0,140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ind w:left="2551" w:hanging="567"/>
              <w:jc w:val="right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0,560</w:t>
            </w:r>
          </w:p>
        </w:tc>
      </w:tr>
      <w:tr>
        <w:trPr>
          <w:trHeight w:val="351"/>
        </w:trPr>
        <w:tc>
          <w:tcPr>
            <w:tcW w:w="6054" w:type="dxa"/>
            <w:gridSpan w:val="3"/>
            <w:vAlign w:val="center"/>
          </w:tcPr>
          <w:p>
            <w:pPr>
              <w:spacing w:before="20" w:after="20"/>
              <w:ind w:left="2551" w:hanging="567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sym w:font="Wingdings" w:char="F09F"/>
            </w:r>
            <w:r>
              <w:rPr>
                <w:noProof/>
                <w:sz w:val="18"/>
              </w:rPr>
              <w:t>Pozostałe wydatki administracyjne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ind w:left="2551" w:hanging="567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ind w:left="2551" w:hanging="567"/>
              <w:jc w:val="right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ind w:left="2551" w:hanging="567"/>
              <w:jc w:val="right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ind w:left="2551" w:hanging="567"/>
              <w:jc w:val="right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ind w:left="2551" w:hanging="567"/>
              <w:jc w:val="right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0,000</w:t>
            </w:r>
          </w:p>
        </w:tc>
      </w:tr>
      <w:tr>
        <w:tc>
          <w:tcPr>
            <w:tcW w:w="3960" w:type="dxa"/>
            <w:vAlign w:val="center"/>
          </w:tcPr>
          <w:p>
            <w:pPr>
              <w:ind w:left="2551" w:hanging="567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OGÓŁEM DG </w:t>
            </w:r>
            <w:r>
              <w:rPr>
                <w:noProof/>
                <w:sz w:val="18"/>
              </w:rPr>
              <w:t>DEVCO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ind w:left="2551" w:hanging="567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 xml:space="preserve">Środki 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ind w:left="2551" w:hanging="567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0,140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ind w:left="2551" w:hanging="567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0,140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ind w:left="2551" w:hanging="567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0,140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ind w:left="2551" w:hanging="567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0,140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ind w:left="2551" w:hanging="567"/>
              <w:jc w:val="right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0,560</w:t>
            </w:r>
          </w:p>
        </w:tc>
      </w:tr>
      <w:tr>
        <w:tc>
          <w:tcPr>
            <w:tcW w:w="3960" w:type="dxa"/>
            <w:shd w:val="thinDiagStripe" w:color="C0C0C0" w:fill="auto"/>
            <w:vAlign w:val="center"/>
          </w:tcPr>
          <w:p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OGÓŁEM środki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8"/>
              </w:rPr>
              <w:t>na DZIAŁ 5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noProof/>
                <w:sz w:val="18"/>
              </w:rPr>
              <w:t xml:space="preserve"> wieloletnich ram finansowych</w:t>
            </w:r>
            <w:r>
              <w:rPr>
                <w:b/>
                <w:noProof/>
                <w:sz w:val="18"/>
              </w:rPr>
              <w:t xml:space="preserve"> 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spacing w:before="40" w:after="4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(Środki na zobowiązania ogółem = Środki na płatności ogółem)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0,946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0,946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0,946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0,946</w:t>
            </w: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20" w:after="20"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20" w:after="20"/>
              <w:jc w:val="right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3,784</w:t>
            </w:r>
          </w:p>
        </w:tc>
      </w:tr>
    </w:tbl>
    <w:p>
      <w:pPr>
        <w:jc w:val="right"/>
        <w:rPr>
          <w:noProof/>
          <w:sz w:val="20"/>
        </w:rPr>
      </w:pPr>
      <w:r>
        <w:rPr>
          <w:noProof/>
          <w:sz w:val="20"/>
        </w:rPr>
        <w:t>W mln EUR (do trzech miejsc po przecinku)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560"/>
        <w:gridCol w:w="53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>
        <w:tc>
          <w:tcPr>
            <w:tcW w:w="396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b/>
                <w:noProof/>
                <w:sz w:val="18"/>
              </w:rPr>
              <w:t>N</w:t>
            </w:r>
            <w:r>
              <w:rPr>
                <w:rStyle w:val="FootnoteReference"/>
                <w:b/>
                <w:noProof/>
                <w:sz w:val="18"/>
              </w:rPr>
              <w:footnoteReference w:id="31"/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b/>
                <w:noProof/>
                <w:sz w:val="18"/>
              </w:rPr>
              <w:t>N+1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b/>
                <w:noProof/>
                <w:sz w:val="18"/>
              </w:rPr>
              <w:t>N+2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b/>
                <w:noProof/>
                <w:sz w:val="18"/>
              </w:rPr>
              <w:t>N+3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Wprowadzić taką liczbę kolumn dla poszczególnych lat, jaka jest niezbędna, by odzwierciedlić cały okres wpływu (por. pkt 1.6)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OGÓŁEM</w:t>
            </w:r>
          </w:p>
        </w:tc>
      </w:tr>
      <w:tr>
        <w:tc>
          <w:tcPr>
            <w:tcW w:w="3960" w:type="dxa"/>
            <w:vMerge w:val="restart"/>
            <w:shd w:val="clear" w:color="auto" w:fill="C0C0C0"/>
            <w:vAlign w:val="center"/>
          </w:tcPr>
          <w:p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OGÓŁEM środki</w:t>
            </w:r>
            <w:r>
              <w:rPr>
                <w:noProof/>
              </w:rPr>
              <w:br/>
            </w:r>
            <w:r>
              <w:rPr>
                <w:b/>
                <w:noProof/>
                <w:sz w:val="18"/>
              </w:rPr>
              <w:t>na DZIAŁY 1 do 5</w:t>
            </w:r>
            <w:r>
              <w:rPr>
                <w:noProof/>
                <w:sz w:val="18"/>
                <w:szCs w:val="18"/>
              </w:rPr>
              <w:br/>
            </w:r>
            <w:r>
              <w:rPr>
                <w:noProof/>
                <w:sz w:val="18"/>
              </w:rPr>
              <w:t xml:space="preserve"> wieloletnich ram finansowych</w:t>
            </w:r>
            <w:r>
              <w:rPr>
                <w:b/>
                <w:noProof/>
                <w:sz w:val="18"/>
              </w:rPr>
              <w:t xml:space="preserve"> 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ind w:left="2551" w:hanging="567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Środki na zobowiązania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ind w:left="2551" w:hanging="567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10,946</w:t>
            </w:r>
          </w:p>
        </w:tc>
        <w:tc>
          <w:tcPr>
            <w:tcW w:w="868" w:type="dxa"/>
          </w:tcPr>
          <w:p>
            <w:pPr>
              <w:ind w:left="2551" w:hanging="567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30,946</w:t>
            </w:r>
          </w:p>
        </w:tc>
        <w:tc>
          <w:tcPr>
            <w:tcW w:w="868" w:type="dxa"/>
          </w:tcPr>
          <w:p>
            <w:pPr>
              <w:ind w:left="2551" w:hanging="567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30,946</w:t>
            </w:r>
          </w:p>
        </w:tc>
        <w:tc>
          <w:tcPr>
            <w:tcW w:w="868" w:type="dxa"/>
          </w:tcPr>
          <w:p>
            <w:pPr>
              <w:ind w:left="2551" w:hanging="567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30,946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60" w:after="60"/>
              <w:ind w:left="2551" w:hanging="567"/>
              <w:jc w:val="right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103,784</w:t>
            </w:r>
          </w:p>
        </w:tc>
      </w:tr>
      <w:tr>
        <w:tc>
          <w:tcPr>
            <w:tcW w:w="3960" w:type="dxa"/>
            <w:vMerge/>
            <w:shd w:val="clear" w:color="auto" w:fill="C0C0C0"/>
          </w:tcPr>
          <w:p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ind w:left="2551" w:hanging="567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Środki na płatności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ind w:left="2551" w:hanging="567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0,946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ind w:left="2551" w:hanging="567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14,946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ind w:left="2551" w:hanging="567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21,946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ind w:left="2551" w:hanging="567"/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28,946</w:t>
            </w: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before="60" w:after="60"/>
              <w:jc w:val="righ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before="60" w:after="60"/>
              <w:ind w:left="2551" w:hanging="567"/>
              <w:jc w:val="right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70,384</w:t>
            </w:r>
          </w:p>
        </w:tc>
      </w:tr>
    </w:tbl>
    <w:p>
      <w:pPr>
        <w:rPr>
          <w:noProof/>
        </w:rPr>
        <w:sectPr>
          <w:headerReference w:type="default" r:id="rId13"/>
          <w:footerReference w:type="default" r:id="rId14"/>
          <w:headerReference w:type="first" r:id="rId15"/>
          <w:footerReference w:type="first" r:id="rId16"/>
          <w:pgSz w:w="16840" w:h="11907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3"/>
        <w:rPr>
          <w:bCs/>
          <w:noProof/>
          <w:szCs w:val="24"/>
        </w:rPr>
      </w:pPr>
      <w:r>
        <w:t>3.2.2.</w:t>
      </w:r>
      <w:r>
        <w:tab/>
      </w:r>
      <w:r>
        <w:rPr>
          <w:noProof/>
        </w:rPr>
        <w:t xml:space="preserve">Szacunkowy wpływ na środki operacyjne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Wniosek/inicjatywa nie wiąże się z koniecznością wykorzystania środków operacyjnych </w:t>
      </w:r>
    </w:p>
    <w:p>
      <w:pPr>
        <w:pStyle w:val="ListDash1"/>
        <w:rPr>
          <w:noProof/>
        </w:rPr>
      </w:pPr>
      <w:r>
        <w:rPr>
          <w:noProof/>
        </w:rPr>
        <w:t>X</w:t>
      </w:r>
      <w:r>
        <w:rPr>
          <w:noProof/>
        </w:rPr>
        <w:sym w:font="Wingdings" w:char="F0A8"/>
      </w:r>
      <w:r>
        <w:rPr>
          <w:noProof/>
        </w:rPr>
        <w:tab/>
        <w:t>Wniosek/inicjatywa wiąże się z koniecznością wykorzystania środków operacyjnych, jak określono poniżej:</w:t>
      </w:r>
    </w:p>
    <w:p>
      <w:pPr>
        <w:pStyle w:val="Text1"/>
        <w:rPr>
          <w:noProof/>
        </w:rPr>
      </w:pPr>
      <w:r>
        <w:rPr>
          <w:noProof/>
          <w:sz w:val="20"/>
        </w:rPr>
        <w:t xml:space="preserve">Orientacyjne </w:t>
      </w:r>
      <w:r>
        <w:rPr>
          <w:noProof/>
        </w:rPr>
        <w:t>produkty dla poszczególnych celów:</w:t>
      </w:r>
    </w:p>
    <w:p>
      <w:pPr>
        <w:pStyle w:val="Bullet1"/>
        <w:rPr>
          <w:noProof/>
        </w:rPr>
      </w:pPr>
      <w:r>
        <w:rPr>
          <w:noProof/>
        </w:rPr>
        <w:t xml:space="preserve">Cel szczegółowy 1 – liczba szacowanych środków reagowania w sytuacjach kryzysu lub początku kryzysu w danym roku budżetowym. </w:t>
      </w:r>
    </w:p>
    <w:p>
      <w:pPr>
        <w:pStyle w:val="Bullet1"/>
        <w:rPr>
          <w:noProof/>
        </w:rPr>
      </w:pPr>
      <w:r>
        <w:rPr>
          <w:noProof/>
        </w:rPr>
        <w:t>Cel szczegółowy 2 – liczba szacowanych działań na rzecz budowania zdolności w zakresie zapobiegania konfliktom, budowania pokoju oraz gotowości na sytuacje kryzysowe w danym roku budżetowym.</w:t>
      </w:r>
    </w:p>
    <w:p>
      <w:pPr>
        <w:pStyle w:val="Bullet1"/>
        <w:rPr>
          <w:noProof/>
        </w:rPr>
      </w:pPr>
      <w:r>
        <w:rPr>
          <w:noProof/>
        </w:rPr>
        <w:t>Cel szczegółowy 3 – liczba przeszkolonych osób lub zakupionego sprzętu w danym roku budżetowym.</w:t>
      </w:r>
    </w:p>
    <w:p>
      <w:pPr>
        <w:jc w:val="right"/>
        <w:rPr>
          <w:noProof/>
          <w:sz w:val="20"/>
        </w:rPr>
      </w:pPr>
    </w:p>
    <w:p>
      <w:pPr>
        <w:jc w:val="right"/>
        <w:rPr>
          <w:noProof/>
          <w:sz w:val="20"/>
        </w:rPr>
      </w:pPr>
      <w:r>
        <w:rPr>
          <w:noProof/>
          <w:sz w:val="20"/>
        </w:rPr>
        <w:t>Środki na zobowiązania w mln EUR (do trzech miejsc po przecinku)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720"/>
        <w:gridCol w:w="701"/>
        <w:gridCol w:w="504"/>
        <w:gridCol w:w="720"/>
        <w:gridCol w:w="540"/>
        <w:gridCol w:w="720"/>
        <w:gridCol w:w="720"/>
        <w:gridCol w:w="720"/>
        <w:gridCol w:w="900"/>
        <w:gridCol w:w="54"/>
        <w:gridCol w:w="666"/>
        <w:gridCol w:w="540"/>
        <w:gridCol w:w="648"/>
        <w:gridCol w:w="432"/>
        <w:gridCol w:w="720"/>
        <w:gridCol w:w="540"/>
        <w:gridCol w:w="720"/>
        <w:gridCol w:w="720"/>
        <w:gridCol w:w="900"/>
      </w:tblGrid>
      <w:tr>
        <w:trPr>
          <w:jc w:val="center"/>
        </w:trPr>
        <w:tc>
          <w:tcPr>
            <w:tcW w:w="1423" w:type="dxa"/>
            <w:vMerge w:val="restart"/>
            <w:vAlign w:val="center"/>
          </w:tcPr>
          <w:p>
            <w:pPr>
              <w:ind w:right="-29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 xml:space="preserve">Określić cele i produkty </w:t>
            </w:r>
          </w:p>
          <w:p>
            <w:pPr>
              <w:ind w:right="-29"/>
              <w:jc w:val="center"/>
              <w:rPr>
                <w:b/>
                <w:noProof/>
                <w:sz w:val="18"/>
                <w:szCs w:val="18"/>
              </w:rPr>
            </w:pPr>
          </w:p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sym w:font="Wingdings" w:char="F0F2"/>
            </w:r>
          </w:p>
        </w:tc>
        <w:tc>
          <w:tcPr>
            <w:tcW w:w="720" w:type="dxa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left w:val="nil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2017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2018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2019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2020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Wprowadzić taką liczbę kolumn dla poszczególnych lat, jaka jest niezbędna, by odzwierciedlić cały okres wpływu (por. pkt 1.6)</w:t>
            </w:r>
          </w:p>
        </w:tc>
        <w:tc>
          <w:tcPr>
            <w:tcW w:w="1620" w:type="dxa"/>
            <w:gridSpan w:val="2"/>
            <w:tcBorders>
              <w:left w:val="nil"/>
              <w:bottom w:val="nil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OGÓŁEM</w:t>
            </w:r>
          </w:p>
        </w:tc>
      </w:tr>
      <w:tr>
        <w:trPr>
          <w:jc w:val="center"/>
        </w:trPr>
        <w:tc>
          <w:tcPr>
            <w:tcW w:w="1423" w:type="dxa"/>
            <w:vMerge/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185" w:type="dxa"/>
            <w:gridSpan w:val="19"/>
            <w:vAlign w:val="center"/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PRODUKTY</w:t>
            </w:r>
          </w:p>
        </w:tc>
      </w:tr>
      <w:tr>
        <w:trPr>
          <w:cantSplit/>
          <w:trHeight w:val="1134"/>
          <w:jc w:val="center"/>
        </w:trPr>
        <w:tc>
          <w:tcPr>
            <w:tcW w:w="1423" w:type="dxa"/>
            <w:vMerge/>
            <w:vAlign w:val="center"/>
          </w:tcPr>
          <w:p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Rodzaj</w:t>
            </w:r>
            <w:r>
              <w:rPr>
                <w:rStyle w:val="FootnoteReference"/>
                <w:noProof/>
              </w:rPr>
              <w:footnoteReference w:id="32"/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Średni koszt</w:t>
            </w:r>
          </w:p>
        </w:tc>
        <w:tc>
          <w:tcPr>
            <w:tcW w:w="504" w:type="dxa"/>
            <w:tcBorders>
              <w:left w:val="nil"/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Liczba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Koszt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Liczba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Koszt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Liczba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Koszt</w:t>
            </w:r>
          </w:p>
        </w:tc>
        <w:tc>
          <w:tcPr>
            <w:tcW w:w="90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Liczba</w:t>
            </w: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Koszt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Liczba</w:t>
            </w:r>
          </w:p>
        </w:tc>
        <w:tc>
          <w:tcPr>
            <w:tcW w:w="648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Koszt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Liczba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Koszt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Liczba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Koszt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Liczba ogółem</w:t>
            </w:r>
          </w:p>
        </w:tc>
        <w:tc>
          <w:tcPr>
            <w:tcW w:w="90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Koszt całkowity</w:t>
            </w:r>
          </w:p>
        </w:tc>
      </w:tr>
      <w:tr>
        <w:trPr>
          <w:trHeight w:val="835"/>
          <w:jc w:val="center"/>
        </w:trPr>
        <w:tc>
          <w:tcPr>
            <w:tcW w:w="2844" w:type="dxa"/>
            <w:gridSpan w:val="3"/>
            <w:vAlign w:val="center"/>
          </w:tcPr>
          <w:p>
            <w:pPr>
              <w:spacing w:before="60" w:after="60"/>
              <w:ind w:right="-29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CEL SZCZEGÓŁOWY nr 1</w:t>
            </w:r>
            <w:r>
              <w:rPr>
                <w:rStyle w:val="FootnoteReference"/>
                <w:noProof/>
              </w:rPr>
              <w:footnoteReference w:id="33"/>
            </w:r>
            <w:r>
              <w:rPr>
                <w:noProof/>
              </w:rPr>
              <w:t xml:space="preserve"> </w:t>
            </w:r>
          </w:p>
          <w:p>
            <w:pPr>
              <w:spacing w:before="60" w:after="60"/>
              <w:ind w:right="-29"/>
              <w:jc w:val="left"/>
              <w:rPr>
                <w:b/>
                <w:noProof/>
                <w:sz w:val="18"/>
              </w:rPr>
            </w:pPr>
          </w:p>
          <w:p>
            <w:pPr>
              <w:spacing w:before="60" w:after="60"/>
              <w:ind w:right="-29"/>
              <w:jc w:val="left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Linia budżetowa: 19 02 01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 Produkt</w:t>
            </w:r>
          </w:p>
        </w:tc>
        <w:tc>
          <w:tcPr>
            <w:tcW w:w="720" w:type="dxa"/>
          </w:tcPr>
          <w:p>
            <w:pPr>
              <w:ind w:right="-29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 Produkt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 Produkt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val="866"/>
          <w:jc w:val="center"/>
        </w:trPr>
        <w:tc>
          <w:tcPr>
            <w:tcW w:w="2844" w:type="dxa"/>
            <w:gridSpan w:val="3"/>
            <w:tcBorders>
              <w:bottom w:val="single" w:sz="12" w:space="0" w:color="auto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  <w:highlight w:val="yellow"/>
              </w:rPr>
            </w:pPr>
            <w:r>
              <w:rPr>
                <w:noProof/>
                <w:sz w:val="18"/>
              </w:rPr>
              <w:t>Cel szczegółowy nr 1 – suma cząstkowa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6,6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20,4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20,4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20,7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68,1</w:t>
            </w:r>
          </w:p>
        </w:tc>
      </w:tr>
      <w:tr>
        <w:trPr>
          <w:jc w:val="center"/>
        </w:trPr>
        <w:tc>
          <w:tcPr>
            <w:tcW w:w="2844" w:type="dxa"/>
            <w:gridSpan w:val="3"/>
            <w:vAlign w:val="center"/>
          </w:tcPr>
          <w:p>
            <w:pPr>
              <w:spacing w:before="60" w:after="60"/>
              <w:ind w:right="-29"/>
              <w:jc w:val="left"/>
              <w:rPr>
                <w:b/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CEL SZCZEGÓŁOWY nr 2 ...</w:t>
            </w:r>
            <w:r>
              <w:rPr>
                <w:noProof/>
              </w:rPr>
              <w:t xml:space="preserve"> </w:t>
            </w:r>
            <w:r>
              <w:rPr>
                <w:b/>
                <w:noProof/>
                <w:sz w:val="18"/>
              </w:rPr>
              <w:t>Linia budżetowa: 19 02 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- Produkt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 Produkt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 Produkt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hRule="exact" w:val="676"/>
          <w:jc w:val="center"/>
        </w:trPr>
        <w:tc>
          <w:tcPr>
            <w:tcW w:w="2844" w:type="dxa"/>
            <w:gridSpan w:val="3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Cel szczegółowy nr 2 – suma cząstkowa</w:t>
            </w:r>
          </w:p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0,6</w:t>
            </w: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2,7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2,5</w:t>
            </w: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20" w:type="dxa"/>
            <w:gridSpan w:val="2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2,2</w:t>
            </w: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8,0</w:t>
            </w:r>
          </w:p>
        </w:tc>
      </w:tr>
      <w:tr>
        <w:trPr>
          <w:trHeight w:hRule="exact" w:val="745"/>
          <w:jc w:val="center"/>
        </w:trPr>
        <w:tc>
          <w:tcPr>
            <w:tcW w:w="2844" w:type="dxa"/>
            <w:gridSpan w:val="3"/>
          </w:tcPr>
          <w:p>
            <w:pPr>
              <w:ind w:right="-29"/>
              <w:jc w:val="left"/>
              <w:rPr>
                <w:noProof/>
              </w:rPr>
            </w:pPr>
            <w:r>
              <w:rPr>
                <w:noProof/>
                <w:sz w:val="18"/>
              </w:rPr>
              <w:t>CEL SZCZEGÓŁOWY NR 3</w:t>
            </w:r>
            <w:r>
              <w:rPr>
                <w:noProof/>
              </w:rPr>
              <w:t xml:space="preserve"> </w:t>
            </w:r>
          </w:p>
          <w:p>
            <w:pPr>
              <w:ind w:right="-29"/>
              <w:jc w:val="left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Linia budżetowa: 21 05 01</w:t>
            </w:r>
          </w:p>
        </w:tc>
        <w:tc>
          <w:tcPr>
            <w:tcW w:w="504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 Produkt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hRule="exact" w:val="510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 Produkt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423" w:type="dxa"/>
          </w:tcPr>
          <w:p>
            <w:pPr>
              <w:ind w:right="-29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- Produkt</w:t>
            </w: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2844" w:type="dxa"/>
            <w:gridSpan w:val="3"/>
            <w:tcBorders>
              <w:bottom w:val="single" w:sz="12" w:space="0" w:color="auto"/>
            </w:tcBorders>
            <w:vAlign w:val="center"/>
          </w:tcPr>
          <w:p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Cel szczegółowy nr 3 – suma cząstkowa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2,1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6,3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6,3</w:t>
            </w:r>
          </w:p>
        </w:tc>
        <w:tc>
          <w:tcPr>
            <w:tcW w:w="954" w:type="dxa"/>
            <w:gridSpan w:val="2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666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6,3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21,0</w:t>
            </w:r>
          </w:p>
        </w:tc>
      </w:tr>
      <w:tr>
        <w:trPr>
          <w:jc w:val="center"/>
        </w:trPr>
        <w:tc>
          <w:tcPr>
            <w:tcW w:w="2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KOSZT OGÓŁEM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30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30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30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100</w:t>
            </w:r>
          </w:p>
        </w:tc>
      </w:tr>
    </w:tbl>
    <w:p>
      <w:pPr>
        <w:jc w:val="left"/>
        <w:rPr>
          <w:noProof/>
          <w:sz w:val="20"/>
        </w:rPr>
      </w:pPr>
    </w:p>
    <w:p>
      <w:pPr>
        <w:jc w:val="left"/>
        <w:rPr>
          <w:noProof/>
          <w:sz w:val="20"/>
        </w:rPr>
      </w:pPr>
      <w:r>
        <w:rPr>
          <w:noProof/>
          <w:sz w:val="20"/>
        </w:rPr>
        <w:t>11. Produkty w ramach celu szczegółowego 1 dla linii budżetowej 19 02 01 nie są objęte programowaniem, a zatem nie można ich skwantyfikować.</w:t>
      </w:r>
    </w:p>
    <w:p>
      <w:pPr>
        <w:jc w:val="right"/>
        <w:rPr>
          <w:noProof/>
          <w:sz w:val="20"/>
        </w:rPr>
      </w:pPr>
    </w:p>
    <w:p>
      <w:pPr>
        <w:rPr>
          <w:noProof/>
        </w:rPr>
        <w:sectPr>
          <w:pgSz w:w="16840" w:h="11907" w:orient="landscape" w:code="9"/>
          <w:pgMar w:top="1134" w:right="1418" w:bottom="567" w:left="1418" w:header="709" w:footer="709" w:gutter="0"/>
          <w:cols w:space="708"/>
          <w:docGrid w:linePitch="360"/>
        </w:sectPr>
      </w:pPr>
    </w:p>
    <w:p>
      <w:pPr>
        <w:pStyle w:val="ManualHeading3"/>
        <w:rPr>
          <w:bCs/>
          <w:noProof/>
          <w:szCs w:val="24"/>
        </w:rPr>
      </w:pPr>
      <w:r>
        <w:t>3.2.3.</w:t>
      </w:r>
      <w:r>
        <w:tab/>
      </w:r>
      <w:r>
        <w:rPr>
          <w:noProof/>
        </w:rPr>
        <w:t>Szacunkowy wpływ na środki administracyjne</w:t>
      </w:r>
    </w:p>
    <w:p>
      <w:pPr>
        <w:pStyle w:val="ManualHeading4"/>
        <w:rPr>
          <w:noProof/>
        </w:rPr>
      </w:pPr>
      <w:r>
        <w:t>3.2.3.1.</w:t>
      </w:r>
      <w:r>
        <w:tab/>
      </w:r>
      <w:r>
        <w:rPr>
          <w:noProof/>
        </w:rPr>
        <w:t xml:space="preserve">Streszczenie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Wniosek/inicjatywa nie wiąże się z koniecznością wykorzystania środków administracyjnych </w:t>
      </w:r>
    </w:p>
    <w:p>
      <w:pPr>
        <w:pStyle w:val="ListDash1"/>
        <w:rPr>
          <w:noProof/>
        </w:rPr>
      </w:pPr>
      <w:r>
        <w:rPr>
          <w:noProof/>
        </w:rPr>
        <w:t>X</w:t>
      </w:r>
      <w:r>
        <w:rPr>
          <w:noProof/>
        </w:rPr>
        <w:tab/>
        <w:t>Wniosek/inicjatywa wiąże się z koniecznością wykorzystania środków administracyjnych, jak określono poniżej:</w:t>
      </w:r>
    </w:p>
    <w:p>
      <w:pPr>
        <w:rPr>
          <w:noProof/>
          <w:sz w:val="20"/>
        </w:rPr>
      </w:pPr>
      <w:r>
        <w:rPr>
          <w:noProof/>
          <w:sz w:val="20"/>
        </w:rPr>
        <w:t>W mln EUR (do trzech miejsc po przecinku)</w:t>
      </w: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3240"/>
        <w:gridCol w:w="1080"/>
      </w:tblGrid>
      <w:tr>
        <w:trPr>
          <w:trHeight w:val="585"/>
        </w:trPr>
        <w:tc>
          <w:tcPr>
            <w:tcW w:w="1980" w:type="dxa"/>
          </w:tcPr>
          <w:p>
            <w:pPr>
              <w:spacing w:before="60" w:after="60" w:line="200" w:lineRule="exac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N</w:t>
            </w:r>
            <w:r>
              <w:rPr>
                <w:rStyle w:val="FootnoteReference"/>
                <w:b/>
                <w:noProof/>
                <w:sz w:val="16"/>
              </w:rPr>
              <w:footnoteReference w:id="34"/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N+1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N+2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N+3</w:t>
            </w:r>
          </w:p>
        </w:tc>
        <w:tc>
          <w:tcPr>
            <w:tcW w:w="3240" w:type="dxa"/>
            <w:vAlign w:val="center"/>
          </w:tcPr>
          <w:p>
            <w:pPr>
              <w:spacing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Wprowadzić taką liczbę kolumn dla poszczególnych lat, jaka jest niezbędna, by odzwierciedlić cały okres wpływu (por. pkt 1.6)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OGÓŁEM</w:t>
            </w: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DZIAŁ 5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wieloletnich ram finansowych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Zasoby ludzkie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0,886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0,886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0,886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0,886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3,544</w:t>
            </w: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Pozostałe wydatki administracyjne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0,060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0,060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0,060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0,060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0,240</w:t>
            </w:r>
          </w:p>
        </w:tc>
      </w:tr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DZIAŁ 5 wieloletnich ram</w:t>
            </w:r>
            <w:r>
              <w:rPr>
                <w:noProof/>
                <w:sz w:val="22"/>
              </w:rPr>
              <w:t xml:space="preserve"> </w:t>
            </w:r>
            <w:r>
              <w:rPr>
                <w:b/>
                <w:noProof/>
                <w:sz w:val="16"/>
              </w:rPr>
              <w:t>finansowych – suma cząstkowa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0,946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0,946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0,946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0,946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3,784</w:t>
            </w:r>
          </w:p>
        </w:tc>
      </w:tr>
    </w:tbl>
    <w:p>
      <w:pPr>
        <w:spacing w:line="200" w:lineRule="exact"/>
        <w:rPr>
          <w:noProof/>
          <w:sz w:val="16"/>
          <w:szCs w:val="16"/>
        </w:rPr>
      </w:pPr>
    </w:p>
    <w:tbl>
      <w:tblPr>
        <w:tblW w:w="1062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Poza DZIAŁEM 5</w:t>
            </w:r>
            <w:r>
              <w:rPr>
                <w:rStyle w:val="FootnoteReference"/>
                <w:b/>
                <w:noProof/>
                <w:sz w:val="16"/>
              </w:rPr>
              <w:footnoteReference w:id="35"/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wieloletnich ram finansowych</w:t>
            </w:r>
            <w:r>
              <w:rPr>
                <w:noProof/>
              </w:rPr>
              <w:t xml:space="preserve">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Zasoby ludzkie </w:t>
            </w:r>
          </w:p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LB 19 01 04 01 *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0,448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0,448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0,448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0,448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1,792</w:t>
            </w:r>
          </w:p>
        </w:tc>
      </w:tr>
      <w:tr>
        <w:trPr>
          <w:trHeight w:val="585"/>
        </w:trPr>
        <w:tc>
          <w:tcPr>
            <w:tcW w:w="1980" w:type="dxa"/>
            <w:vAlign w:val="center"/>
          </w:tcPr>
          <w:p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Pozostałe wydatki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16"/>
              </w:rPr>
              <w:t>administracyjne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0,195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0,225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0,375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0,375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1,170</w:t>
            </w:r>
          </w:p>
        </w:tc>
      </w:tr>
      <w:tr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Poza DZIAŁEM 5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wieloletnich ram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wieloletnich ram finansowych</w:t>
            </w:r>
            <w:r>
              <w:rPr>
                <w:noProof/>
              </w:rPr>
              <w:t xml:space="preserve"> 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0,643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0,673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0,823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0,883.</w:t>
            </w: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3,022</w:t>
            </w:r>
          </w:p>
        </w:tc>
      </w:tr>
    </w:tbl>
    <w:p>
      <w:pPr>
        <w:spacing w:line="200" w:lineRule="exact"/>
        <w:rPr>
          <w:b/>
          <w:noProof/>
          <w:sz w:val="16"/>
          <w:szCs w:val="16"/>
        </w:rPr>
      </w:pPr>
    </w:p>
    <w:tbl>
      <w:tblPr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rPr>
          <w:trHeight w:val="58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OGÓŁEM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1,589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1,619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1,769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1,829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before="60" w:after="60" w:line="200" w:lineRule="exact"/>
              <w:jc w:val="right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rPr>
          <w:noProof/>
          <w:sz w:val="18"/>
        </w:rPr>
      </w:pPr>
      <w:r>
        <w:rPr>
          <w:noProof/>
          <w:sz w:val="18"/>
        </w:rPr>
        <w:t>Potrzeby w zakresie środków na zasoby ludzkie i inne środki o charakterze administracyjnym zostaną pokryte z zasobów DG już przydzielonych na zarządzanie tym działaniem lub przesuniętych w ramach dyrekcji generalnej, uzupełnionych w razie potrzeby wszelkimi dodatkowymi zasobami, które mogą zostać przydzielone zarządzającej dyrekcji generalnej w ramach procedury rocznego przydziału środków oraz w świetle istniejących ograniczeń budżetowych.</w:t>
      </w:r>
    </w:p>
    <w:p>
      <w:pPr>
        <w:rPr>
          <w:noProof/>
          <w:sz w:val="18"/>
        </w:rPr>
      </w:pPr>
      <w:r>
        <w:rPr>
          <w:noProof/>
          <w:sz w:val="18"/>
        </w:rPr>
        <w:t>* Odpowiada 3 etatom pracowników kontaktowych (CA) w ramach linii budżetowej FPI</w:t>
      </w:r>
    </w:p>
    <w:p>
      <w:pPr>
        <w:rPr>
          <w:noProof/>
          <w:sz w:val="18"/>
        </w:rPr>
        <w:sectPr>
          <w:headerReference w:type="default" r:id="rId17"/>
          <w:footerReference w:type="default" r:id="rId18"/>
          <w:headerReference w:type="first" r:id="rId19"/>
          <w:footerReference w:type="first" r:id="rId20"/>
          <w:pgSz w:w="11907" w:h="16840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4"/>
        <w:rPr>
          <w:bCs/>
          <w:noProof/>
          <w:szCs w:val="24"/>
        </w:rPr>
      </w:pPr>
      <w:r>
        <w:t>3.2.3.2.</w:t>
      </w:r>
      <w:r>
        <w:tab/>
      </w:r>
      <w:r>
        <w:rPr>
          <w:noProof/>
        </w:rPr>
        <w:t>Szacowane zapotrzebowanie na zasoby ludzkie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Wniosek/inicjatywa nie wiąże się z koniecznością wykorzystania zasobów ludzkich </w:t>
      </w:r>
    </w:p>
    <w:p>
      <w:pPr>
        <w:pStyle w:val="ListDash1"/>
        <w:rPr>
          <w:noProof/>
        </w:rPr>
      </w:pPr>
      <w:r>
        <w:rPr>
          <w:noProof/>
        </w:rPr>
        <w:t>x</w:t>
      </w:r>
      <w:r>
        <w:rPr>
          <w:noProof/>
        </w:rPr>
        <w:tab/>
        <w:t>Wniosek/inicjatywa wiąże się z koniecznością wykorzystania zasobów ludzkich, jak określono poniżej:</w:t>
      </w:r>
    </w:p>
    <w:p>
      <w:pPr>
        <w:spacing w:after="60"/>
        <w:jc w:val="right"/>
        <w:rPr>
          <w:i/>
          <w:noProof/>
          <w:sz w:val="20"/>
        </w:rPr>
      </w:pPr>
      <w:r>
        <w:rPr>
          <w:i/>
          <w:noProof/>
          <w:sz w:val="20"/>
        </w:rPr>
        <w:t>Wartości szacunkowe należy wyrazić w ekwiwalentach pełnego czasu pracy</w:t>
      </w:r>
    </w:p>
    <w:tbl>
      <w:tblPr>
        <w:tblW w:w="4808" w:type="pct"/>
        <w:jc w:val="center"/>
        <w:tblInd w:w="-22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1943"/>
        <w:gridCol w:w="1113"/>
        <w:gridCol w:w="1079"/>
        <w:gridCol w:w="1022"/>
        <w:gridCol w:w="1118"/>
        <w:gridCol w:w="239"/>
        <w:gridCol w:w="239"/>
        <w:gridCol w:w="238"/>
      </w:tblGrid>
      <w:tr>
        <w:trPr>
          <w:trHeight w:val="289"/>
          <w:jc w:val="center"/>
        </w:trPr>
        <w:tc>
          <w:tcPr>
            <w:tcW w:w="2174" w:type="pct"/>
            <w:gridSpan w:val="2"/>
            <w:shd w:val="clear" w:color="auto" w:fill="auto"/>
          </w:tcPr>
          <w:p>
            <w:pPr>
              <w:pStyle w:val="Text1"/>
              <w:spacing w:before="40" w:after="40"/>
              <w:ind w:left="0"/>
              <w:jc w:val="center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N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N+1</w:t>
            </w:r>
          </w:p>
        </w:tc>
        <w:tc>
          <w:tcPr>
            <w:tcW w:w="572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Rok </w:t>
            </w:r>
            <w:r>
              <w:rPr>
                <w:b/>
                <w:noProof/>
                <w:sz w:val="16"/>
              </w:rPr>
              <w:t>N+2</w:t>
            </w:r>
          </w:p>
        </w:tc>
        <w:tc>
          <w:tcPr>
            <w:tcW w:w="626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Rok </w:t>
            </w:r>
            <w:r>
              <w:rPr>
                <w:b/>
                <w:noProof/>
                <w:sz w:val="16"/>
              </w:rPr>
              <w:t>N+3</w:t>
            </w:r>
          </w:p>
        </w:tc>
        <w:tc>
          <w:tcPr>
            <w:tcW w:w="401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Wprowadzić taką liczbę kolumn dla poszczególnych lat, jaka jest niezbędna, by odzwierciedlić cały okres wpływu (por. pkt 1.6)</w:t>
            </w:r>
          </w:p>
        </w:tc>
      </w:tr>
      <w:tr>
        <w:trPr>
          <w:trHeight w:val="289"/>
          <w:jc w:val="center"/>
        </w:trPr>
        <w:tc>
          <w:tcPr>
            <w:tcW w:w="3973" w:type="pct"/>
            <w:gridSpan w:val="5"/>
            <w:shd w:val="clear" w:color="auto" w:fill="auto"/>
          </w:tcPr>
          <w:p>
            <w:pPr>
              <w:spacing w:before="20" w:after="20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sym w:font="Wingdings" w:char="F09F"/>
            </w:r>
            <w:r>
              <w:rPr>
                <w:b/>
                <w:noProof/>
                <w:sz w:val="16"/>
              </w:rPr>
              <w:t xml:space="preserve"> Stanowiska przewidziane w planie zatrudnienia (stanowiska urzędników i pracowników zatrudnionych na czas określony)</w:t>
            </w:r>
          </w:p>
        </w:tc>
        <w:tc>
          <w:tcPr>
            <w:tcW w:w="626" w:type="pct"/>
            <w:shd w:val="clear" w:color="auto" w:fill="auto"/>
            <w:vAlign w:val="center"/>
          </w:tcPr>
          <w:p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01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89"/>
          <w:jc w:val="center"/>
        </w:trPr>
        <w:tc>
          <w:tcPr>
            <w:tcW w:w="2174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19 01 01 01 (w centrali i w biurach przedstawicielstw Komisji)</w:t>
            </w:r>
          </w:p>
        </w:tc>
        <w:tc>
          <w:tcPr>
            <w:tcW w:w="62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57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6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4</w:t>
            </w:r>
          </w:p>
        </w:tc>
        <w:tc>
          <w:tcPr>
            <w:tcW w:w="134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89"/>
          <w:jc w:val="center"/>
        </w:trPr>
        <w:tc>
          <w:tcPr>
            <w:tcW w:w="2174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01 02 (w delegaturach)</w:t>
            </w:r>
          </w:p>
        </w:tc>
        <w:tc>
          <w:tcPr>
            <w:tcW w:w="62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89"/>
          <w:jc w:val="center"/>
        </w:trPr>
        <w:tc>
          <w:tcPr>
            <w:tcW w:w="2174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 01 05 01 (pośrednie badania naukowe)</w:t>
            </w:r>
          </w:p>
        </w:tc>
        <w:tc>
          <w:tcPr>
            <w:tcW w:w="62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89"/>
          <w:jc w:val="center"/>
        </w:trPr>
        <w:tc>
          <w:tcPr>
            <w:tcW w:w="2174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10 01 05 01 (bezpośrednie badania naukowe)</w:t>
            </w:r>
          </w:p>
        </w:tc>
        <w:tc>
          <w:tcPr>
            <w:tcW w:w="62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gridAfter w:val="4"/>
          <w:wAfter w:w="1027" w:type="pct"/>
          <w:trHeight w:val="248"/>
          <w:jc w:val="center"/>
        </w:trPr>
        <w:tc>
          <w:tcPr>
            <w:tcW w:w="3973" w:type="pct"/>
            <w:gridSpan w:val="5"/>
            <w:shd w:val="clear" w:color="auto" w:fill="auto"/>
            <w:vAlign w:val="center"/>
          </w:tcPr>
          <w:p>
            <w:pPr>
              <w:pStyle w:val="Text1"/>
              <w:spacing w:before="60" w:after="60"/>
              <w:ind w:left="0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sym w:font="Wingdings" w:char="F09F"/>
            </w:r>
            <w:r>
              <w:rPr>
                <w:b/>
                <w:noProof/>
                <w:sz w:val="16"/>
              </w:rPr>
              <w:t xml:space="preserve"> Personel zewnętrzny (w ekwiwalentach pełnego czasu pracy)</w:t>
            </w:r>
            <w:r>
              <w:rPr>
                <w:rStyle w:val="FootnoteReference"/>
                <w:b/>
                <w:noProof/>
                <w:sz w:val="16"/>
              </w:rPr>
              <w:footnoteReference w:id="36"/>
            </w:r>
          </w:p>
          <w:p>
            <w:pPr>
              <w:pStyle w:val="Text1"/>
              <w:spacing w:before="0" w:after="0"/>
              <w:ind w:left="0"/>
              <w:jc w:val="left"/>
              <w:rPr>
                <w:noProof/>
                <w:sz w:val="16"/>
                <w:szCs w:val="16"/>
              </w:rPr>
            </w:pPr>
          </w:p>
        </w:tc>
      </w:tr>
      <w:tr>
        <w:trPr>
          <w:trHeight w:val="289"/>
          <w:jc w:val="center"/>
        </w:trPr>
        <w:tc>
          <w:tcPr>
            <w:tcW w:w="2174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19 01 02 01 (AC, END, INT z globalnej koperty finansowej)</w:t>
            </w:r>
          </w:p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</w:rPr>
            </w:pPr>
          </w:p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21 01 02 01 (AC, END, INT z globalnej koperty finansowej)</w:t>
            </w:r>
          </w:p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3</w:t>
            </w:r>
          </w:p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2</w:t>
            </w:r>
          </w:p>
          <w:p>
            <w:pPr>
              <w:spacing w:beforeLines="20" w:before="48" w:afterLines="20" w:after="48"/>
              <w:rPr>
                <w:noProof/>
                <w:sz w:val="16"/>
                <w:szCs w:val="16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3</w:t>
            </w:r>
          </w:p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2</w:t>
            </w:r>
          </w:p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3</w:t>
            </w:r>
          </w:p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2</w:t>
            </w:r>
          </w:p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3</w:t>
            </w:r>
          </w:p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2</w:t>
            </w:r>
          </w:p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89"/>
          <w:jc w:val="center"/>
        </w:trPr>
        <w:tc>
          <w:tcPr>
            <w:tcW w:w="2174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XX 01 02 02 (AC, AL, END, INT i JED w delegaturach) </w:t>
            </w:r>
          </w:p>
        </w:tc>
        <w:tc>
          <w:tcPr>
            <w:tcW w:w="62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89"/>
          <w:jc w:val="center"/>
        </w:trPr>
        <w:tc>
          <w:tcPr>
            <w:tcW w:w="1086" w:type="pct"/>
            <w:vMerge w:val="restar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</w:p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19 01 04 01</w:t>
            </w:r>
            <w:r>
              <w:rPr>
                <w:b/>
                <w:i/>
                <w:noProof/>
                <w:sz w:val="16"/>
              </w:rPr>
              <w:t xml:space="preserve"> </w:t>
            </w:r>
            <w:r>
              <w:rPr>
                <w:rStyle w:val="FootnoteReference"/>
                <w:b/>
                <w:i/>
                <w:noProof/>
                <w:sz w:val="16"/>
              </w:rPr>
              <w:footnoteReference w:id="37"/>
            </w:r>
            <w:r>
              <w:rPr>
                <w:b/>
                <w:i/>
                <w:noProof/>
                <w:sz w:val="16"/>
              </w:rPr>
              <w:t xml:space="preserve"> </w:t>
            </w:r>
          </w:p>
        </w:tc>
        <w:tc>
          <w:tcPr>
            <w:tcW w:w="1088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- w centrali</w:t>
            </w:r>
          </w:p>
        </w:tc>
        <w:tc>
          <w:tcPr>
            <w:tcW w:w="623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0"/>
              <w:rPr>
                <w:noProof/>
                <w:sz w:val="16"/>
                <w:szCs w:val="16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89"/>
          <w:jc w:val="center"/>
        </w:trPr>
        <w:tc>
          <w:tcPr>
            <w:tcW w:w="1086" w:type="pct"/>
            <w:vMerge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- w delegaturach </w:t>
            </w:r>
          </w:p>
        </w:tc>
        <w:tc>
          <w:tcPr>
            <w:tcW w:w="623" w:type="pct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57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6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3</w:t>
            </w:r>
          </w:p>
        </w:tc>
        <w:tc>
          <w:tcPr>
            <w:tcW w:w="134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89"/>
          <w:jc w:val="center"/>
        </w:trPr>
        <w:tc>
          <w:tcPr>
            <w:tcW w:w="2174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XX</w:t>
            </w:r>
            <w:r>
              <w:rPr>
                <w:noProof/>
                <w:sz w:val="16"/>
              </w:rPr>
              <w:t xml:space="preserve"> 01 05 02 (AC, END, INT – pośrednie badania naukowe)</w:t>
            </w:r>
          </w:p>
        </w:tc>
        <w:tc>
          <w:tcPr>
            <w:tcW w:w="62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89"/>
          <w:jc w:val="center"/>
        </w:trPr>
        <w:tc>
          <w:tcPr>
            <w:tcW w:w="2174" w:type="pct"/>
            <w:gridSpan w:val="2"/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10 01 05 02 (AC, END, INT – bezpośrednie badania naukowe)</w:t>
            </w:r>
          </w:p>
        </w:tc>
        <w:tc>
          <w:tcPr>
            <w:tcW w:w="623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89"/>
          <w:jc w:val="center"/>
        </w:trPr>
        <w:tc>
          <w:tcPr>
            <w:tcW w:w="2174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Inne linie budżetowe (określić)</w:t>
            </w:r>
          </w:p>
        </w:tc>
        <w:tc>
          <w:tcPr>
            <w:tcW w:w="62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0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7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2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>
        <w:trPr>
          <w:trHeight w:val="289"/>
          <w:jc w:val="center"/>
        </w:trPr>
        <w:tc>
          <w:tcPr>
            <w:tcW w:w="2174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OGÓŁEM</w:t>
            </w:r>
          </w:p>
        </w:tc>
        <w:tc>
          <w:tcPr>
            <w:tcW w:w="62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12</w:t>
            </w:r>
          </w:p>
        </w:tc>
        <w:tc>
          <w:tcPr>
            <w:tcW w:w="60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12</w:t>
            </w:r>
          </w:p>
        </w:tc>
        <w:tc>
          <w:tcPr>
            <w:tcW w:w="57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12</w:t>
            </w:r>
          </w:p>
        </w:tc>
        <w:tc>
          <w:tcPr>
            <w:tcW w:w="62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12</w:t>
            </w:r>
          </w:p>
        </w:tc>
        <w:tc>
          <w:tcPr>
            <w:tcW w:w="13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</w:tbl>
    <w:p>
      <w:pPr>
        <w:pStyle w:val="Text1"/>
        <w:spacing w:before="60" w:after="60"/>
        <w:ind w:left="851"/>
        <w:rPr>
          <w:noProof/>
          <w:sz w:val="18"/>
          <w:szCs w:val="18"/>
        </w:rPr>
      </w:pPr>
      <w:r>
        <w:rPr>
          <w:noProof/>
          <w:sz w:val="18"/>
        </w:rPr>
        <w:t>19 i 21 oznaczają odpowiednie dziedziny polityki lub tytuły w budżecie</w:t>
      </w:r>
    </w:p>
    <w:p>
      <w:pPr>
        <w:pStyle w:val="Text1"/>
        <w:rPr>
          <w:noProof/>
          <w:sz w:val="18"/>
          <w:szCs w:val="18"/>
        </w:rPr>
      </w:pPr>
      <w:r>
        <w:rPr>
          <w:noProof/>
          <w:sz w:val="18"/>
        </w:rPr>
        <w:t>Potrzeby w zakresie zasobów ludzkich zostaną pokryte z zasobów DG już przydzielonych na zarządzanie tym działaniem lub przesuniętych w ramach dyrekcji generalnej, uzupełnionych w razie potrzeby wszelkimi dodatkowymi zasobami, które mogą zostać przydzielone zarządzającej dyrekcji generalnej w ramach procedury rocznego przydziału środków oraz w świetle istniejących ograniczeń budżetowych</w:t>
      </w:r>
    </w:p>
    <w:p>
      <w:pPr>
        <w:keepNext/>
        <w:keepLines/>
        <w:rPr>
          <w:noProof/>
          <w:sz w:val="20"/>
        </w:rPr>
      </w:pPr>
      <w:r>
        <w:rPr>
          <w:noProof/>
          <w:sz w:val="20"/>
        </w:rPr>
        <w:t>Opis zadań do wykonania:</w:t>
      </w:r>
    </w:p>
    <w:tbl>
      <w:tblPr>
        <w:tblStyle w:val="TableGrid"/>
        <w:tblW w:w="928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221"/>
        <w:gridCol w:w="6061"/>
      </w:tblGrid>
      <w:tr>
        <w:tc>
          <w:tcPr>
            <w:tcW w:w="3221" w:type="dxa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>Urzędnicy i pracownicy zatrudnieni na czas określony</w:t>
            </w:r>
          </w:p>
        </w:tc>
        <w:tc>
          <w:tcPr>
            <w:tcW w:w="6061" w:type="dxa"/>
          </w:tcPr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Zasoby ludzkie w odniesieniu do urzędników (AD) umożliwiają ogólne zarządzanie dodatkowymi zobowiązaniami, a w szczególności właściwe określanie, opracowywanie, kontraktowanie i ocenę działań w zakresie budowania zdolności na rzecz bezpieczeństwa i rozwoju w ramach rozszerzonego portfela projektów oraz projektowanie oceny ryzyka dopasowanej do specyfiki takich działań (patrz punkt 2.2.1). Koszt ten obejmuje również prowadzenie regularnych misji monitorujących w terenie w celu odbywania spotkań z odpowiednimi organami rządowymi i zapewnienia odgórnej koordynacji z innymi podmiotami i darczyńcami na szczeblu lokalnym. Przewiduje się również, że budowanie zdolności na rzecz bezpieczeństwa i rozwoju będzie wymagać ścisłej koordynacji z Radą, Parlamentem i innymi zainteresowanymi stronami (w tym społeczeństwem obywatelskim). Budowanie zdolności na rzecz bezpieczeństwa i rozwoju to nowe terytorium dla Komisji, dlatego wymagać będzie szczególnej uwagi i zdobywania na bieżąco wiedzy, co oznacza zasobochłonność, zwłaszcza na etapie opracowywania. </w:t>
            </w:r>
          </w:p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Zasoby (AST) umożliwiają kontraktowanie i finansowe zarządzanie działaniami z zakresu budowania zdolności na rzecz bezpieczeństwa i rozwoju, jak również prowadzenie audytów i kontroli, sporządzanie rocznych sprawozdań (SPP), podejmowanie działań w następstwie zapytań PE/Rzecznika, raportowanie finansowego i nadzór nad zobowiązaniami i płatnościami na szczeblu centralnym. </w:t>
            </w:r>
          </w:p>
          <w:p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Ponoszone są również dodatkowe koszty w związku z innymi zadaniami zaplecza technicznego.</w:t>
            </w:r>
          </w:p>
        </w:tc>
      </w:tr>
      <w:tr>
        <w:tc>
          <w:tcPr>
            <w:tcW w:w="3221" w:type="dxa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>Personel zewnętrzny</w:t>
            </w:r>
          </w:p>
        </w:tc>
        <w:tc>
          <w:tcPr>
            <w:tcW w:w="6061" w:type="dxa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>Zasoby ludzkie w odniesieniu do pracowników zewnętrznych (CA) umożliwiają zarządzanie i wdrażanie portfela projektów budowania zdolności na rzecz bezpieczeństwa i rozwoju na poziomie centrali lub delegatur. Obejmuje to bieżące zarządzanie projektami (operacyjne i finansowe), koordynację z państwami członkowskimi i innymi podmiotami, regularne monitorowanie projektów oraz koordynację z delegaturami UE w stosownych przypadkach. Zarządzanie ocenami i audytami. Zadanie to obejmuje również regularne wizyty w terenie.</w:t>
            </w:r>
          </w:p>
        </w:tc>
      </w:tr>
    </w:tbl>
    <w:p>
      <w:pPr>
        <w:rPr>
          <w:noProof/>
        </w:rPr>
        <w:sectPr>
          <w:pgSz w:w="11907" w:h="16840"/>
          <w:pgMar w:top="1134" w:right="1418" w:bottom="1134" w:left="1418" w:header="709" w:footer="709" w:gutter="0"/>
          <w:cols w:space="708"/>
          <w:docGrid w:linePitch="360"/>
        </w:sectPr>
      </w:pPr>
    </w:p>
    <w:p>
      <w:pPr>
        <w:pStyle w:val="ManualHeading3"/>
        <w:rPr>
          <w:bCs/>
          <w:noProof/>
          <w:szCs w:val="24"/>
        </w:rPr>
      </w:pPr>
      <w:r>
        <w:t>3.2.4.</w:t>
      </w:r>
      <w:r>
        <w:tab/>
      </w:r>
      <w:r>
        <w:rPr>
          <w:noProof/>
        </w:rPr>
        <w:t xml:space="preserve">Zgodność z obowiązującymi wieloletnimi ramami finansowymi 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Wniosek/inicjatywa jest zgodny(-a) z obowiązującymi wieloletnimi ramami finansowymi.</w:t>
      </w:r>
    </w:p>
    <w:p>
      <w:pPr>
        <w:pStyle w:val="ListDash1"/>
        <w:rPr>
          <w:noProof/>
        </w:rPr>
      </w:pPr>
      <w:r>
        <w:rPr>
          <w:noProof/>
        </w:rPr>
        <w:t>X</w:t>
      </w:r>
      <w:r>
        <w:rPr>
          <w:noProof/>
        </w:rPr>
        <w:tab/>
        <w:t>Wniosek/inicjatywa wymaga przeprogramowania odpowiedniego działu w wieloletnich ramach finansowych.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0"/>
        </w:rPr>
      </w:pPr>
      <w:r>
        <w:rPr>
          <w:noProof/>
          <w:sz w:val="20"/>
        </w:rPr>
        <w:t>Należy wyjaśnić, na czym ma polegać przeprogramowanie, określając linie budżetowe, których ma ono dotyczyć, oraz podając odpowiednie kwoty.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Kwota 100 000 000 EUR na budowanie zdolności na rzecz bezpieczeństwa i rozwoju zostanie przesunięta w ramach działu 4 wieloletnich ram finansowych 2014-2020 (WRF).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Wniosek/inicjatywa wymaga zastosowania instrumentu elastyczności lub zmiany wieloletnich ram finansowych.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  <w:sz w:val="20"/>
        </w:rPr>
        <w:t>Należy wyjaśnić, który wariant jest konieczny, określając linie budżetowe, których ma on dotyczyć, oraz podając odpowiednie kwoty.</w:t>
      </w:r>
    </w:p>
    <w:p>
      <w:pPr>
        <w:pStyle w:val="ManualHeading3"/>
        <w:rPr>
          <w:bCs/>
          <w:noProof/>
          <w:szCs w:val="24"/>
        </w:rPr>
      </w:pPr>
      <w:r>
        <w:t>3.2.5.</w:t>
      </w:r>
      <w:r>
        <w:tab/>
      </w:r>
      <w:r>
        <w:rPr>
          <w:noProof/>
        </w:rPr>
        <w:t xml:space="preserve">Udział osób trzecich w finansowaniu </w:t>
      </w:r>
    </w:p>
    <w:p>
      <w:pPr>
        <w:pStyle w:val="ListDash1"/>
        <w:rPr>
          <w:noProof/>
        </w:rPr>
      </w:pPr>
      <w:r>
        <w:rPr>
          <w:noProof/>
        </w:rPr>
        <w:t xml:space="preserve">Wniosek/inicjatywa nie przewiduje współfinansowania ze strony osób trzecich. </w:t>
      </w:r>
    </w:p>
    <w:p>
      <w:pPr>
        <w:pStyle w:val="ListDash1"/>
        <w:rPr>
          <w:noProof/>
        </w:rPr>
      </w:pPr>
      <w:r>
        <w:rPr>
          <w:noProof/>
        </w:rPr>
        <w:t>Wniosek/inicjatywa przewiduje współfinansowanie szacowane zgodnie z poniższym:</w:t>
      </w:r>
    </w:p>
    <w:p>
      <w:pPr>
        <w:jc w:val="right"/>
        <w:rPr>
          <w:noProof/>
          <w:sz w:val="20"/>
        </w:rPr>
      </w:pPr>
      <w:r>
        <w:rPr>
          <w:noProof/>
          <w:sz w:val="20"/>
        </w:rPr>
        <w:t>Środki w mln EUR (do trzech miejsc po przecinku)</w:t>
      </w:r>
    </w:p>
    <w:tbl>
      <w:tblPr>
        <w:tblW w:w="10246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964"/>
        <w:gridCol w:w="964"/>
        <w:gridCol w:w="964"/>
        <w:gridCol w:w="964"/>
        <w:gridCol w:w="964"/>
        <w:gridCol w:w="964"/>
        <w:gridCol w:w="964"/>
        <w:gridCol w:w="1158"/>
      </w:tblGrid>
      <w:tr>
        <w:trPr>
          <w:cantSplit/>
        </w:trPr>
        <w:tc>
          <w:tcPr>
            <w:tcW w:w="2340" w:type="dxa"/>
          </w:tcPr>
          <w:p>
            <w:pPr>
              <w:spacing w:before="60" w:after="60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N+1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N+2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N+3</w:t>
            </w:r>
          </w:p>
        </w:tc>
        <w:tc>
          <w:tcPr>
            <w:tcW w:w="2892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Wprowadzić taką liczbę kolumn dla poszczególnych lat, jaka jest niezbędna, by odzwierciedlić cały okres wpływu (por. pkt 1.6)</w:t>
            </w: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Ogółem</w:t>
            </w:r>
          </w:p>
        </w:tc>
      </w:tr>
      <w:tr>
        <w:trPr>
          <w:cantSplit/>
        </w:trPr>
        <w:tc>
          <w:tcPr>
            <w:tcW w:w="2340" w:type="dxa"/>
          </w:tcPr>
          <w:p>
            <w:pPr>
              <w:rPr>
                <w:noProof/>
              </w:rPr>
            </w:pPr>
            <w:r>
              <w:rPr>
                <w:noProof/>
                <w:sz w:val="20"/>
              </w:rPr>
              <w:t>Określić organ współfinansujący</w:t>
            </w:r>
            <w:r>
              <w:rPr>
                <w:i/>
                <w:noProof/>
                <w:sz w:val="20"/>
              </w:rPr>
              <w:t xml:space="preserve"> 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</w:tr>
      <w:tr>
        <w:trPr>
          <w:cantSplit/>
        </w:trPr>
        <w:tc>
          <w:tcPr>
            <w:tcW w:w="2340" w:type="dxa"/>
          </w:tcPr>
          <w:p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OGÓŁEM środki objęte współfinansowaniem </w:t>
            </w: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</w:tr>
    </w:tbl>
    <w:p>
      <w:pPr>
        <w:rPr>
          <w:noProof/>
        </w:rPr>
      </w:pPr>
      <w:r>
        <w:rPr>
          <w:noProof/>
        </w:rPr>
        <w:br/>
      </w:r>
    </w:p>
    <w:p>
      <w:pPr>
        <w:pStyle w:val="ManualHeading2"/>
        <w:rPr>
          <w:bCs/>
          <w:noProof/>
          <w:szCs w:val="24"/>
        </w:rPr>
      </w:pPr>
      <w:r>
        <w:rPr>
          <w:noProof/>
        </w:rPr>
        <w:br w:type="page"/>
      </w:r>
      <w:r>
        <w:t>3.3.</w:t>
      </w:r>
      <w:r>
        <w:tab/>
      </w:r>
      <w:r>
        <w:rPr>
          <w:noProof/>
        </w:rPr>
        <w:t xml:space="preserve">Szacunkowy wpływ na dochody </w:t>
      </w:r>
    </w:p>
    <w:p>
      <w:pPr>
        <w:pStyle w:val="ListDash1"/>
        <w:rPr>
          <w:noProof/>
        </w:rPr>
      </w:pPr>
      <w:r>
        <w:rPr>
          <w:noProof/>
        </w:rPr>
        <w:t>X</w:t>
      </w:r>
      <w:r>
        <w:rPr>
          <w:noProof/>
        </w:rPr>
        <w:tab/>
        <w:t>Wniosek/inicjatywa nie ma wpływu finansowego na dochody.</w:t>
      </w:r>
    </w:p>
    <w:p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Wniosek/inicjatywa ma wpływ finansowy określony poniżej:</w:t>
      </w:r>
    </w:p>
    <w:p>
      <w:pPr>
        <w:pStyle w:val="ListNumberLevel3"/>
        <w:tabs>
          <w:tab w:val="clear" w:pos="2126"/>
        </w:tabs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wpływ na zasoby własne </w:t>
      </w:r>
    </w:p>
    <w:p>
      <w:pPr>
        <w:pStyle w:val="ListNumberLevel3"/>
        <w:tabs>
          <w:tab w:val="clear" w:pos="2126"/>
        </w:tabs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wpływ na dochody różne </w:t>
      </w:r>
    </w:p>
    <w:p>
      <w:pPr>
        <w:jc w:val="right"/>
        <w:rPr>
          <w:i/>
          <w:noProof/>
          <w:sz w:val="20"/>
        </w:rPr>
      </w:pPr>
      <w:r>
        <w:rPr>
          <w:noProof/>
        </w:rPr>
        <w:t>W mln EUR (do trzech miejsc po przecinku)</w:t>
      </w:r>
    </w:p>
    <w:tbl>
      <w:tblPr>
        <w:tblW w:w="106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1276"/>
        <w:gridCol w:w="1080"/>
        <w:gridCol w:w="900"/>
        <w:gridCol w:w="900"/>
        <w:gridCol w:w="1080"/>
        <w:gridCol w:w="1080"/>
        <w:gridCol w:w="1080"/>
        <w:gridCol w:w="1080"/>
      </w:tblGrid>
      <w:tr>
        <w:trPr>
          <w:trHeight w:val="388"/>
        </w:trPr>
        <w:tc>
          <w:tcPr>
            <w:tcW w:w="2144" w:type="dxa"/>
            <w:vMerge w:val="restart"/>
            <w:vAlign w:val="center"/>
          </w:tcPr>
          <w:p>
            <w:pPr>
              <w:spacing w:before="40" w:after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Linia budżetowa po stronie dochodów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Środki zapisane w budżecie na bieżący rok budżetowy</w:t>
            </w:r>
          </w:p>
        </w:tc>
        <w:tc>
          <w:tcPr>
            <w:tcW w:w="7200" w:type="dxa"/>
            <w:gridSpan w:val="7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Wpływ wniosku/inicjatywy</w:t>
            </w:r>
            <w:r>
              <w:rPr>
                <w:rStyle w:val="FootnoteReference"/>
                <w:noProof/>
                <w:sz w:val="18"/>
              </w:rPr>
              <w:footnoteReference w:id="38"/>
            </w:r>
          </w:p>
        </w:tc>
      </w:tr>
      <w:tr>
        <w:trPr>
          <w:trHeight w:val="388"/>
        </w:trPr>
        <w:tc>
          <w:tcPr>
            <w:tcW w:w="2144" w:type="dxa"/>
            <w:vMerge/>
          </w:tcPr>
          <w:p>
            <w:pPr>
              <w:spacing w:before="40" w:after="40"/>
              <w:rPr>
                <w:noProof/>
                <w:sz w:val="18"/>
              </w:rPr>
            </w:pPr>
          </w:p>
        </w:tc>
        <w:tc>
          <w:tcPr>
            <w:tcW w:w="1276" w:type="dxa"/>
            <w:vMerge/>
          </w:tcPr>
          <w:p>
            <w:pPr>
              <w:spacing w:beforeLines="40" w:before="96" w:afterLines="40" w:after="96"/>
              <w:rPr>
                <w:i/>
                <w:noProof/>
                <w:sz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N+1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N+2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Rok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N+3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>Wprowadzić taką liczbę kolumn dla poszczególnych lat, jaka jest niezbędna, by odzwierciedlić cały okres wpływu (por. pkt 1.6)</w:t>
            </w:r>
          </w:p>
        </w:tc>
      </w:tr>
      <w:tr>
        <w:trPr>
          <w:trHeight w:val="388"/>
        </w:trPr>
        <w:tc>
          <w:tcPr>
            <w:tcW w:w="2144" w:type="dxa"/>
            <w:vAlign w:val="center"/>
          </w:tcPr>
          <w:p>
            <w:pPr>
              <w:spacing w:before="40" w:after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Artykuł </w:t>
            </w:r>
          </w:p>
        </w:tc>
        <w:tc>
          <w:tcPr>
            <w:tcW w:w="1276" w:type="dxa"/>
          </w:tcPr>
          <w:p>
            <w:pPr>
              <w:spacing w:beforeLines="40" w:before="96" w:afterLines="40" w:after="96"/>
              <w:jc w:val="center"/>
              <w:rPr>
                <w:i/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</w:tr>
    </w:tbl>
    <w:p>
      <w:pPr>
        <w:pStyle w:val="Text1"/>
        <w:rPr>
          <w:noProof/>
          <w:sz w:val="20"/>
        </w:rPr>
      </w:pPr>
      <w:r>
        <w:rPr>
          <w:noProof/>
          <w:sz w:val="20"/>
        </w:rPr>
        <w:t>W przypadku wpływu na dochody różne, należy wskazać pozycję(-e) wydatków w budżecie, którą(-e) ten wpływ obejmie.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[…]</w:t>
      </w:r>
    </w:p>
    <w:p>
      <w:pPr>
        <w:pStyle w:val="Text1"/>
        <w:rPr>
          <w:noProof/>
          <w:sz w:val="20"/>
        </w:rPr>
      </w:pPr>
      <w:r>
        <w:rPr>
          <w:noProof/>
          <w:sz w:val="20"/>
        </w:rPr>
        <w:t>Należy określić metodę obliczania wpływu na dochody.</w:t>
      </w:r>
    </w:p>
    <w:p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[…]</w:t>
      </w:r>
    </w:p>
    <w:sectPr>
      <w:pgSz w:w="11907" w:h="16840" w:code="9"/>
      <w:pgMar w:top="1134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34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Landscap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40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r>
      <w:rPr>
        <w:rFonts w:ascii="Arial" w:hAnsi="Arial" w:cs="Arial"/>
        <w:b/>
        <w:sz w:val="48"/>
      </w:rPr>
      <w:t>PL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ab/>
        <w:t xml:space="preserve">Np. Bank Światowy, </w:t>
      </w:r>
      <w:r>
        <w:rPr>
          <w:i/>
        </w:rPr>
        <w:t>World Development Report:</w:t>
      </w:r>
      <w:r>
        <w:t xml:space="preserve"> </w:t>
      </w:r>
      <w:r>
        <w:rPr>
          <w:i/>
        </w:rPr>
        <w:t>Conflict, Security, and Development</w:t>
      </w:r>
      <w:r>
        <w:t>, 2011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ab/>
      </w:r>
      <w:hyperlink r:id="rId1">
        <w:r>
          <w:rPr>
            <w:rStyle w:val="Hyperlink"/>
          </w:rPr>
          <w:t>http://www.un.org/sustainabledevelopment/sustainable-development-goals/</w:t>
        </w:r>
      </w:hyperlink>
      <w:r>
        <w:t xml:space="preserve"> 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ab/>
        <w:t>16. Cel zrównoważonego rozwoju (SDG): promowanie pokojowych i integracyjnych społeczeństw, zapewnienie wszystkim dostępu do wymiaru sprawiedliwości oraz budowanie skutecznych i odpowiedzialnych instytucji na wszystkich szczeblach.</w:t>
      </w:r>
    </w:p>
  </w:footnote>
  <w:footnote w:id="5">
    <w:p>
      <w:pPr>
        <w:pStyle w:val="FootnoteText"/>
      </w:pPr>
      <w:r>
        <w:rPr>
          <w:rStyle w:val="FootnoteReference"/>
        </w:rPr>
        <w:footnoteRef/>
      </w:r>
      <w:r>
        <w:tab/>
        <w:t>UE zatwierdziła „Nowy ład”, który jest jednym z filarów 4. forum wysokiego szczebla w sprawie skuteczności pomocy w Pusanie w listopadzie 2011 roku (</w:t>
      </w:r>
      <w:hyperlink r:id="rId2">
        <w:r>
          <w:rPr>
            <w:rStyle w:val="Hyperlink"/>
          </w:rPr>
          <w:t>http://www.pbsbdialogue.org/en/</w:t>
        </w:r>
      </w:hyperlink>
      <w:r>
        <w:t>).</w:t>
      </w:r>
    </w:p>
  </w:footnote>
  <w:footnote w:id="6">
    <w:p>
      <w:pPr>
        <w:pStyle w:val="FootnoteText"/>
      </w:pPr>
      <w:r>
        <w:rPr>
          <w:rStyle w:val="FootnoteReference"/>
        </w:rPr>
        <w:footnoteRef/>
      </w:r>
      <w:r>
        <w:tab/>
        <w:t>Komitet Pomocy Rozwojowej Organizacji Współpracy Gospodarczej i Rozwoju, luty 2016.</w:t>
      </w:r>
    </w:p>
  </w:footnote>
  <w:footnote w:id="7">
    <w:p>
      <w:pPr>
        <w:pStyle w:val="FootnoteText"/>
      </w:pPr>
      <w:r>
        <w:rPr>
          <w:rStyle w:val="FootnoteReference"/>
        </w:rPr>
        <w:footnoteRef/>
      </w:r>
      <w:r>
        <w:tab/>
        <w:t xml:space="preserve">JOIN(2015) 17, s. 8. </w:t>
      </w:r>
    </w:p>
  </w:footnote>
  <w:footnote w:id="8">
    <w:p>
      <w:pPr>
        <w:pStyle w:val="FootnoteText"/>
        <w:jc w:val="left"/>
      </w:pPr>
      <w:r>
        <w:rPr>
          <w:rStyle w:val="FootnoteReference"/>
        </w:rPr>
        <w:footnoteRef/>
      </w:r>
      <w:r>
        <w:tab/>
        <w:t>JOIN(2013) 30 final z dnia 11 grudnia 2013 r.</w:t>
      </w:r>
    </w:p>
  </w:footnote>
  <w:footnote w:id="9">
    <w:p>
      <w:pPr>
        <w:pStyle w:val="FootnoteText"/>
        <w:jc w:val="left"/>
      </w:pPr>
      <w:r>
        <w:rPr>
          <w:rStyle w:val="FootnoteReference"/>
        </w:rPr>
        <w:footnoteRef/>
      </w:r>
      <w:r>
        <w:tab/>
        <w:t>Konkluzje Rady 9644/14 z dnia 12 maja 2014 r.</w:t>
      </w:r>
    </w:p>
  </w:footnote>
  <w:footnote w:id="10">
    <w:p>
      <w:pPr>
        <w:pStyle w:val="FootnoteText"/>
      </w:pPr>
      <w:r>
        <w:rPr>
          <w:rStyle w:val="FootnoteReference"/>
        </w:rPr>
        <w:footnoteRef/>
      </w:r>
      <w:r>
        <w:tab/>
        <w:t>JOIN(2013) 30 final z dnia 11 grudnia 2013 r.</w:t>
      </w:r>
    </w:p>
  </w:footnote>
  <w:footnote w:id="11">
    <w:p>
      <w:pPr>
        <w:pStyle w:val="FootnoteText"/>
      </w:pPr>
      <w:r>
        <w:rPr>
          <w:rStyle w:val="FootnoteReference"/>
        </w:rPr>
        <w:footnoteRef/>
      </w:r>
      <w:r>
        <w:tab/>
        <w:t>Artykuł 41 TUE określa zasady finansowania prowadzonych przez UE cywilnych i wojskowych operacji zarządzania kryzysowego. Wspólne koszty takich operacji są aktualnie uregulowane decyzją Rady (WPZiB) 2015/528 z dnia 27 marca 2015 r. ustanawiającą mechanizm zarządzania finansowaniem wspólnych kosztów operacji Unii Europejskiej mających wpływ na kwestie wojskowe lub obronne (ATHENA) oraz uchylającą decyzję 2011/871/WPZiB, Dz.U. L 84 z 28.3.2015.</w:t>
      </w:r>
    </w:p>
  </w:footnote>
  <w:footnote w:id="12">
    <w:p>
      <w:pPr>
        <w:pStyle w:val="FootnoteText"/>
      </w:pPr>
      <w:r>
        <w:rPr>
          <w:rStyle w:val="FootnoteReference"/>
        </w:rPr>
        <w:footnoteRef/>
      </w:r>
      <w:r>
        <w:tab/>
        <w:t>Umowa o partnerstwie między członkami Grupy Państw Afryki, Karaibów i Pacyfiku z jednej strony, a Wspólnotą Europejską i jej państwami członkowskimi z drugiej strony, podpisana w Kotonu dnia 23 czerwca 2000 r., zmieniona w Luksemburgu dnia 25 czerwca 2005 r. i w Ouagadougou dnia 22 czerwca 2010 r.</w:t>
      </w:r>
    </w:p>
  </w:footnote>
  <w:footnote w:id="13">
    <w:p>
      <w:pPr>
        <w:pStyle w:val="FootnoteText"/>
      </w:pPr>
      <w:r>
        <w:rPr>
          <w:rStyle w:val="FootnoteReference"/>
        </w:rPr>
        <w:footnoteRef/>
      </w:r>
      <w:r>
        <w:tab/>
        <w:t>Artykuł 11 umowy z Kotonu w sprawie „polityki budowania pokoju, zapobiegania konfliktom i ich rozwiązywania” oraz stosowne konkluzje Rady stanowią podstawę prawną Instrumentu na rzecz Pokoju w Afryce; decyzja nr 3/2003 Rady Ministrów AKP-WE z dnia 11 grudnia 2003 r. w sprawie wykorzystania środków z puli przeznaczonej na długotrwały rozwój z dziewiątego EFR na rzecz utworzenia Instrumentu na rzecz Pokoju w Afryce, Dz.U. L 345 z 31.12.2003.</w:t>
      </w:r>
    </w:p>
  </w:footnote>
  <w:footnote w:id="14">
    <w:p>
      <w:pPr>
        <w:pStyle w:val="FootnoteText"/>
        <w:rPr>
          <w:rFonts w:eastAsia="Times New Roman"/>
        </w:rPr>
      </w:pPr>
      <w:r>
        <w:rPr>
          <w:rStyle w:val="FootnoteReference"/>
        </w:rPr>
        <w:footnoteRef/>
      </w:r>
      <w:r>
        <w:tab/>
        <w:t>C-377/12, Komisja Europejska przeciwko Radzie (umowa o partnerstwie i współpracy z Filipinami), pkt 37.</w:t>
      </w:r>
    </w:p>
  </w:footnote>
  <w:footnote w:id="15">
    <w:p>
      <w:pPr>
        <w:pStyle w:val="FootnoteText"/>
      </w:pPr>
      <w:r>
        <w:rPr>
          <w:rStyle w:val="FootnoteReference"/>
        </w:rPr>
        <w:footnoteRef/>
      </w:r>
      <w:r>
        <w:tab/>
        <w:t xml:space="preserve">Zob. także JOIN (2015) 17, s. 7; oraz powyższe wytyczne sprawozdawcze OECD/DAC w dziedzinie pokoju i bezpieczeństwa. </w:t>
      </w:r>
    </w:p>
  </w:footnote>
  <w:footnote w:id="16">
    <w:p>
      <w:pPr>
        <w:pStyle w:val="FootnoteText"/>
      </w:pPr>
      <w:r>
        <w:rPr>
          <w:rStyle w:val="FootnoteReference"/>
        </w:rPr>
        <w:footnoteRef/>
      </w:r>
      <w:r>
        <w:tab/>
        <w:t xml:space="preserve">Rozporządzenie Parlamentu Europejskiego i Rady (UE) nr 236/2014 z dnia 11 marca 2014 r. ustanawiające wspólne zasady i procedury wdrażania unijnych instrumentów na rzecz finansowania działań zewnętrznych, Dz.U. L 77 z 15.3.2014, s. 95. </w:t>
      </w:r>
    </w:p>
  </w:footnote>
  <w:footnote w:id="17">
    <w:p>
      <w:pPr>
        <w:pStyle w:val="FootnoteText"/>
      </w:pPr>
      <w:r>
        <w:rPr>
          <w:rStyle w:val="FootnoteReference"/>
        </w:rPr>
        <w:footnoteRef/>
      </w:r>
      <w:r>
        <w:tab/>
        <w:t>Wspólne oświadczenie Rady i przedstawicieli rządów państw członkowskich zebranych w Radzie, Parlamentu Europejskiego i Komisji w sprawie polityki rozwojowej Unii Europejskiej: „Konsensus europejski”, Dz.U. C 46 z 24.2.2006.</w:t>
      </w:r>
    </w:p>
  </w:footnote>
  <w:footnote w:id="18">
    <w:p>
      <w:pPr>
        <w:pStyle w:val="FootnoteText"/>
      </w:pPr>
      <w:r>
        <w:rPr>
          <w:rStyle w:val="FootnoteReference"/>
        </w:rPr>
        <w:footnoteRef/>
      </w:r>
      <w:r>
        <w:tab/>
        <w:t>ONZ, A/RES/70/1, rezolucja przyjęta przez Zgromadzenie Ogólne w dniu 25 września 2015 r.</w:t>
      </w:r>
    </w:p>
  </w:footnote>
  <w:footnote w:id="19">
    <w:p>
      <w:pPr>
        <w:pStyle w:val="FootnoteText"/>
        <w:jc w:val="left"/>
      </w:pPr>
      <w:r>
        <w:rPr>
          <w:rStyle w:val="FootnoteReference"/>
        </w:rPr>
        <w:footnoteRef/>
      </w:r>
      <w:r>
        <w:tab/>
        <w:t>JOIN(2015) 17 final z dnia 28.4.2015 r.</w:t>
      </w:r>
    </w:p>
  </w:footnote>
  <w:footnote w:id="20">
    <w:p>
      <w:pPr>
        <w:pStyle w:val="FootnoteText"/>
        <w:jc w:val="left"/>
      </w:pPr>
      <w:r>
        <w:rPr>
          <w:rStyle w:val="FootnoteReference"/>
        </w:rPr>
        <w:footnoteRef/>
      </w:r>
      <w:r>
        <w:tab/>
        <w:t>Konkluzje Rady do Spraw Zagranicznych (Formacji Obrony) w sprawie WPBiO, dokument 8971/15 z dnia 18 maja 2015 r.</w:t>
      </w:r>
    </w:p>
  </w:footnote>
  <w:footnote w:id="21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ABM: activity-based management zarządzanie kosztami działań; ABB: activity-based budgeting budżet zadaniowy.</w:t>
      </w:r>
    </w:p>
  </w:footnote>
  <w:footnote w:id="22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O którym mowa w art. 54 ust. 2 lit. a) lub b) rozporządzenia finansowego.</w:t>
      </w:r>
    </w:p>
  </w:footnote>
  <w:footnote w:id="23">
    <w:p>
      <w:pPr>
        <w:pStyle w:val="FootnoteText"/>
      </w:pPr>
      <w:r>
        <w:rPr>
          <w:rStyle w:val="FootnoteReference"/>
        </w:rPr>
        <w:footnoteRef/>
      </w:r>
      <w:r>
        <w:tab/>
        <w:t>http://ec.europa.eu/priorities/docs/pg_en.pdf</w:t>
      </w:r>
    </w:p>
  </w:footnote>
  <w:footnote w:id="24">
    <w:p>
      <w:pPr>
        <w:pStyle w:val="FootnoteText"/>
      </w:pPr>
      <w:r>
        <w:rPr>
          <w:rStyle w:val="FootnoteReference"/>
        </w:rPr>
        <w:footnoteRef/>
      </w:r>
      <w:r>
        <w:tab/>
        <w:t>COM(2015) 610 final</w:t>
      </w:r>
    </w:p>
  </w:footnote>
  <w:footnote w:id="25">
    <w:p>
      <w:pPr>
        <w:pStyle w:val="FootnoteText"/>
        <w:jc w:val="left"/>
        <w:rPr>
          <w:szCs w:val="24"/>
        </w:rPr>
      </w:pPr>
      <w:r>
        <w:rPr>
          <w:rStyle w:val="FootnoteReference"/>
        </w:rPr>
        <w:footnoteRef/>
      </w:r>
      <w:r>
        <w:tab/>
        <w:t xml:space="preserve">Wyjaśnienia dotyczące trybów zarządzania oraz odniesienia do rozporządzenia finansowego znajdują się na następującej stronie: </w:t>
      </w:r>
      <w:hyperlink r:id="rId3">
        <w:r>
          <w:rPr>
            <w:rStyle w:val="Hyperlink"/>
          </w:rPr>
          <w:t>https://myintracomm.ec.europa.eu/budgweb/EN/man/budgmanag/Pages/budgmanag.aspx</w:t>
        </w:r>
      </w:hyperlink>
      <w:r>
        <w:t xml:space="preserve"> </w:t>
      </w:r>
    </w:p>
  </w:footnote>
  <w:footnote w:id="26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Zróżn. = Środki zróżnicowane / Niezróżn. = Środki niezróżnicowane</w:t>
      </w:r>
    </w:p>
  </w:footnote>
  <w:footnote w:id="27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EFTA: Europejskie Stowarzyszenie Wolnego Handlu</w:t>
      </w:r>
    </w:p>
  </w:footnote>
  <w:footnote w:id="28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Kraje kandydujące oraz w stosownych przypadkach potencjalne kraje kandydujące Bałkanów Zachodnich.</w:t>
      </w:r>
    </w:p>
  </w:footnote>
  <w:footnote w:id="29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Rok N jest rokiem, w którym rozpoczyna się wprowadzanie w życie wniosku/inicjatywy.</w:t>
      </w:r>
    </w:p>
  </w:footnote>
  <w:footnote w:id="30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Wsparcie techniczne lub administracyjne oraz wydatki na wsparcie w zakresie wprowadzania w życie programów lub działań UE (dawne linie „BA”), pośrednie badania naukowe, bezpośrednie badania naukowe.</w:t>
      </w:r>
    </w:p>
  </w:footnote>
  <w:footnote w:id="31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Rok N jest rokiem, w którym rozpoczyna się wprowadzanie w życie wniosku/inicjatywy.</w:t>
      </w:r>
    </w:p>
  </w:footnote>
  <w:footnote w:id="32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Produkty odnoszą się do produktów i usług, które zostaną zapewnione.</w:t>
      </w:r>
    </w:p>
  </w:footnote>
  <w:footnote w:id="33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 xml:space="preserve">Zgodnie z opisem w pkt. 1.4.2. „Cele szczegółowe...” </w:t>
      </w:r>
    </w:p>
  </w:footnote>
  <w:footnote w:id="34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Rok N jest rokiem, w którym rozpoczyna się wprowadzanie w życie wniosku/inicjatywy.</w:t>
      </w:r>
    </w:p>
  </w:footnote>
  <w:footnote w:id="35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Wsparcie techniczne lub administracyjne oraz wydatki na wsparcie w zakresie wprowadzania w życie programów lub działań UE (dawne linie „BA”), pośrednie badania naukowe, bezpośrednie badania naukowe.</w:t>
      </w:r>
    </w:p>
  </w:footnote>
  <w:footnote w:id="36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AC = personel kontraktowy; LA = personel miejscowy; END = oddelegowany ekspert krajowy; INT = personel tymczasowy; JED = młodszy oddelegowany ekspert</w:t>
      </w:r>
    </w:p>
  </w:footnote>
  <w:footnote w:id="37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W ramach pułapu cząstkowego na personel zewnętrzny ze środków operacyjnych (dawne linie „BA”).</w:t>
      </w:r>
    </w:p>
  </w:footnote>
  <w:footnote w:id="38">
    <w:p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ab/>
        <w:t>W przypadku tradycyjnych zasobów własnych (opłaty celne, opłaty wyrównawcze od cukru) należy wskazać kwoty netto, tzn. kwoty brutto po odliczeniu 25 % na poczet kosztów poboru.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Landscap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7AA27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378AD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9E21E8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612EBD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3FCFE6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0449B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C30D7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7D8E5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62C6A95"/>
    <w:multiLevelType w:val="singleLevel"/>
    <w:tmpl w:val="02BAFA82"/>
    <w:name w:val="List Bullet 1"/>
    <w:lvl w:ilvl="0">
      <w:start w:val="1"/>
      <w:numFmt w:val="bullet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9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2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3">
    <w:nsid w:val="2D820C1F"/>
    <w:multiLevelType w:val="singleLevel"/>
    <w:tmpl w:val="7896AADE"/>
    <w:name w:val="List Dash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7">
    <w:nsid w:val="489D74ED"/>
    <w:multiLevelType w:val="singleLevel"/>
    <w:tmpl w:val="C2E2F936"/>
    <w:name w:val="List Dash 2"/>
    <w:lvl w:ilvl="0">
      <w:start w:val="1"/>
      <w:numFmt w:val="bullet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8">
    <w:nsid w:val="4D0C058A"/>
    <w:multiLevelType w:val="singleLevel"/>
    <w:tmpl w:val="BAE8D90E"/>
    <w:name w:val="List Dash 1"/>
    <w:lvl w:ilvl="0">
      <w:start w:val="1"/>
      <w:numFmt w:val="bullet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9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1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5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3"/>
  </w:num>
  <w:num w:numId="11">
    <w:abstractNumId w:val="18"/>
  </w:num>
  <w:num w:numId="12">
    <w:abstractNumId w:val="17"/>
  </w:num>
  <w:num w:numId="13">
    <w:abstractNumId w:val="20"/>
    <w:lvlOverride w:ilvl="0">
      <w:startOverride w:val="1"/>
    </w:lvlOverride>
  </w:num>
  <w:num w:numId="14">
    <w:abstractNumId w:val="25"/>
    <w:lvlOverride w:ilvl="0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4"/>
  </w:num>
  <w:num w:numId="18">
    <w:abstractNumId w:val="24"/>
  </w:num>
  <w:num w:numId="19">
    <w:abstractNumId w:val="12"/>
  </w:num>
  <w:num w:numId="20">
    <w:abstractNumId w:val="15"/>
  </w:num>
  <w:num w:numId="21">
    <w:abstractNumId w:val="10"/>
  </w:num>
  <w:num w:numId="22">
    <w:abstractNumId w:val="23"/>
  </w:num>
  <w:num w:numId="23">
    <w:abstractNumId w:val="9"/>
  </w:num>
  <w:num w:numId="24">
    <w:abstractNumId w:val="16"/>
  </w:num>
  <w:num w:numId="25">
    <w:abstractNumId w:val="20"/>
  </w:num>
  <w:num w:numId="26">
    <w:abstractNumId w:val="21"/>
  </w:num>
  <w:num w:numId="27">
    <w:abstractNumId w:val="11"/>
  </w:num>
  <w:num w:numId="28">
    <w:abstractNumId w:val="19"/>
  </w:num>
  <w:num w:numId="29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hideSpellingErrors/>
  <w:hideGrammaticalErrors/>
  <w:attachedTemplate r:id="rId1"/>
  <w:revisionView w:markup="0"/>
  <w:defaultTabStop w:val="720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07-20 12:24:3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4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6"/>
    <w:docVar w:name="DQCResult_UnknownFonts" w:val="0;0"/>
    <w:docVar w:name="DQCResult_UnknownStyles" w:val="0;2"/>
    <w:docVar w:name="DQCStatus" w:val="Green"/>
    <w:docVar w:name="DQCVersion" w:val="3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05C4A995CC804D1A9D0E3C262095A688"/>
    <w:docVar w:name="LW_CROSSREFERENCE" w:val="{SWD(2016) 222 final}_x000b_{SWD(2016) 225 final}"/>
    <w:docVar w:name="LW_DocType" w:val="COM"/>
    <w:docVar w:name="LW_EMISSION" w:val="5.7.2016"/>
    <w:docVar w:name="LW_EMISSION_ISODATE" w:val="2016-07-05"/>
    <w:docVar w:name="LW_EMISSION_LOCATION" w:val="STR"/>
    <w:docVar w:name="LW_EMISSION_PREFIX" w:val="Strasburg, dnia "/>
    <w:docVar w:name="LW_EMISSION_SUFFIX" w:val=" r."/>
    <w:docVar w:name="LW_ID_DOCMODEL" w:val="SJ-023"/>
    <w:docVar w:name="LW_ID_DOCSIGNATURE" w:val="SJ-023"/>
    <w:docVar w:name="LW_ID_DOCSTRUCTURE" w:val="COM/PL/ORG"/>
    <w:docVar w:name="LW_ID_DOCTYPE" w:val="SJ-023"/>
    <w:docVar w:name="LW_ID_STATUT" w:val="SJ-023"/>
    <w:docVar w:name="LW_INTERETEEE.CP" w:val="&lt;UNUSED&gt;"/>
    <w:docVar w:name="LW_LANGUE" w:val="PL"/>
    <w:docVar w:name="LW_MARKING" w:val="&lt;UNUSED&gt;"/>
    <w:docVar w:name="LW_NOM.INST" w:val="KOMISJA EUROPEJSKA"/>
    <w:docVar w:name="LW_NOM.INST_JOINTDOC" w:val="&lt;EMPTY&gt;"/>
    <w:docVar w:name="LW_PART_NBR" w:val="1"/>
    <w:docVar w:name="LW_PART_NBR_TOTAL" w:val="1"/>
    <w:docVar w:name="LW_REF.II.NEW.CP" w:val="COD"/>
    <w:docVar w:name="LW_REF.II.NEW.CP_NUMBER" w:val="0207"/>
    <w:docVar w:name="LW_REF.II.NEW.CP_YEAR" w:val="2016"/>
    <w:docVar w:name="LW_REF.INST.NEW" w:val="COM"/>
    <w:docVar w:name="LW_REF.INST.NEW_ADOPTED" w:val="final"/>
    <w:docVar w:name="LW_REF.INST.NEW_TEXT" w:val="(2016) 447"/>
    <w:docVar w:name="LW_REF.INTERNE" w:val="&lt;UNUSED&gt;"/>
    <w:docVar w:name="LW_SOUS.TITRE.OBJ.CP" w:val="&lt;UNUSED&gt;"/>
    <w:docVar w:name="LW_STATUT.CP" w:val="Wniosek"/>
    <w:docVar w:name="LW_SUPERTITRE" w:val="&lt;UNUSED&gt;"/>
    <w:docVar w:name="LW_TITRE.OBJ.CP" w:val="zmieniaj\u261?ce rozporz\u261?dzenie Parlamentu Europejskiego i Rady (UE) nr 230/2014 z dnia 11 marca 2014 r. ustanawiaj\u261?ce Instrument na rzecz przyczyniania si\u281? do Stabilno\u347?ci i Pokoju"/>
    <w:docVar w:name="LW_TYPE.DOC.CP" w:val="ROZPORZ\u260?DZENIE PARLAMENTU EUROPEJSKIEGO I RADY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0" w:qFormat="1"/>
    <w:lsdException w:name="table of figures" w:uiPriority="0"/>
    <w:lsdException w:name="footnote reference" w:qFormat="1"/>
    <w:lsdException w:name="annotation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nhideWhenUsed/>
    <w:pPr>
      <w:spacing w:after="0"/>
    </w:pPr>
  </w:style>
  <w:style w:type="paragraph" w:styleId="ListBullet">
    <w:name w:val="List Bullet"/>
    <w:basedOn w:val="Normal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  <w:lang w:val="en-GB"/>
    </w:rPr>
  </w:style>
  <w:style w:type="paragraph" w:customStyle="1" w:styleId="ListBullet1">
    <w:name w:val="List Bullet 1"/>
    <w:basedOn w:val="Normal"/>
    <w:pPr>
      <w:numPr>
        <w:numId w:val="9"/>
      </w:numPr>
    </w:pPr>
    <w:rPr>
      <w:rFonts w:eastAsia="Times New Roman"/>
      <w:lang w:eastAsia="en-GB"/>
    </w:rPr>
  </w:style>
  <w:style w:type="paragraph" w:customStyle="1" w:styleId="ListDash">
    <w:name w:val="List Dash"/>
    <w:basedOn w:val="Normal"/>
    <w:pPr>
      <w:numPr>
        <w:numId w:val="10"/>
      </w:numPr>
    </w:pPr>
    <w:rPr>
      <w:rFonts w:eastAsia="Times New Roman"/>
      <w:lang w:eastAsia="en-GB"/>
    </w:rPr>
  </w:style>
  <w:style w:type="paragraph" w:customStyle="1" w:styleId="ListDash1">
    <w:name w:val="List Dash 1"/>
    <w:basedOn w:val="Normal"/>
    <w:pPr>
      <w:numPr>
        <w:numId w:val="11"/>
      </w:numPr>
    </w:pPr>
    <w:rPr>
      <w:rFonts w:eastAsia="Times New Roman"/>
      <w:lang w:eastAsia="en-GB"/>
    </w:rPr>
  </w:style>
  <w:style w:type="paragraph" w:customStyle="1" w:styleId="ListDash2">
    <w:name w:val="List Dash 2"/>
    <w:basedOn w:val="Normal"/>
    <w:pPr>
      <w:numPr>
        <w:numId w:val="12"/>
      </w:numPr>
    </w:pPr>
    <w:rPr>
      <w:rFonts w:eastAsia="Times New Roman"/>
      <w:lang w:eastAsia="en-GB"/>
    </w:rPr>
  </w:style>
  <w:style w:type="paragraph" w:customStyle="1" w:styleId="ListNumberLevel2">
    <w:name w:val="List Number (Level 2)"/>
    <w:basedOn w:val="Normal"/>
    <w:pPr>
      <w:tabs>
        <w:tab w:val="num" w:pos="1417"/>
      </w:tabs>
      <w:ind w:left="1417" w:hanging="708"/>
    </w:pPr>
    <w:rPr>
      <w:rFonts w:eastAsia="Times New Roman"/>
      <w:lang w:eastAsia="en-GB"/>
    </w:rPr>
  </w:style>
  <w:style w:type="paragraph" w:customStyle="1" w:styleId="ListNumberLevel3">
    <w:name w:val="List Number (Level 3)"/>
    <w:basedOn w:val="Normal"/>
    <w:pPr>
      <w:tabs>
        <w:tab w:val="num" w:pos="2126"/>
      </w:tabs>
      <w:ind w:left="2126" w:hanging="709"/>
    </w:pPr>
    <w:rPr>
      <w:rFonts w:eastAsia="Times New Roman"/>
      <w:lang w:eastAsia="en-GB"/>
    </w:rPr>
  </w:style>
  <w:style w:type="paragraph" w:customStyle="1" w:styleId="ListNumberLevel4">
    <w:name w:val="List Number (Level 4)"/>
    <w:basedOn w:val="Normal"/>
    <w:pPr>
      <w:tabs>
        <w:tab w:val="num" w:pos="2835"/>
      </w:tabs>
      <w:ind w:left="2835" w:hanging="709"/>
    </w:pPr>
    <w:rPr>
      <w:rFonts w:eastAsia="Times New Roman"/>
      <w:lang w:eastAsia="en-GB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Pr>
      <w:rFonts w:ascii="Times New Roman" w:eastAsia="Times New Roman" w:hAnsi="Times New Roman" w:cs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6"/>
      </w:numPr>
    </w:pPr>
  </w:style>
  <w:style w:type="paragraph" w:customStyle="1" w:styleId="Tiret1">
    <w:name w:val="Tiret 1"/>
    <w:basedOn w:val="Point1"/>
    <w:pPr>
      <w:numPr>
        <w:numId w:val="17"/>
      </w:numPr>
    </w:pPr>
  </w:style>
  <w:style w:type="paragraph" w:customStyle="1" w:styleId="Tiret2">
    <w:name w:val="Tiret 2"/>
    <w:basedOn w:val="Point2"/>
    <w:pPr>
      <w:numPr>
        <w:numId w:val="18"/>
      </w:numPr>
    </w:pPr>
  </w:style>
  <w:style w:type="paragraph" w:customStyle="1" w:styleId="Tiret3">
    <w:name w:val="Tiret 3"/>
    <w:basedOn w:val="Point3"/>
    <w:pPr>
      <w:numPr>
        <w:numId w:val="19"/>
      </w:numPr>
    </w:pPr>
  </w:style>
  <w:style w:type="paragraph" w:customStyle="1" w:styleId="Tiret4">
    <w:name w:val="Tiret 4"/>
    <w:basedOn w:val="Point4"/>
    <w:pPr>
      <w:numPr>
        <w:numId w:val="2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3"/>
      </w:numPr>
    </w:pPr>
  </w:style>
  <w:style w:type="paragraph" w:customStyle="1" w:styleId="Point1number">
    <w:name w:val="Point 1 (number)"/>
    <w:basedOn w:val="Normal"/>
    <w:pPr>
      <w:numPr>
        <w:ilvl w:val="2"/>
        <w:numId w:val="23"/>
      </w:numPr>
    </w:pPr>
  </w:style>
  <w:style w:type="paragraph" w:customStyle="1" w:styleId="Point2number">
    <w:name w:val="Point 2 (number)"/>
    <w:basedOn w:val="Normal"/>
    <w:pPr>
      <w:numPr>
        <w:ilvl w:val="4"/>
        <w:numId w:val="23"/>
      </w:numPr>
    </w:pPr>
  </w:style>
  <w:style w:type="paragraph" w:customStyle="1" w:styleId="Point3number">
    <w:name w:val="Point 3 (number)"/>
    <w:basedOn w:val="Normal"/>
    <w:pPr>
      <w:numPr>
        <w:ilvl w:val="6"/>
        <w:numId w:val="23"/>
      </w:numPr>
    </w:pPr>
  </w:style>
  <w:style w:type="paragraph" w:customStyle="1" w:styleId="Point0letter">
    <w:name w:val="Point 0 (letter)"/>
    <w:basedOn w:val="Normal"/>
    <w:pPr>
      <w:numPr>
        <w:ilvl w:val="1"/>
        <w:numId w:val="23"/>
      </w:numPr>
    </w:pPr>
  </w:style>
  <w:style w:type="paragraph" w:customStyle="1" w:styleId="Point1letter">
    <w:name w:val="Point 1 (letter)"/>
    <w:basedOn w:val="Normal"/>
    <w:pPr>
      <w:numPr>
        <w:ilvl w:val="3"/>
        <w:numId w:val="23"/>
      </w:numPr>
    </w:pPr>
  </w:style>
  <w:style w:type="paragraph" w:customStyle="1" w:styleId="Point2letter">
    <w:name w:val="Point 2 (letter)"/>
    <w:basedOn w:val="Normal"/>
    <w:pPr>
      <w:numPr>
        <w:ilvl w:val="5"/>
        <w:numId w:val="23"/>
      </w:numPr>
    </w:pPr>
  </w:style>
  <w:style w:type="paragraph" w:customStyle="1" w:styleId="Point3letter">
    <w:name w:val="Point 3 (letter)"/>
    <w:basedOn w:val="Normal"/>
    <w:pPr>
      <w:numPr>
        <w:ilvl w:val="7"/>
        <w:numId w:val="23"/>
      </w:numPr>
    </w:pPr>
  </w:style>
  <w:style w:type="paragraph" w:customStyle="1" w:styleId="Point4letter">
    <w:name w:val="Point 4 (letter)"/>
    <w:basedOn w:val="Normal"/>
    <w:pPr>
      <w:numPr>
        <w:ilvl w:val="8"/>
        <w:numId w:val="23"/>
      </w:numPr>
    </w:pPr>
  </w:style>
  <w:style w:type="paragraph" w:customStyle="1" w:styleId="Bullet0">
    <w:name w:val="Bullet 0"/>
    <w:basedOn w:val="Normal"/>
    <w:pPr>
      <w:numPr>
        <w:numId w:val="24"/>
      </w:numPr>
    </w:pPr>
  </w:style>
  <w:style w:type="paragraph" w:customStyle="1" w:styleId="Bullet1">
    <w:name w:val="Bullet 1"/>
    <w:basedOn w:val="Normal"/>
    <w:pPr>
      <w:numPr>
        <w:numId w:val="25"/>
      </w:numPr>
    </w:pPr>
  </w:style>
  <w:style w:type="paragraph" w:customStyle="1" w:styleId="Bullet2">
    <w:name w:val="Bullet 2"/>
    <w:basedOn w:val="Normal"/>
    <w:pPr>
      <w:numPr>
        <w:numId w:val="26"/>
      </w:numPr>
    </w:pPr>
  </w:style>
  <w:style w:type="paragraph" w:customStyle="1" w:styleId="Bullet3">
    <w:name w:val="Bullet 3"/>
    <w:basedOn w:val="Normal"/>
    <w:pPr>
      <w:numPr>
        <w:numId w:val="27"/>
      </w:numPr>
    </w:pPr>
  </w:style>
  <w:style w:type="paragraph" w:customStyle="1" w:styleId="Bullet4">
    <w:name w:val="Bullet 4"/>
    <w:basedOn w:val="Normal"/>
    <w:pPr>
      <w:numPr>
        <w:numId w:val="28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0" w:qFormat="1"/>
    <w:lsdException w:name="table of figures" w:uiPriority="0"/>
    <w:lsdException w:name="footnote reference" w:qFormat="1"/>
    <w:lsdException w:name="annotation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pl-PL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nhideWhenUsed/>
    <w:pPr>
      <w:spacing w:after="0"/>
    </w:pPr>
  </w:style>
  <w:style w:type="paragraph" w:styleId="ListBullet">
    <w:name w:val="List Bullet"/>
    <w:basedOn w:val="Normal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  <w:lang w:val="en-GB"/>
    </w:rPr>
  </w:style>
  <w:style w:type="paragraph" w:customStyle="1" w:styleId="ListBullet1">
    <w:name w:val="List Bullet 1"/>
    <w:basedOn w:val="Normal"/>
    <w:pPr>
      <w:numPr>
        <w:numId w:val="9"/>
      </w:numPr>
    </w:pPr>
    <w:rPr>
      <w:rFonts w:eastAsia="Times New Roman"/>
      <w:lang w:eastAsia="en-GB"/>
    </w:rPr>
  </w:style>
  <w:style w:type="paragraph" w:customStyle="1" w:styleId="ListDash">
    <w:name w:val="List Dash"/>
    <w:basedOn w:val="Normal"/>
    <w:pPr>
      <w:numPr>
        <w:numId w:val="10"/>
      </w:numPr>
    </w:pPr>
    <w:rPr>
      <w:rFonts w:eastAsia="Times New Roman"/>
      <w:lang w:eastAsia="en-GB"/>
    </w:rPr>
  </w:style>
  <w:style w:type="paragraph" w:customStyle="1" w:styleId="ListDash1">
    <w:name w:val="List Dash 1"/>
    <w:basedOn w:val="Normal"/>
    <w:pPr>
      <w:numPr>
        <w:numId w:val="11"/>
      </w:numPr>
    </w:pPr>
    <w:rPr>
      <w:rFonts w:eastAsia="Times New Roman"/>
      <w:lang w:eastAsia="en-GB"/>
    </w:rPr>
  </w:style>
  <w:style w:type="paragraph" w:customStyle="1" w:styleId="ListDash2">
    <w:name w:val="List Dash 2"/>
    <w:basedOn w:val="Normal"/>
    <w:pPr>
      <w:numPr>
        <w:numId w:val="12"/>
      </w:numPr>
    </w:pPr>
    <w:rPr>
      <w:rFonts w:eastAsia="Times New Roman"/>
      <w:lang w:eastAsia="en-GB"/>
    </w:rPr>
  </w:style>
  <w:style w:type="paragraph" w:customStyle="1" w:styleId="ListNumberLevel2">
    <w:name w:val="List Number (Level 2)"/>
    <w:basedOn w:val="Normal"/>
    <w:pPr>
      <w:tabs>
        <w:tab w:val="num" w:pos="1417"/>
      </w:tabs>
      <w:ind w:left="1417" w:hanging="708"/>
    </w:pPr>
    <w:rPr>
      <w:rFonts w:eastAsia="Times New Roman"/>
      <w:lang w:eastAsia="en-GB"/>
    </w:rPr>
  </w:style>
  <w:style w:type="paragraph" w:customStyle="1" w:styleId="ListNumberLevel3">
    <w:name w:val="List Number (Level 3)"/>
    <w:basedOn w:val="Normal"/>
    <w:pPr>
      <w:tabs>
        <w:tab w:val="num" w:pos="2126"/>
      </w:tabs>
      <w:ind w:left="2126" w:hanging="709"/>
    </w:pPr>
    <w:rPr>
      <w:rFonts w:eastAsia="Times New Roman"/>
      <w:lang w:eastAsia="en-GB"/>
    </w:rPr>
  </w:style>
  <w:style w:type="paragraph" w:customStyle="1" w:styleId="ListNumberLevel4">
    <w:name w:val="List Number (Level 4)"/>
    <w:basedOn w:val="Normal"/>
    <w:pPr>
      <w:tabs>
        <w:tab w:val="num" w:pos="2835"/>
      </w:tabs>
      <w:ind w:left="2835" w:hanging="709"/>
    </w:pPr>
    <w:rPr>
      <w:rFonts w:eastAsia="Times New Roman"/>
      <w:lang w:eastAsia="en-GB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Pr>
      <w:rFonts w:ascii="Times New Roman" w:eastAsia="Times New Roman" w:hAnsi="Times New Roman" w:cs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pl-P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6"/>
      </w:numPr>
    </w:pPr>
  </w:style>
  <w:style w:type="paragraph" w:customStyle="1" w:styleId="Tiret1">
    <w:name w:val="Tiret 1"/>
    <w:basedOn w:val="Point1"/>
    <w:pPr>
      <w:numPr>
        <w:numId w:val="17"/>
      </w:numPr>
    </w:pPr>
  </w:style>
  <w:style w:type="paragraph" w:customStyle="1" w:styleId="Tiret2">
    <w:name w:val="Tiret 2"/>
    <w:basedOn w:val="Point2"/>
    <w:pPr>
      <w:numPr>
        <w:numId w:val="18"/>
      </w:numPr>
    </w:pPr>
  </w:style>
  <w:style w:type="paragraph" w:customStyle="1" w:styleId="Tiret3">
    <w:name w:val="Tiret 3"/>
    <w:basedOn w:val="Point3"/>
    <w:pPr>
      <w:numPr>
        <w:numId w:val="19"/>
      </w:numPr>
    </w:pPr>
  </w:style>
  <w:style w:type="paragraph" w:customStyle="1" w:styleId="Tiret4">
    <w:name w:val="Tiret 4"/>
    <w:basedOn w:val="Point4"/>
    <w:pPr>
      <w:numPr>
        <w:numId w:val="20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1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1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1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1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23"/>
      </w:numPr>
    </w:pPr>
  </w:style>
  <w:style w:type="paragraph" w:customStyle="1" w:styleId="Point1number">
    <w:name w:val="Point 1 (number)"/>
    <w:basedOn w:val="Normal"/>
    <w:pPr>
      <w:numPr>
        <w:ilvl w:val="2"/>
        <w:numId w:val="23"/>
      </w:numPr>
    </w:pPr>
  </w:style>
  <w:style w:type="paragraph" w:customStyle="1" w:styleId="Point2number">
    <w:name w:val="Point 2 (number)"/>
    <w:basedOn w:val="Normal"/>
    <w:pPr>
      <w:numPr>
        <w:ilvl w:val="4"/>
        <w:numId w:val="23"/>
      </w:numPr>
    </w:pPr>
  </w:style>
  <w:style w:type="paragraph" w:customStyle="1" w:styleId="Point3number">
    <w:name w:val="Point 3 (number)"/>
    <w:basedOn w:val="Normal"/>
    <w:pPr>
      <w:numPr>
        <w:ilvl w:val="6"/>
        <w:numId w:val="23"/>
      </w:numPr>
    </w:pPr>
  </w:style>
  <w:style w:type="paragraph" w:customStyle="1" w:styleId="Point0letter">
    <w:name w:val="Point 0 (letter)"/>
    <w:basedOn w:val="Normal"/>
    <w:pPr>
      <w:numPr>
        <w:ilvl w:val="1"/>
        <w:numId w:val="23"/>
      </w:numPr>
    </w:pPr>
  </w:style>
  <w:style w:type="paragraph" w:customStyle="1" w:styleId="Point1letter">
    <w:name w:val="Point 1 (letter)"/>
    <w:basedOn w:val="Normal"/>
    <w:pPr>
      <w:numPr>
        <w:ilvl w:val="3"/>
        <w:numId w:val="23"/>
      </w:numPr>
    </w:pPr>
  </w:style>
  <w:style w:type="paragraph" w:customStyle="1" w:styleId="Point2letter">
    <w:name w:val="Point 2 (letter)"/>
    <w:basedOn w:val="Normal"/>
    <w:pPr>
      <w:numPr>
        <w:ilvl w:val="5"/>
        <w:numId w:val="23"/>
      </w:numPr>
    </w:pPr>
  </w:style>
  <w:style w:type="paragraph" w:customStyle="1" w:styleId="Point3letter">
    <w:name w:val="Point 3 (letter)"/>
    <w:basedOn w:val="Normal"/>
    <w:pPr>
      <w:numPr>
        <w:ilvl w:val="7"/>
        <w:numId w:val="23"/>
      </w:numPr>
    </w:pPr>
  </w:style>
  <w:style w:type="paragraph" w:customStyle="1" w:styleId="Point4letter">
    <w:name w:val="Point 4 (letter)"/>
    <w:basedOn w:val="Normal"/>
    <w:pPr>
      <w:numPr>
        <w:ilvl w:val="8"/>
        <w:numId w:val="23"/>
      </w:numPr>
    </w:pPr>
  </w:style>
  <w:style w:type="paragraph" w:customStyle="1" w:styleId="Bullet0">
    <w:name w:val="Bullet 0"/>
    <w:basedOn w:val="Normal"/>
    <w:pPr>
      <w:numPr>
        <w:numId w:val="24"/>
      </w:numPr>
    </w:pPr>
  </w:style>
  <w:style w:type="paragraph" w:customStyle="1" w:styleId="Bullet1">
    <w:name w:val="Bullet 1"/>
    <w:basedOn w:val="Normal"/>
    <w:pPr>
      <w:numPr>
        <w:numId w:val="25"/>
      </w:numPr>
    </w:pPr>
  </w:style>
  <w:style w:type="paragraph" w:customStyle="1" w:styleId="Bullet2">
    <w:name w:val="Bullet 2"/>
    <w:basedOn w:val="Normal"/>
    <w:pPr>
      <w:numPr>
        <w:numId w:val="26"/>
      </w:numPr>
    </w:pPr>
  </w:style>
  <w:style w:type="paragraph" w:customStyle="1" w:styleId="Bullet3">
    <w:name w:val="Bullet 3"/>
    <w:basedOn w:val="Normal"/>
    <w:pPr>
      <w:numPr>
        <w:numId w:val="27"/>
      </w:numPr>
    </w:pPr>
  </w:style>
  <w:style w:type="paragraph" w:customStyle="1" w:styleId="Bullet4">
    <w:name w:val="Bullet 4"/>
    <w:basedOn w:val="Normal"/>
    <w:pPr>
      <w:numPr>
        <w:numId w:val="28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9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yintracomm.ec.europa.eu/budgweb/EN/man/budgmanag/Pages/budgmanag.aspx" TargetMode="External"/><Relationship Id="rId2" Type="http://schemas.openxmlformats.org/officeDocument/2006/relationships/hyperlink" Target="http://www.pbsbdialogue.org/en/" TargetMode="External"/><Relationship Id="rId1" Type="http://schemas.openxmlformats.org/officeDocument/2006/relationships/hyperlink" Target="http://www.un.org/sustainabledevelopment/sustainable-development-goal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D6B2F-2CDC-4647-951D-246C7986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2</TotalTime>
  <Pages>40</Pages>
  <Words>8805</Words>
  <Characters>58819</Characters>
  <Application>Microsoft Office Word</Application>
  <DocSecurity>0</DocSecurity>
  <Lines>2262</Lines>
  <Paragraphs>814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DIGIT/A3</cp:lastModifiedBy>
  <cp:revision>19</cp:revision>
  <cp:lastPrinted>2016-06-30T15:45:00Z</cp:lastPrinted>
  <dcterms:created xsi:type="dcterms:W3CDTF">2016-07-19T10:56:00Z</dcterms:created>
  <dcterms:modified xsi:type="dcterms:W3CDTF">2016-07-20T10:24:00Z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SJ-023</vt:lpwstr>
  </property>
  <property fmtid="{D5CDD505-2E9C-101B-9397-08002B2CF9AE}" pid="10" name="DQCStatus">
    <vt:lpwstr>Green (DQC version 03)</vt:lpwstr>
  </property>
</Properties>
</file>