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C99ACDF4CAA4F4BBEA54F8DBA69E86C" style="width:450.75pt;height:446.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2013/0297 (COD)</w:t>
      </w:r>
    </w:p>
    <w:p>
      <w:pPr>
        <w:pStyle w:val="Typedudocument"/>
        <w:rPr>
          <w:noProof/>
        </w:rPr>
      </w:pPr>
      <w:r>
        <w:rPr>
          <w:noProof/>
        </w:rPr>
        <w:t>SPOROČILO KOMISIJE</w:t>
      </w:r>
      <w:r>
        <w:rPr>
          <w:noProof/>
        </w:rPr>
        <w:br/>
        <w:t>EVROPSKEMU PARLAMENTU</w:t>
      </w:r>
      <w:r>
        <w:rPr>
          <w:noProof/>
        </w:rPr>
        <w:br/>
      </w:r>
      <w:r>
        <w:rPr>
          <w:noProof/>
        </w:rPr>
        <w:br/>
        <w:t xml:space="preserve">v skladu s členom 294(6) Pogodbe o delovanju Evropske unije </w:t>
      </w:r>
      <w:r>
        <w:rPr>
          <w:noProof/>
        </w:rPr>
        <w:br/>
      </w:r>
      <w:r>
        <w:rPr>
          <w:noProof/>
        </w:rPr>
        <w:br/>
        <w:t>v zvezi s</w:t>
      </w:r>
    </w:p>
    <w:p>
      <w:pPr>
        <w:pStyle w:val="Titreobjet"/>
        <w:rPr>
          <w:noProof/>
        </w:rPr>
      </w:pPr>
      <w:r>
        <w:rPr>
          <w:noProof/>
        </w:rPr>
        <w:t>stališčem Sveta glede sprejetja predloga uredbe Evropskega parlamenta in Sveta o spremembi Uredbe (ES) št. 91/2003 o statistiki železniškega prevoza v zvezi z zbiranjem podatkov o blagu, potnikih in nesrečah</w:t>
      </w:r>
    </w:p>
    <w:p>
      <w:pPr>
        <w:pStyle w:val="IntrtEEE"/>
        <w:rPr>
          <w:noProof/>
        </w:rPr>
      </w:pPr>
      <w:r>
        <w:rPr>
          <w:noProof/>
        </w:rPr>
        <w:t>(Besedilo velja za EGP)</w:t>
      </w:r>
    </w:p>
    <w:p>
      <w:pPr>
        <w:pStyle w:val="ManualHeading1"/>
        <w:rPr>
          <w:noProof/>
          <w:sz w:val="22"/>
        </w:rPr>
      </w:pPr>
      <w:r>
        <w:rPr>
          <w:noProof/>
        </w:rPr>
        <w:t>1.</w:t>
      </w:r>
      <w:r>
        <w:rPr>
          <w:noProof/>
        </w:rPr>
        <w:tab/>
        <w:t>Ozadje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Datum predložitve predloga Evropskemu parlamentu in Svetu</w:t>
            </w:r>
          </w:p>
          <w:p>
            <w:pPr>
              <w:ind w:left="2127" w:hanging="2127"/>
              <w:rPr>
                <w:b/>
                <w:noProof/>
              </w:rPr>
            </w:pPr>
            <w:r>
              <w:rPr>
                <w:noProof/>
              </w:rPr>
              <w:t>COM(2013) 611 – 2013/297(COD):</w:t>
            </w:r>
          </w:p>
        </w:tc>
        <w:tc>
          <w:tcPr>
            <w:tcW w:w="2483" w:type="dxa"/>
          </w:tcPr>
          <w:p>
            <w:pPr>
              <w:jc w:val="left"/>
              <w:rPr>
                <w:noProof/>
              </w:rPr>
            </w:pPr>
            <w:r>
              <w:rPr>
                <w:noProof/>
              </w:rPr>
              <w:t xml:space="preserve">30. avgust 2013 </w:t>
            </w:r>
          </w:p>
        </w:tc>
      </w:tr>
      <w:tr>
        <w:tc>
          <w:tcPr>
            <w:tcW w:w="6804" w:type="dxa"/>
          </w:tcPr>
          <w:p>
            <w:pPr>
              <w:rPr>
                <w:noProof/>
              </w:rPr>
            </w:pPr>
            <w:r>
              <w:rPr>
                <w:noProof/>
              </w:rPr>
              <w:t>Datum mnenja Evropskega ekonomsko-socialnega odbora:</w:t>
            </w:r>
          </w:p>
        </w:tc>
        <w:tc>
          <w:tcPr>
            <w:tcW w:w="2483" w:type="dxa"/>
          </w:tcPr>
          <w:p>
            <w:pPr>
              <w:jc w:val="left"/>
              <w:rPr>
                <w:noProof/>
              </w:rPr>
            </w:pPr>
            <w:r>
              <w:rPr>
                <w:noProof/>
              </w:rPr>
              <w:t>ni na voljo</w:t>
            </w:r>
          </w:p>
        </w:tc>
      </w:tr>
      <w:tr>
        <w:tc>
          <w:tcPr>
            <w:tcW w:w="6804" w:type="dxa"/>
          </w:tcPr>
          <w:p>
            <w:pPr>
              <w:rPr>
                <w:noProof/>
              </w:rPr>
            </w:pPr>
            <w:r>
              <w:rPr>
                <w:noProof/>
              </w:rPr>
              <w:t>Datum stališča Evropskega parlamenta, prva obravnava:</w:t>
            </w:r>
          </w:p>
        </w:tc>
        <w:tc>
          <w:tcPr>
            <w:tcW w:w="2483" w:type="dxa"/>
          </w:tcPr>
          <w:p>
            <w:pPr>
              <w:jc w:val="left"/>
              <w:rPr>
                <w:noProof/>
              </w:rPr>
            </w:pPr>
            <w:r>
              <w:rPr>
                <w:noProof/>
              </w:rPr>
              <w:t xml:space="preserve">11. marec 2014 </w:t>
            </w:r>
          </w:p>
        </w:tc>
      </w:tr>
      <w:tr>
        <w:tc>
          <w:tcPr>
            <w:tcW w:w="6804" w:type="dxa"/>
          </w:tcPr>
          <w:p>
            <w:pPr>
              <w:rPr>
                <w:noProof/>
              </w:rPr>
            </w:pPr>
            <w:r>
              <w:rPr>
                <w:noProof/>
              </w:rPr>
              <w:t>Datum predložitve spremenjenega predloga:</w:t>
            </w:r>
          </w:p>
        </w:tc>
        <w:tc>
          <w:tcPr>
            <w:tcW w:w="2483" w:type="dxa"/>
          </w:tcPr>
          <w:p>
            <w:pPr>
              <w:jc w:val="left"/>
              <w:rPr>
                <w:noProof/>
              </w:rPr>
            </w:pPr>
            <w:r>
              <w:rPr>
                <w:noProof/>
              </w:rPr>
              <w:t xml:space="preserve">ni na voljo </w:t>
            </w:r>
          </w:p>
        </w:tc>
      </w:tr>
      <w:tr>
        <w:tc>
          <w:tcPr>
            <w:tcW w:w="6804" w:type="dxa"/>
          </w:tcPr>
          <w:p>
            <w:pPr>
              <w:rPr>
                <w:noProof/>
              </w:rPr>
            </w:pPr>
            <w:r>
              <w:rPr>
                <w:noProof/>
              </w:rPr>
              <w:t>Datum sprejetja stališča Sveta:</w:t>
            </w:r>
          </w:p>
        </w:tc>
        <w:tc>
          <w:tcPr>
            <w:tcW w:w="2483" w:type="dxa"/>
          </w:tcPr>
          <w:p>
            <w:pPr>
              <w:jc w:val="left"/>
              <w:rPr>
                <w:noProof/>
              </w:rPr>
            </w:pPr>
            <w:r>
              <w:rPr>
                <w:noProof/>
              </w:rPr>
              <w:t>18. julij 2016</w:t>
            </w:r>
          </w:p>
        </w:tc>
      </w:tr>
    </w:tbl>
    <w:p>
      <w:pPr>
        <w:pStyle w:val="ManualHeading1"/>
        <w:rPr>
          <w:noProof/>
        </w:rPr>
      </w:pPr>
      <w:r>
        <w:rPr>
          <w:noProof/>
        </w:rPr>
        <w:t>2.</w:t>
      </w:r>
      <w:r>
        <w:rPr>
          <w:noProof/>
        </w:rPr>
        <w:tab/>
        <w:t>Cilj predloga Komisije</w:t>
      </w:r>
    </w:p>
    <w:p>
      <w:pPr>
        <w:autoSpaceDE w:val="0"/>
        <w:autoSpaceDN w:val="0"/>
        <w:adjustRightInd w:val="0"/>
        <w:rPr>
          <w:noProof/>
          <w:szCs w:val="20"/>
        </w:rPr>
      </w:pPr>
      <w:r>
        <w:rPr>
          <w:noProof/>
        </w:rPr>
        <w:t>Namen predloga Komisije je sprememba Uredbe (ES) št. 91/2003</w:t>
      </w:r>
      <w:r>
        <w:rPr>
          <w:rStyle w:val="FootnoteReference"/>
          <w:noProof/>
        </w:rPr>
        <w:footnoteReference w:id="1"/>
      </w:r>
      <w:r>
        <w:rPr>
          <w:noProof/>
        </w:rPr>
        <w:t xml:space="preserve"> zaradi posodobitve, poenostavitve in optimizacije obstoječega pravnega okvira za evropsko statistiko železniškega prevoza ter njegove uskladitve s Pogodbo o delovanju Evropske unije (PDEU), kar zadeva delegirana in izvedbena pooblastila. </w:t>
      </w:r>
    </w:p>
    <w:p>
      <w:pPr>
        <w:rPr>
          <w:noProof/>
        </w:rPr>
      </w:pPr>
      <w:r>
        <w:rPr>
          <w:noProof/>
        </w:rPr>
        <w:t>Predlagana uredba bi Komisijo pooblastila za sprejemanje delegiranih aktov za prilagoditve opredelitev in pragov za poročanje, spremembe vsebine prilog ter specifikacijo informacij, ki jih je treba predložiti.</w:t>
      </w:r>
    </w:p>
    <w:p>
      <w:pPr>
        <w:rPr>
          <w:noProof/>
        </w:rPr>
      </w:pPr>
      <w:r>
        <w:rPr>
          <w:noProof/>
        </w:rPr>
        <w:t>Prav tako bi Komisiji podelila izvedbena pooblastila, da bi se zagotovili enotni pogoji za specifikacijo informacij, ki jih je treba zagotoviti za pripravo poročil o kakovosti in primerljivosti rezultatov, v skladu s postopkom pregleda, določenim v členu 5 Uredbe (EU) št. 182/2011</w:t>
      </w:r>
      <w:r>
        <w:rPr>
          <w:rStyle w:val="FootnoteReference"/>
          <w:noProof/>
        </w:rPr>
        <w:footnoteReference w:id="2"/>
      </w:r>
      <w:r>
        <w:rPr>
          <w:noProof/>
        </w:rPr>
        <w:t xml:space="preserve">. </w:t>
      </w:r>
    </w:p>
    <w:p>
      <w:pPr>
        <w:pStyle w:val="ManualHeading1"/>
        <w:rPr>
          <w:noProof/>
        </w:rPr>
      </w:pPr>
      <w:r>
        <w:rPr>
          <w:noProof/>
        </w:rPr>
        <w:lastRenderedPageBreak/>
        <w:t>3.</w:t>
      </w:r>
      <w:r>
        <w:rPr>
          <w:noProof/>
        </w:rPr>
        <w:tab/>
        <w:t>Pripombe k stališču Sveta</w:t>
      </w:r>
    </w:p>
    <w:p>
      <w:pPr>
        <w:pStyle w:val="ManualHeading2"/>
        <w:rPr>
          <w:noProof/>
        </w:rPr>
      </w:pPr>
      <w:r>
        <w:rPr>
          <w:noProof/>
        </w:rPr>
        <w:t>3.1</w:t>
      </w:r>
      <w:r>
        <w:rPr>
          <w:noProof/>
        </w:rPr>
        <w:tab/>
        <w:t>Splošne pripombe</w:t>
      </w:r>
    </w:p>
    <w:p>
      <w:pPr>
        <w:widowControl w:val="0"/>
        <w:rPr>
          <w:noProof/>
        </w:rPr>
      </w:pPr>
      <w:r>
        <w:rPr>
          <w:noProof/>
        </w:rPr>
        <w:t>Stališče Sveta na eni strani odraža dogovor, dosežen med Svetom, Odborom Evropskega parlamenta za promet in turizem ter Komisijo v tristranskih razpravah dne 24. maja 2016, na drugi strani pa Medinstitucionalni sporazum o boljši pripravi zakonodaje z dne 13. aprila 2016</w:t>
      </w:r>
      <w:r>
        <w:rPr>
          <w:rStyle w:val="FootnoteReference"/>
          <w:noProof/>
        </w:rPr>
        <w:footnoteReference w:id="3"/>
      </w:r>
      <w:r>
        <w:rPr>
          <w:noProof/>
        </w:rPr>
        <w:t xml:space="preserve">. </w:t>
      </w:r>
    </w:p>
    <w:p>
      <w:pPr>
        <w:widowControl w:val="0"/>
        <w:rPr>
          <w:noProof/>
        </w:rPr>
      </w:pPr>
      <w:r>
        <w:rPr>
          <w:noProof/>
        </w:rPr>
        <w:t>Najbolj sporno vprašanje, ki je blokiralo dokument, je bila dosega dogovora z Evropskim  parlamentom o formalizaciji izmenjave podatkov med Eurostatom, Evropsko agencijo za železniški promet (ERA)</w:t>
      </w:r>
      <w:r>
        <w:rPr>
          <w:rStyle w:val="FootnoteReference"/>
          <w:noProof/>
        </w:rPr>
        <w:footnoteReference w:id="4"/>
      </w:r>
      <w:r>
        <w:rPr>
          <w:noProof/>
        </w:rPr>
        <w:t xml:space="preserve"> in Generalnim direktoratom za mobilnost in promet (GD MOVE) z dvostranskima memoranduma o soglasju. </w:t>
      </w:r>
    </w:p>
    <w:p>
      <w:pPr>
        <w:spacing w:before="0" w:after="0"/>
        <w:rPr>
          <w:noProof/>
        </w:rPr>
      </w:pPr>
      <w:r>
        <w:rPr>
          <w:noProof/>
        </w:rPr>
        <w:t xml:space="preserve">Dogovor je bil dosežen s podpisom dveh memorandumov o soglasju, in sicer med Eurostatom in GD MOVE ter med Eurostatom in ERA. Z njima je Evropski parlament dobil zagotovilo, da bodo podatki, ki jih je zahteval, obdelani ter da postanejo dostopni. </w:t>
      </w:r>
    </w:p>
    <w:p>
      <w:pPr>
        <w:ind w:left="14" w:right="-8"/>
        <w:rPr>
          <w:bCs/>
          <w:iCs/>
          <w:noProof/>
        </w:rPr>
      </w:pPr>
      <w:r>
        <w:rPr>
          <w:noProof/>
        </w:rPr>
        <w:t>Besedilo ne vsebuje izrecnega sklicevanja na memoranduma o soglasju, vendar se uvodna izjava nanaša na „ustrezne sporazume o sodelovanju pri statističnih dejavnostih“.</w:t>
      </w:r>
    </w:p>
    <w:p>
      <w:pPr>
        <w:widowControl w:val="0"/>
        <w:rPr>
          <w:noProof/>
        </w:rPr>
      </w:pPr>
      <w:r>
        <w:rPr>
          <w:noProof/>
        </w:rPr>
        <w:t>Svet je sprejel stališče v prvi obravnavi 18. julija 2016</w:t>
      </w:r>
      <w:r>
        <w:rPr>
          <w:i/>
          <w:noProof/>
        </w:rPr>
        <w:t>.</w:t>
      </w:r>
      <w:r>
        <w:rPr>
          <w:noProof/>
        </w:rPr>
        <w:t xml:space="preserve"> </w:t>
      </w:r>
    </w:p>
    <w:p>
      <w:pPr>
        <w:widowControl w:val="0"/>
        <w:rPr>
          <w:noProof/>
          <w:szCs w:val="24"/>
        </w:rPr>
      </w:pPr>
      <w:r>
        <w:rPr>
          <w:noProof/>
        </w:rPr>
        <w:t>Stališče Sveta je za Komisijo sprejemljivo.</w:t>
      </w:r>
    </w:p>
    <w:p>
      <w:pPr>
        <w:pStyle w:val="ManualHeading2"/>
        <w:rPr>
          <w:noProof/>
        </w:rPr>
      </w:pPr>
      <w:r>
        <w:rPr>
          <w:noProof/>
        </w:rPr>
        <w:t>3.2</w:t>
      </w:r>
      <w:r>
        <w:rPr>
          <w:noProof/>
        </w:rPr>
        <w:tab/>
        <w:t>Pripombe k spremembam, ki jih je sprejel Evropski parlament</w:t>
      </w:r>
    </w:p>
    <w:p>
      <w:pPr>
        <w:pStyle w:val="ManualHeading3"/>
        <w:rPr>
          <w:noProof/>
          <w:highlight w:val="yellow"/>
        </w:rPr>
      </w:pPr>
      <w:r>
        <w:rPr>
          <w:noProof/>
        </w:rPr>
        <w:t>3.2.1</w:t>
      </w:r>
      <w:r>
        <w:rPr>
          <w:noProof/>
        </w:rPr>
        <w:tab/>
        <w:t>Spremembe Evropskega parlamenta, ki so v celoti, delno ali načelno vključene v stališče Sveta med prvo obravnavo</w:t>
      </w:r>
    </w:p>
    <w:p>
      <w:pPr>
        <w:spacing w:before="0" w:after="0"/>
        <w:rPr>
          <w:noProof/>
        </w:rPr>
      </w:pPr>
      <w:r>
        <w:rPr>
          <w:noProof/>
        </w:rPr>
        <w:t xml:space="preserve">Evropski parlament je 11. marca 2014 sprejel zakonodajno resolucijo, v kateri je predlagal 23 sprememb. Komisija je zavrnila večino predlogov, vključno z zahtevki za dodatne spremenljivke. Evropski parlament je zlasti menil, da bi bilo treba zbiranje podatkov nadalje razširiti z vključitvijo podatkov o železniški infrastrukturi in da bi bilo treba pri statistiki o prevozu potnikov uporabljati več merjenih spremenljivk, zlasti v zvezi s čezmejnimi povezavami, za katere je menil, da bi morale biti v središču prevozne politike EU. </w:t>
      </w:r>
    </w:p>
    <w:p>
      <w:pPr>
        <w:pStyle w:val="ManualHeading3"/>
        <w:rPr>
          <w:noProof/>
          <w:szCs w:val="24"/>
        </w:rPr>
      </w:pPr>
      <w:r>
        <w:rPr>
          <w:noProof/>
        </w:rPr>
        <w:t>3.2.2</w:t>
      </w:r>
      <w:r>
        <w:rPr>
          <w:noProof/>
        </w:rPr>
        <w:tab/>
        <w:t>Spremembe Evropskega parlamenta, ki niso vključene v stališče Sveta med prvo obravnavo</w:t>
      </w:r>
    </w:p>
    <w:p>
      <w:pPr>
        <w:rPr>
          <w:noProof/>
        </w:rPr>
      </w:pPr>
      <w:r>
        <w:rPr>
          <w:noProof/>
        </w:rPr>
        <w:t xml:space="preserve">Glavne spremembe v zvezi z eksplicitno vključitvijo novih spremenljivk niso bile vključene v stališče Sveta. </w:t>
      </w:r>
    </w:p>
    <w:p>
      <w:pPr>
        <w:pStyle w:val="ManualHeading2"/>
        <w:rPr>
          <w:noProof/>
        </w:rPr>
      </w:pPr>
      <w:r>
        <w:rPr>
          <w:noProof/>
        </w:rPr>
        <w:t>3.3</w:t>
      </w:r>
      <w:r>
        <w:rPr>
          <w:noProof/>
        </w:rPr>
        <w:tab/>
        <w:t>Določbe, ki jih je Svet spremenil, in stališče Komisije</w:t>
      </w:r>
    </w:p>
    <w:p>
      <w:pPr>
        <w:rPr>
          <w:bCs/>
          <w:iCs/>
          <w:noProof/>
        </w:rPr>
      </w:pPr>
      <w:r>
        <w:rPr>
          <w:noProof/>
        </w:rPr>
        <w:t>Nova uvodna izjava (3a) obravnava vprašanje nadaljnjega zbiranja podatkov, da se prepreči podvajanje dela in optimizira uporaba obstoječih informacij. Določa tudi, da „bilo treba med službami Komisije in ustreznimi subjekti, tudi na mednarodni ravni, skleniti ustrezne sporazume o sodelovanju pri statističnih dejavnostih“.</w:t>
      </w:r>
    </w:p>
    <w:p>
      <w:pPr>
        <w:rPr>
          <w:noProof/>
        </w:rPr>
      </w:pPr>
      <w:r>
        <w:rPr>
          <w:noProof/>
        </w:rPr>
        <w:lastRenderedPageBreak/>
        <w:t>Člen 3(2) se nanaša na izključno pooblastilo, ki se podeli Komisiji, za sprejemanje delegiranih aktov za prilagoditev obstoječih tehničnih opredelitev in dodajanje novih. Določa tudi, da Komisija pri izvajanju tega pooblastila zagotovi, da se z delegiranimi akti državam članicam ali dajalcem podatkov ne naloži znatnega dodatnega bremena. Komisija poleg tega ustrezno utemelji ukrepe iz teh delegiranih aktov, po potrebi z analizo stroškovne učinkovitosti, vključno z oceno obremenitve dajalcev podatkov in stroškov priprave, kot je določeno v točki (c) člena 14(3) Uredbe (ES) št. 223/2009.</w:t>
      </w:r>
    </w:p>
    <w:p>
      <w:pPr>
        <w:pStyle w:val="Text1"/>
        <w:spacing w:before="100" w:beforeAutospacing="1" w:after="100" w:afterAutospacing="1"/>
        <w:ind w:left="0"/>
        <w:rPr>
          <w:noProof/>
          <w:szCs w:val="24"/>
        </w:rPr>
      </w:pPr>
      <w:r>
        <w:rPr>
          <w:noProof/>
        </w:rPr>
        <w:t xml:space="preserve">Čeprav Komisija obžaluje omejen obseg pooblastila v primerjavi </w:t>
      </w:r>
      <w:r>
        <w:rPr>
          <w:rStyle w:val="DefaultMargins"/>
          <w:rFonts w:ascii="Times New Roman" w:hAnsi="Times New Roman"/>
          <w:noProof/>
          <w:spacing w:val="-2"/>
          <w:sz w:val="24"/>
        </w:rPr>
        <w:t>s prvotnim predlogom</w:t>
      </w:r>
      <w:r>
        <w:rPr>
          <w:noProof/>
        </w:rPr>
        <w:t>, v duhu sklenitve sporazuma meni, da je sedanja določba sprejemljiva.</w:t>
      </w:r>
    </w:p>
    <w:p>
      <w:pPr>
        <w:pStyle w:val="Text1"/>
        <w:spacing w:before="100" w:beforeAutospacing="1" w:after="100" w:afterAutospacing="1"/>
        <w:ind w:left="0"/>
        <w:rPr>
          <w:noProof/>
          <w:szCs w:val="24"/>
        </w:rPr>
      </w:pPr>
      <w:r>
        <w:rPr>
          <w:noProof/>
        </w:rPr>
        <w:t xml:space="preserve">Uvedeni sta bili dve nadaljnji spremembi: </w:t>
      </w:r>
    </w:p>
    <w:p>
      <w:pPr>
        <w:pStyle w:val="Default"/>
        <w:jc w:val="both"/>
        <w:rPr>
          <w:noProof/>
        </w:rPr>
      </w:pPr>
      <w:r>
        <w:rPr>
          <w:noProof/>
        </w:rPr>
        <w:t xml:space="preserve">Členu 7 je bil dodan nov odstavek v zvezi z izvedbenimi ukrepi, ki se sprejmejo in ki določajo pogoje razširjanja rezultatov. </w:t>
      </w:r>
    </w:p>
    <w:p>
      <w:pPr>
        <w:pStyle w:val="Default"/>
        <w:jc w:val="both"/>
        <w:rPr>
          <w:noProof/>
        </w:rPr>
      </w:pPr>
    </w:p>
    <w:p>
      <w:pPr>
        <w:pStyle w:val="Default"/>
        <w:jc w:val="both"/>
        <w:rPr>
          <w:noProof/>
        </w:rPr>
      </w:pPr>
      <w:r>
        <w:rPr>
          <w:noProof/>
        </w:rPr>
        <w:t>Novi člen 9 o poročanju določa, da Komisija do 31. decembra 2020 poroča Evropskemu parlamentu in Svetu o izvajanju Uredbe (ES) št. 91/2003, nato pa vsaka štiri leta in ne več le enkrat, kot določa sedanja uredba.</w:t>
      </w:r>
    </w:p>
    <w:p>
      <w:pPr>
        <w:pStyle w:val="Text1"/>
        <w:ind w:left="0"/>
        <w:rPr>
          <w:noProof/>
        </w:rPr>
      </w:pPr>
      <w:r>
        <w:rPr>
          <w:noProof/>
        </w:rPr>
        <w:t>Standardna uvodna izjava in člen 10 o izvajanju prenosa pooblastil sta v skladu z novim Medinstitucionalnim sporazumom o boljši pripravi zakonodaje.</w:t>
      </w:r>
    </w:p>
    <w:p>
      <w:pPr>
        <w:pStyle w:val="Text1"/>
        <w:ind w:left="0"/>
        <w:rPr>
          <w:noProof/>
        </w:rPr>
      </w:pPr>
      <w:r>
        <w:rPr>
          <w:noProof/>
        </w:rPr>
        <w:t>Komisija navedene spremembe podpira.</w:t>
      </w:r>
    </w:p>
    <w:p>
      <w:pPr>
        <w:pStyle w:val="ManualHeading1"/>
        <w:rPr>
          <w:noProof/>
        </w:rPr>
      </w:pPr>
      <w:r>
        <w:rPr>
          <w:noProof/>
        </w:rPr>
        <w:t>4.</w:t>
      </w:r>
      <w:r>
        <w:rPr>
          <w:noProof/>
        </w:rPr>
        <w:tab/>
        <w:t>Sklepna ugotovitev</w:t>
      </w:r>
    </w:p>
    <w:p>
      <w:pPr>
        <w:autoSpaceDE w:val="0"/>
        <w:autoSpaceDN w:val="0"/>
        <w:adjustRightInd w:val="0"/>
        <w:rPr>
          <w:noProof/>
        </w:rPr>
      </w:pPr>
      <w:r>
        <w:rPr>
          <w:noProof/>
        </w:rPr>
        <w:t>Komisija podpira doseženi kompromis, saj je zelo podoben njenemu prvotnemu predlogu. Poleg tega ne povzroča dodatnega bremena za dajalce podatkov in je zato v skladu s ciljem poenostavitve obstoječega pravnega okvira za evropsko statistiko o železniškem prometu. Glede uskladitve Uredbe (ES) št. 91/2003 s PDEU kompromis kljub nekaterim omejitvam zagotavlja dobro ravnotežje med delegiranimi in izvedbenimi akti. Besedilo je primer uspešne uporabe novega Medinstitucionalnega sporazuma o boljši pripravi zakonodaje.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Evropskega parlamenta in Sveta (ES) št. 91/2003 z dne 16. decembra 2002 o statistiki železniškega prevoza (UL L 14, 21.1.2003, str. 1).</w:t>
      </w:r>
    </w:p>
  </w:footnote>
  <w:footnote w:id="2">
    <w:p>
      <w:pPr>
        <w:pStyle w:val="FootnoteText"/>
      </w:pPr>
      <w:r>
        <w:rPr>
          <w:rStyle w:val="FootnoteReference"/>
        </w:rPr>
        <w:footnoteRef/>
      </w:r>
      <w:r>
        <w:tab/>
      </w:r>
      <w:r>
        <w:rPr>
          <w:bCs/>
        </w:rPr>
        <w:t>Uredba (EU) št. 182/2011 Evropskega parlamenta in Sveta z dne 16. februarja 2011 o določitvi splošnih pravil in načel, na podlagi katerih države članice nadzirajo izvajanje izvedbenih pooblastil Komisije (</w:t>
      </w:r>
      <w:r>
        <w:rPr>
          <w:iCs/>
        </w:rPr>
        <w:t>UL L 55, 28.2.2011, str. 13).</w:t>
      </w:r>
    </w:p>
  </w:footnote>
  <w:footnote w:id="3">
    <w:p>
      <w:pPr>
        <w:pStyle w:val="FootnoteText"/>
      </w:pPr>
      <w:r>
        <w:rPr>
          <w:rStyle w:val="FootnoteReference"/>
        </w:rPr>
        <w:footnoteRef/>
      </w:r>
      <w:r>
        <w:tab/>
        <w:t>UL L 123, 12.5.2016, str. 1.</w:t>
      </w:r>
    </w:p>
  </w:footnote>
  <w:footnote w:id="4">
    <w:p>
      <w:pPr>
        <w:pStyle w:val="FootnoteText"/>
      </w:pPr>
      <w:r>
        <w:rPr>
          <w:rStyle w:val="FootnoteReference"/>
        </w:rPr>
        <w:footnoteRef/>
      </w:r>
      <w:r>
        <w:tab/>
        <w:t>Uredba (ES) št. 881/2004 Evropskega parlamenta in Sveta z dne 29. aprila 2004 o ustanovitvi Evropske železniške agencije (UL L 164, 30.4.2004, str. 1). Agencija Evropske unije za železnice je 16. junija 2016, po začetku veljavnosti Uredbe (EU) 2016/796 Evropskega parlamenta in Sveta z dne 11. maja 2016 o Agenciji Evropske unije za železnice in razveljavitvi Uredbe (ES) št. 881/2004 (UL L 138, 26.5.2016, str. 1), nadomestila in nasledila Evropsko železniško agencijo (ERA).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E6A7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C17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48A4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42480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3E4F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0D1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204BD4"/>
    <w:lvl w:ilvl="0">
      <w:start w:val="1"/>
      <w:numFmt w:val="decimal"/>
      <w:pStyle w:val="ListNumber"/>
      <w:lvlText w:val="%1."/>
      <w:lvlJc w:val="left"/>
      <w:pPr>
        <w:tabs>
          <w:tab w:val="num" w:pos="360"/>
        </w:tabs>
        <w:ind w:left="360" w:hanging="360"/>
      </w:pPr>
    </w:lvl>
  </w:abstractNum>
  <w:abstractNum w:abstractNumId="7">
    <w:nsid w:val="FFFFFF89"/>
    <w:multiLevelType w:val="singleLevel"/>
    <w:tmpl w:val="3F5064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num>
  <w:num w:numId="10">
    <w:abstractNumId w:val="19"/>
  </w:num>
  <w:num w:numId="11">
    <w:abstractNumId w:val="13"/>
  </w:num>
  <w:num w:numId="12">
    <w:abstractNumId w:val="21"/>
  </w:num>
  <w:num w:numId="13">
    <w:abstractNumId w:val="12"/>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1 13:50: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CC99ACDF4CAA4F4BBEA54F8DBA69E86C"/>
    <w:docVar w:name="LW_CROSSREFERENCE" w:val="&lt;UNUSED&gt;"/>
    <w:docVar w:name="LW_DocType" w:val="COM"/>
    <w:docVar w:name="LW_EMISSION" w:val="10.8.2016"/>
    <w:docVar w:name="LW_EMISSION_ISODATE" w:val="2016-08-10"/>
    <w:docVar w:name="LW_EMISSION_LOCATION" w:val="BRX"/>
    <w:docVar w:name="LW_EMISSION_PREFIX" w:val="Bruselj, "/>
    <w:docVar w:name="LW_EMISSION_SUFFIX" w:val=" "/>
    <w:docVar w:name="LW_ID_DOCMODEL" w:val="SJ-028"/>
    <w:docVar w:name="LW_ID_DOCSTRUCTURE" w:val="COM/PL/CODEC"/>
    <w:docVar w:name="LW_ID_DOCTYPE" w:val="SJ-028"/>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97"/>
    <w:docVar w:name="LW_REF.II.NEW.CP_YEAR" w:val="2013"/>
    <w:docVar w:name="LW_REF.INST.NEW" w:val="COM"/>
    <w:docVar w:name="LW_REF.INST.NEW_ADOPTED" w:val="final"/>
    <w:docVar w:name="LW_REF.INST.NEW_TEXT" w:val="(2016) 506"/>
    <w:docVar w:name="LW_REF.INTERNE" w:val="&lt;UNUSED&gt;"/>
    <w:docVar w:name="LW_SOUS.TITRE.OBJ.CP" w:val="&lt;UNUSED&gt;"/>
    <w:docVar w:name="LW_SUPERTITRE" w:val="&lt;UNUSED&gt;"/>
    <w:docVar w:name="LW_TITRE.OBJ.CP" w:val="stali\u353?\u269?em Sveta glede sprejetja predloga uredbe Evropskega parlamenta in Sveta o spremembi Uredbe (ES) \u353?t. 91/2003 o statistiki \u382?elezni\u353?kega prevoza v zvezi z zbiranjem podatkov o blagu, potnikih in nesre\u269?ah"/>
    <w:docVar w:name="LW_TYPE.DOC.CP" w:val="SPORO\u268?ILO KOMISIJE_x000b_EVROPSKEMU PARLAMENTU_x000b__x000b_v skladu s \u269?lenom 294(6) Pogodbe o delovanju Evropske unije _x000b__x000b_v zvezi 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qFormat/>
    <w:rPr>
      <w:b/>
      <w:bCs/>
      <w:shd w:val="clear" w:color="auto" w:fill="auto"/>
    </w:rPr>
  </w:style>
  <w:style w:type="character" w:styleId="Emphasis">
    <w:name w:val="Emphasis"/>
    <w:qFormat/>
    <w:rPr>
      <w:i/>
      <w:iCs/>
      <w:shd w:val="clear" w:color="auto" w:fill="auto"/>
    </w:rPr>
  </w:style>
  <w:style w:type="character" w:customStyle="1" w:styleId="DefaultMargins">
    <w:name w:val="DefaultMargins"/>
    <w:rPr>
      <w:rFonts w:ascii="Courier New" w:hAnsi="Courier New" w:cs="Times New Roman" w:hint="default"/>
      <w:sz w:val="20"/>
      <w:lang w:val="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itialChar">
    <w:name w:val="Initial Char"/>
    <w:link w:val="Initial"/>
    <w:locked/>
    <w:rPr>
      <w:spacing w:val="-3"/>
      <w:sz w:val="24"/>
      <w:lang w:eastAsia="sl-SI"/>
    </w:rPr>
  </w:style>
  <w:style w:type="paragraph" w:customStyle="1" w:styleId="Initial">
    <w:name w:val="Initial"/>
    <w:link w:val="InitialChar"/>
    <w:pPr>
      <w:tabs>
        <w:tab w:val="left" w:pos="-720"/>
      </w:tabs>
      <w:suppressAutoHyphens/>
      <w:spacing w:after="0" w:line="240" w:lineRule="auto"/>
      <w:jc w:val="both"/>
    </w:pPr>
    <w:rPr>
      <w:spacing w:val="-3"/>
      <w:sz w:val="24"/>
    </w:rPr>
  </w:style>
  <w:style w:type="paragraph" w:styleId="NormalWeb">
    <w:name w:val="Normal (Web)"/>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ListBullet1">
    <w:name w:val="List Bullet 1"/>
    <w:basedOn w:val="Text1"/>
    <w:pPr>
      <w:numPr>
        <w:numId w:val="9"/>
      </w:numPr>
      <w:spacing w:before="0" w:after="240"/>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qFormat/>
    <w:rPr>
      <w:b/>
      <w:bCs/>
      <w:shd w:val="clear" w:color="auto" w:fill="auto"/>
    </w:rPr>
  </w:style>
  <w:style w:type="character" w:styleId="Emphasis">
    <w:name w:val="Emphasis"/>
    <w:qFormat/>
    <w:rPr>
      <w:i/>
      <w:iCs/>
      <w:shd w:val="clear" w:color="auto" w:fill="auto"/>
    </w:rPr>
  </w:style>
  <w:style w:type="character" w:customStyle="1" w:styleId="DefaultMargins">
    <w:name w:val="DefaultMargins"/>
    <w:rPr>
      <w:rFonts w:ascii="Courier New" w:hAnsi="Courier New" w:cs="Times New Roman" w:hint="default"/>
      <w:sz w:val="20"/>
      <w:lang w:val="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itialChar">
    <w:name w:val="Initial Char"/>
    <w:link w:val="Initial"/>
    <w:locked/>
    <w:rPr>
      <w:spacing w:val="-3"/>
      <w:sz w:val="24"/>
      <w:lang w:eastAsia="sl-SI"/>
    </w:rPr>
  </w:style>
  <w:style w:type="paragraph" w:customStyle="1" w:styleId="Initial">
    <w:name w:val="Initial"/>
    <w:link w:val="InitialChar"/>
    <w:pPr>
      <w:tabs>
        <w:tab w:val="left" w:pos="-720"/>
      </w:tabs>
      <w:suppressAutoHyphens/>
      <w:spacing w:after="0" w:line="240" w:lineRule="auto"/>
      <w:jc w:val="both"/>
    </w:pPr>
    <w:rPr>
      <w:spacing w:val="-3"/>
      <w:sz w:val="24"/>
    </w:rPr>
  </w:style>
  <w:style w:type="paragraph" w:styleId="NormalWeb">
    <w:name w:val="Normal (Web)"/>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ListBullet1">
    <w:name w:val="List Bullet 1"/>
    <w:basedOn w:val="Text1"/>
    <w:pPr>
      <w:numPr>
        <w:numId w:val="9"/>
      </w:numPr>
      <w:spacing w:before="0" w:after="240"/>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832">
      <w:bodyDiv w:val="1"/>
      <w:marLeft w:val="0"/>
      <w:marRight w:val="0"/>
      <w:marTop w:val="0"/>
      <w:marBottom w:val="0"/>
      <w:divBdr>
        <w:top w:val="none" w:sz="0" w:space="0" w:color="auto"/>
        <w:left w:val="none" w:sz="0" w:space="0" w:color="auto"/>
        <w:bottom w:val="none" w:sz="0" w:space="0" w:color="auto"/>
        <w:right w:val="none" w:sz="0" w:space="0" w:color="auto"/>
      </w:divBdr>
    </w:div>
    <w:div w:id="781189942">
      <w:bodyDiv w:val="1"/>
      <w:marLeft w:val="0"/>
      <w:marRight w:val="0"/>
      <w:marTop w:val="0"/>
      <w:marBottom w:val="0"/>
      <w:divBdr>
        <w:top w:val="none" w:sz="0" w:space="0" w:color="auto"/>
        <w:left w:val="none" w:sz="0" w:space="0" w:color="auto"/>
        <w:bottom w:val="none" w:sz="0" w:space="0" w:color="auto"/>
        <w:right w:val="none" w:sz="0" w:space="0" w:color="auto"/>
      </w:divBdr>
    </w:div>
    <w:div w:id="1046443012">
      <w:bodyDiv w:val="1"/>
      <w:marLeft w:val="0"/>
      <w:marRight w:val="0"/>
      <w:marTop w:val="0"/>
      <w:marBottom w:val="0"/>
      <w:divBdr>
        <w:top w:val="none" w:sz="0" w:space="0" w:color="auto"/>
        <w:left w:val="none" w:sz="0" w:space="0" w:color="auto"/>
        <w:bottom w:val="none" w:sz="0" w:space="0" w:color="auto"/>
        <w:right w:val="none" w:sz="0" w:space="0" w:color="auto"/>
      </w:divBdr>
    </w:div>
    <w:div w:id="1281642853">
      <w:bodyDiv w:val="1"/>
      <w:marLeft w:val="0"/>
      <w:marRight w:val="0"/>
      <w:marTop w:val="0"/>
      <w:marBottom w:val="0"/>
      <w:divBdr>
        <w:top w:val="none" w:sz="0" w:space="0" w:color="auto"/>
        <w:left w:val="none" w:sz="0" w:space="0" w:color="auto"/>
        <w:bottom w:val="none" w:sz="0" w:space="0" w:color="auto"/>
        <w:right w:val="none" w:sz="0" w:space="0" w:color="auto"/>
      </w:divBdr>
    </w:div>
    <w:div w:id="1632979602">
      <w:bodyDiv w:val="1"/>
      <w:marLeft w:val="0"/>
      <w:marRight w:val="0"/>
      <w:marTop w:val="0"/>
      <w:marBottom w:val="0"/>
      <w:divBdr>
        <w:top w:val="none" w:sz="0" w:space="0" w:color="auto"/>
        <w:left w:val="none" w:sz="0" w:space="0" w:color="auto"/>
        <w:bottom w:val="none" w:sz="0" w:space="0" w:color="auto"/>
        <w:right w:val="none" w:sz="0" w:space="0" w:color="auto"/>
      </w:divBdr>
    </w:div>
    <w:div w:id="1704551639">
      <w:bodyDiv w:val="1"/>
      <w:marLeft w:val="0"/>
      <w:marRight w:val="0"/>
      <w:marTop w:val="0"/>
      <w:marBottom w:val="0"/>
      <w:divBdr>
        <w:top w:val="none" w:sz="0" w:space="0" w:color="auto"/>
        <w:left w:val="none" w:sz="0" w:space="0" w:color="auto"/>
        <w:bottom w:val="none" w:sz="0" w:space="0" w:color="auto"/>
        <w:right w:val="none" w:sz="0" w:space="0" w:color="auto"/>
      </w:divBdr>
    </w:div>
    <w:div w:id="18991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3ECD-3D46-4AA5-B030-0A55CAA5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836</Words>
  <Characters>5012</Characters>
  <Application>Microsoft Office Word</Application>
  <DocSecurity>0</DocSecurity>
  <Lines>100</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2016-07-14T08:38:00Z</cp:lastPrinted>
  <dcterms:created xsi:type="dcterms:W3CDTF">2016-08-09T13:52:00Z</dcterms:created>
  <dcterms:modified xsi:type="dcterms:W3CDTF">2016-08-11T11:50:00Z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