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492BAA8E2234538A84667029BEC2226" style="width:451.25pt;height:432.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2013/0297 (COD)</w:t>
      </w:r>
    </w:p>
    <w:p>
      <w:pPr>
        <w:pStyle w:val="Typedudocument"/>
        <w:rPr>
          <w:noProof/>
        </w:rPr>
      </w:pPr>
      <w:r>
        <w:rPr>
          <w:noProof/>
        </w:rPr>
        <w:t>MEDDELANDE FRÅN KOMMISSIONEN TILL EUROPAPARLAMENTET</w:t>
      </w:r>
      <w:r>
        <w:rPr>
          <w:noProof/>
        </w:rPr>
        <w:br/>
      </w:r>
      <w:r>
        <w:rPr>
          <w:noProof/>
        </w:rPr>
        <w:br/>
        <w:t>enligt artikel 294.6 i fördraget om Europeiska unionens funktionssätt</w:t>
      </w:r>
      <w:r>
        <w:rPr>
          <w:noProof/>
        </w:rPr>
        <w:br/>
      </w:r>
      <w:r>
        <w:rPr>
          <w:noProof/>
        </w:rPr>
        <w:br/>
        <w:t>om</w:t>
      </w:r>
    </w:p>
    <w:p>
      <w:pPr>
        <w:pStyle w:val="Titreobjet"/>
        <w:rPr>
          <w:noProof/>
        </w:rPr>
      </w:pPr>
      <w:r>
        <w:rPr>
          <w:noProof/>
        </w:rPr>
        <w:t>rådets ståndpunkt inför antagandet av ett förslag till Europaparlamentets och rådets förordning om ändring av förordning (EG) nr 91/2003 om järnvägstransportstatistik vad gäller insamling av uppgifter om gods, passagerare och olyckor</w:t>
      </w:r>
    </w:p>
    <w:p>
      <w:pPr>
        <w:pStyle w:val="IntrtEEE"/>
        <w:rPr>
          <w:noProof/>
        </w:rPr>
      </w:pPr>
      <w:r>
        <w:rPr>
          <w:noProof/>
        </w:rPr>
        <w:t>(Text av betydelse för EES)</w:t>
      </w:r>
    </w:p>
    <w:p>
      <w:pPr>
        <w:pStyle w:val="ManualHeading1"/>
        <w:rPr>
          <w:noProof/>
          <w:sz w:val="22"/>
        </w:rPr>
      </w:pPr>
      <w:r>
        <w:rPr>
          <w:noProof/>
        </w:rPr>
        <w:t>1.</w:t>
      </w:r>
      <w:r>
        <w:rPr>
          <w:noProof/>
        </w:rPr>
        <w:tab/>
        <w:t>Bakgrund</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Överlämnande av förslaget till Europaparlamentet och rådet:</w:t>
            </w:r>
          </w:p>
          <w:p>
            <w:pPr>
              <w:ind w:left="2127" w:hanging="2127"/>
              <w:rPr>
                <w:b/>
                <w:noProof/>
              </w:rPr>
            </w:pPr>
            <w:r>
              <w:rPr>
                <w:noProof/>
              </w:rPr>
              <w:t>COM(2013) 611– 2013/297(COD)</w:t>
            </w:r>
          </w:p>
        </w:tc>
        <w:tc>
          <w:tcPr>
            <w:tcW w:w="2483" w:type="dxa"/>
          </w:tcPr>
          <w:p>
            <w:pPr>
              <w:jc w:val="left"/>
              <w:rPr>
                <w:noProof/>
              </w:rPr>
            </w:pPr>
            <w:r>
              <w:rPr>
                <w:noProof/>
              </w:rPr>
              <w:t xml:space="preserve">30 augusti 2013 </w:t>
            </w:r>
          </w:p>
        </w:tc>
      </w:tr>
      <w:tr>
        <w:tc>
          <w:tcPr>
            <w:tcW w:w="6804" w:type="dxa"/>
          </w:tcPr>
          <w:p>
            <w:pPr>
              <w:rPr>
                <w:noProof/>
              </w:rPr>
            </w:pPr>
            <w:r>
              <w:rPr>
                <w:noProof/>
              </w:rPr>
              <w:t>Europeiska ekonomiska och sociala kommitténs yttrande:</w:t>
            </w:r>
          </w:p>
        </w:tc>
        <w:tc>
          <w:tcPr>
            <w:tcW w:w="2483" w:type="dxa"/>
          </w:tcPr>
          <w:p>
            <w:pPr>
              <w:jc w:val="left"/>
              <w:rPr>
                <w:noProof/>
              </w:rPr>
            </w:pPr>
            <w:r>
              <w:rPr>
                <w:noProof/>
              </w:rPr>
              <w:t>Ej tillämpligt</w:t>
            </w:r>
          </w:p>
        </w:tc>
      </w:tr>
      <w:tr>
        <w:tc>
          <w:tcPr>
            <w:tcW w:w="6804" w:type="dxa"/>
          </w:tcPr>
          <w:p>
            <w:pPr>
              <w:rPr>
                <w:noProof/>
              </w:rPr>
            </w:pPr>
            <w:r>
              <w:rPr>
                <w:noProof/>
              </w:rPr>
              <w:t>Europaparlamentets yttrande vid första behandlingen:</w:t>
            </w:r>
          </w:p>
        </w:tc>
        <w:tc>
          <w:tcPr>
            <w:tcW w:w="2483" w:type="dxa"/>
          </w:tcPr>
          <w:p>
            <w:pPr>
              <w:jc w:val="left"/>
              <w:rPr>
                <w:noProof/>
              </w:rPr>
            </w:pPr>
            <w:r>
              <w:rPr>
                <w:noProof/>
              </w:rPr>
              <w:t xml:space="preserve">11 mars 2014 </w:t>
            </w:r>
          </w:p>
        </w:tc>
      </w:tr>
      <w:tr>
        <w:tc>
          <w:tcPr>
            <w:tcW w:w="6804" w:type="dxa"/>
          </w:tcPr>
          <w:p>
            <w:pPr>
              <w:rPr>
                <w:noProof/>
              </w:rPr>
            </w:pPr>
            <w:r>
              <w:rPr>
                <w:noProof/>
              </w:rPr>
              <w:t>Överlämnande av det ändrade förslaget:</w:t>
            </w:r>
          </w:p>
        </w:tc>
        <w:tc>
          <w:tcPr>
            <w:tcW w:w="2483" w:type="dxa"/>
          </w:tcPr>
          <w:p>
            <w:pPr>
              <w:jc w:val="left"/>
              <w:rPr>
                <w:noProof/>
              </w:rPr>
            </w:pPr>
            <w:r>
              <w:rPr>
                <w:noProof/>
              </w:rPr>
              <w:t xml:space="preserve">Ej tillämpligt </w:t>
            </w:r>
          </w:p>
        </w:tc>
      </w:tr>
      <w:tr>
        <w:tc>
          <w:tcPr>
            <w:tcW w:w="6804" w:type="dxa"/>
          </w:tcPr>
          <w:p>
            <w:pPr>
              <w:rPr>
                <w:noProof/>
              </w:rPr>
            </w:pPr>
            <w:r>
              <w:rPr>
                <w:noProof/>
              </w:rPr>
              <w:t>Antagande av rådets ståndpunkt:</w:t>
            </w:r>
          </w:p>
        </w:tc>
        <w:tc>
          <w:tcPr>
            <w:tcW w:w="2483" w:type="dxa"/>
          </w:tcPr>
          <w:p>
            <w:pPr>
              <w:jc w:val="left"/>
              <w:rPr>
                <w:noProof/>
              </w:rPr>
            </w:pPr>
            <w:r>
              <w:rPr>
                <w:noProof/>
              </w:rPr>
              <w:t>18 juli 2016</w:t>
            </w:r>
          </w:p>
        </w:tc>
      </w:tr>
    </w:tbl>
    <w:p>
      <w:pPr>
        <w:pStyle w:val="ManualHeading1"/>
        <w:rPr>
          <w:noProof/>
        </w:rPr>
      </w:pPr>
      <w:r>
        <w:rPr>
          <w:noProof/>
        </w:rPr>
        <w:t>2.</w:t>
      </w:r>
      <w:r>
        <w:rPr>
          <w:noProof/>
        </w:rPr>
        <w:tab/>
        <w:t>Syfte med kommissionens förslag</w:t>
      </w:r>
    </w:p>
    <w:p>
      <w:pPr>
        <w:autoSpaceDE w:val="0"/>
        <w:autoSpaceDN w:val="0"/>
        <w:adjustRightInd w:val="0"/>
        <w:rPr>
          <w:noProof/>
          <w:szCs w:val="20"/>
        </w:rPr>
      </w:pPr>
      <w:r>
        <w:rPr>
          <w:noProof/>
        </w:rPr>
        <w:t>Syftet med kommissionens förslag är att ändra förordning (EG) nr 91/2003</w:t>
      </w:r>
      <w:r>
        <w:rPr>
          <w:rStyle w:val="FootnoteReference"/>
          <w:noProof/>
        </w:rPr>
        <w:footnoteReference w:id="1"/>
      </w:r>
      <w:r>
        <w:rPr>
          <w:noProof/>
        </w:rPr>
        <w:t xml:space="preserve"> för att uppdatera, förenkla och optimera de gällande reglerna för EU-statistik om järnvägstrafik och anpassa den till fördraget om Europeiska unionens funktionssätt (EUF-fördraget) i fråga om delegerade befogenheter och genomförandebefogenheter. </w:t>
      </w:r>
    </w:p>
    <w:p>
      <w:pPr>
        <w:rPr>
          <w:noProof/>
        </w:rPr>
      </w:pPr>
      <w:r>
        <w:rPr>
          <w:noProof/>
        </w:rPr>
        <w:t>Enligt förslaget får kommissionen befogenhet att anta delegerade akter för att anpassa definitionerna och trösklarna för rapportering, ändra innehållet i bilagorna och fastställa vilka uppgifter som ska tillhandahållas.</w:t>
      </w:r>
    </w:p>
    <w:p>
      <w:pPr>
        <w:rPr>
          <w:noProof/>
        </w:rPr>
      </w:pPr>
      <w:r>
        <w:rPr>
          <w:noProof/>
        </w:rPr>
        <w:t>Förslaget ger också kommissionen genomförandebefogenheter för att säkerställa enhetliga villkor när det gäller specificering av vilka uppgifter som ska tillhandahållas för rapporterna om resultatens kvalitet och jämförbarhet, i enlighet med granskningsförfarandet i artikel 5 i förordning (EU) nr 182/2011</w:t>
      </w:r>
      <w:r>
        <w:rPr>
          <w:rStyle w:val="FootnoteReference"/>
          <w:noProof/>
        </w:rPr>
        <w:footnoteReference w:id="2"/>
      </w:r>
      <w:r>
        <w:rPr>
          <w:noProof/>
        </w:rPr>
        <w:t xml:space="preserve">. </w:t>
      </w:r>
    </w:p>
    <w:p>
      <w:pPr>
        <w:pStyle w:val="ManualHeading1"/>
        <w:rPr>
          <w:noProof/>
        </w:rPr>
      </w:pPr>
      <w:r>
        <w:rPr>
          <w:noProof/>
        </w:rPr>
        <w:lastRenderedPageBreak/>
        <w:t>3.</w:t>
      </w:r>
      <w:r>
        <w:rPr>
          <w:noProof/>
        </w:rPr>
        <w:tab/>
        <w:t>Kommentarer till rådets ståndpunkt</w:t>
      </w:r>
    </w:p>
    <w:p>
      <w:pPr>
        <w:pStyle w:val="ManualHeading2"/>
        <w:rPr>
          <w:noProof/>
        </w:rPr>
      </w:pPr>
      <w:r>
        <w:rPr>
          <w:noProof/>
        </w:rPr>
        <w:t>3.1</w:t>
      </w:r>
      <w:r>
        <w:rPr>
          <w:noProof/>
        </w:rPr>
        <w:tab/>
        <w:t>Allmänna kommentarer</w:t>
      </w:r>
    </w:p>
    <w:p>
      <w:pPr>
        <w:widowControl w:val="0"/>
        <w:rPr>
          <w:noProof/>
        </w:rPr>
      </w:pPr>
      <w:r>
        <w:rPr>
          <w:noProof/>
        </w:rPr>
        <w:t>Rådets ståndpunkt speglar dels överenskommelsen mellan rådet, Europaparlamentets utskott för transport och turism och kommissionen i trepartssamtalen den 24 maj 2016, dels det nya interinstitutionella avtalet om bättre lagstiftning av den 13 april 2016</w:t>
      </w:r>
      <w:r>
        <w:rPr>
          <w:rStyle w:val="FootnoteReference"/>
          <w:noProof/>
        </w:rPr>
        <w:footnoteReference w:id="3"/>
      </w:r>
      <w:r>
        <w:rPr>
          <w:noProof/>
        </w:rPr>
        <w:t xml:space="preserve">. </w:t>
      </w:r>
    </w:p>
    <w:p>
      <w:pPr>
        <w:widowControl w:val="0"/>
        <w:rPr>
          <w:noProof/>
        </w:rPr>
      </w:pPr>
      <w:r>
        <w:rPr>
          <w:noProof/>
        </w:rPr>
        <w:t>Det allvarligaste hindret i ärendet var att nå en överenskommelse med Europaparlamentet om formaliserat utbyte av uppgifter mellan Eurostat, Europeiska järnvägsbyrån (ERA)</w:t>
      </w:r>
      <w:r>
        <w:rPr>
          <w:rStyle w:val="FootnoteReference"/>
          <w:noProof/>
        </w:rPr>
        <w:footnoteReference w:id="4"/>
      </w:r>
      <w:r>
        <w:rPr>
          <w:noProof/>
        </w:rPr>
        <w:t xml:space="preserve"> och Generaldirektoratet för transport och rörlighet (GD MOVE) genom bilaterala samförståndsavtal. </w:t>
      </w:r>
    </w:p>
    <w:p>
      <w:pPr>
        <w:spacing w:before="0" w:after="0"/>
        <w:rPr>
          <w:noProof/>
        </w:rPr>
      </w:pPr>
      <w:r>
        <w:rPr>
          <w:noProof/>
        </w:rPr>
        <w:t xml:space="preserve">Enighet nåddes så småningom med undertecknandet av två samförståndsavtal, ett mellan Eurostat och GD Transport och rörlighet och ett mellan Eurostat och Europeiska järnvägsbyrån. Avtalen gav Europaparlamentet visshet om att de uppgifter den begärt kommer att behandlas och göras tillgängliga. </w:t>
      </w:r>
    </w:p>
    <w:p>
      <w:pPr>
        <w:ind w:left="14" w:right="-8"/>
        <w:rPr>
          <w:bCs/>
          <w:iCs/>
          <w:noProof/>
        </w:rPr>
      </w:pPr>
      <w:r>
        <w:rPr>
          <w:noProof/>
        </w:rPr>
        <w:t>Förslaget innehåller inte några uttryckliga hänvisningar till samförståndsavtalen, men i ett skäl nämns lämpliga samarbetsavtal om statistisk verksamhet.</w:t>
      </w:r>
    </w:p>
    <w:p>
      <w:pPr>
        <w:widowControl w:val="0"/>
        <w:rPr>
          <w:noProof/>
        </w:rPr>
      </w:pPr>
      <w:r>
        <w:rPr>
          <w:noProof/>
        </w:rPr>
        <w:t xml:space="preserve">Rådet antog sin ståndpunkt vid första behandlingen den 18 juli 2016. </w:t>
      </w:r>
    </w:p>
    <w:p>
      <w:pPr>
        <w:widowControl w:val="0"/>
        <w:rPr>
          <w:noProof/>
          <w:szCs w:val="24"/>
        </w:rPr>
      </w:pPr>
      <w:r>
        <w:rPr>
          <w:noProof/>
        </w:rPr>
        <w:t>Rådets ståndpunkt kan godtas av kommissionen.</w:t>
      </w:r>
    </w:p>
    <w:p>
      <w:pPr>
        <w:pStyle w:val="ManualHeading2"/>
        <w:rPr>
          <w:noProof/>
        </w:rPr>
      </w:pPr>
      <w:r>
        <w:rPr>
          <w:noProof/>
        </w:rPr>
        <w:t>3.2</w:t>
      </w:r>
      <w:r>
        <w:rPr>
          <w:noProof/>
        </w:rPr>
        <w:tab/>
        <w:t>Kommentarer till Europaparlamentets ändringsförslag</w:t>
      </w:r>
    </w:p>
    <w:p>
      <w:pPr>
        <w:pStyle w:val="ManualHeading3"/>
        <w:rPr>
          <w:noProof/>
          <w:highlight w:val="yellow"/>
        </w:rPr>
      </w:pPr>
      <w:r>
        <w:rPr>
          <w:noProof/>
        </w:rPr>
        <w:t>3.2.1.</w:t>
      </w:r>
      <w:r>
        <w:rPr>
          <w:noProof/>
        </w:rPr>
        <w:tab/>
        <w:t>Europaparlamentets ändringar som rådet tagit med helt, delvis eller i princip i sin ståndpunkt vid den första behandlingen</w:t>
      </w:r>
    </w:p>
    <w:p>
      <w:pPr>
        <w:spacing w:before="0" w:after="0"/>
        <w:rPr>
          <w:noProof/>
        </w:rPr>
      </w:pPr>
      <w:r>
        <w:rPr>
          <w:noProof/>
        </w:rPr>
        <w:t xml:space="preserve">Den 11 mars 2014 antog Europaparlamentet en lagstiftningsresolution med 23 ändringsförslag. Kommissionen tillbakavisade de flesta av dem, inklusive begäran om ytterligare variabler. Närmare bestämt ansåg Europaparlamentet att statistikinsamlingen bör utvidgas till att omfatta uppgifter om järnvägsinfrastruktur och att det borde finnas fler mätvariabler för statistik över passagerartransport, särskilt för de gränsöverskridande förbindelser som parlamentet anser bör stå i centrum för EU:s transportpolitik. </w:t>
      </w:r>
    </w:p>
    <w:p>
      <w:pPr>
        <w:pStyle w:val="ManualHeading3"/>
        <w:rPr>
          <w:noProof/>
          <w:szCs w:val="24"/>
        </w:rPr>
      </w:pPr>
      <w:r>
        <w:rPr>
          <w:noProof/>
        </w:rPr>
        <w:t>3.2.2.</w:t>
      </w:r>
      <w:r>
        <w:rPr>
          <w:noProof/>
        </w:rPr>
        <w:tab/>
        <w:t>Europaparlamentets ändringar som rådet inte tagit med i sin ståndpunkt vid den första behandlingen</w:t>
      </w:r>
    </w:p>
    <w:p>
      <w:pPr>
        <w:rPr>
          <w:noProof/>
        </w:rPr>
      </w:pPr>
      <w:r>
        <w:rPr>
          <w:noProof/>
        </w:rPr>
        <w:t xml:space="preserve">De viktigaste ändringsförslagen om att uttryckligen lägga till nya variabler har inte tagits med i rådets ståndpunkt. </w:t>
      </w:r>
    </w:p>
    <w:p>
      <w:pPr>
        <w:pStyle w:val="ManualHeading2"/>
        <w:rPr>
          <w:noProof/>
        </w:rPr>
      </w:pPr>
      <w:r>
        <w:rPr>
          <w:noProof/>
        </w:rPr>
        <w:t>3.3</w:t>
      </w:r>
      <w:r>
        <w:rPr>
          <w:noProof/>
        </w:rPr>
        <w:tab/>
        <w:t>Bestämmelser som rådet ändrat samt kommissionens synpunkter på dessa</w:t>
      </w:r>
    </w:p>
    <w:p>
      <w:pPr>
        <w:rPr>
          <w:bCs/>
          <w:iCs/>
          <w:noProof/>
        </w:rPr>
      </w:pPr>
      <w:r>
        <w:rPr>
          <w:noProof/>
        </w:rPr>
        <w:t>Det nya skälet (3a) tar upp frågan om ytterligare insamling av uppgifter för att undvika dubbelarbete och optimera användningen av befintlig information. Det anges också att lämpliga samarbetsavtal om statistisk verksamhet bör inrättas mellan kommissionen och berörda aktörer, inbegripet på internationell nivå.</w:t>
      </w:r>
    </w:p>
    <w:p>
      <w:pPr>
        <w:rPr>
          <w:noProof/>
        </w:rPr>
      </w:pPr>
      <w:r>
        <w:rPr>
          <w:noProof/>
        </w:rPr>
        <w:lastRenderedPageBreak/>
        <w:t>I artikel 3.2 hänvisas till den exklusiva behörighet som kommissionen får att anta delegerade akter för att anpassa befintliga tekniska definitioner och införa nya tekniska definitioner. Dessutom ska kommissionen när den utövar sina befogenheter se till att de delegerade akterna inte innebär någon betydande extra börda för medlemsstaterna eller uppgiftslämnarna. Kommissionen ska också vederbörligen motivera åtgärderna i de delegerade akterna och när det är lämpligt analysera åtgärdernas kostnadseffektivitet med en bedömning av uppgiftslämnarbördan och produktionskostnaden i enlighet med artikel 14.3 c i förordning (EG) nr 223/2009.</w:t>
      </w:r>
    </w:p>
    <w:p>
      <w:pPr>
        <w:pStyle w:val="Text1"/>
        <w:spacing w:before="100" w:beforeAutospacing="1" w:after="100" w:afterAutospacing="1"/>
        <w:ind w:left="0"/>
        <w:rPr>
          <w:noProof/>
          <w:szCs w:val="24"/>
        </w:rPr>
      </w:pPr>
      <w:r>
        <w:rPr>
          <w:noProof/>
        </w:rPr>
        <w:t>Även om kommissionen beklagar delegeringens begränsade karaktär jämfört med det ursprungliga förslaget, anser den ändå att den nuvarande bestämmelsen är godtagbar i syfte att söka nå en överenskommelse.</w:t>
      </w:r>
    </w:p>
    <w:p>
      <w:pPr>
        <w:pStyle w:val="Text1"/>
        <w:spacing w:before="100" w:beforeAutospacing="1" w:after="100" w:afterAutospacing="1"/>
        <w:ind w:left="0"/>
        <w:rPr>
          <w:noProof/>
          <w:szCs w:val="24"/>
        </w:rPr>
      </w:pPr>
      <w:r>
        <w:rPr>
          <w:noProof/>
        </w:rPr>
        <w:t xml:space="preserve">Två ytterligare ändringar har införts: </w:t>
      </w:r>
    </w:p>
    <w:p>
      <w:pPr>
        <w:pStyle w:val="Default"/>
        <w:jc w:val="both"/>
        <w:rPr>
          <w:noProof/>
        </w:rPr>
      </w:pPr>
      <w:r>
        <w:rPr>
          <w:noProof/>
        </w:rPr>
        <w:t xml:space="preserve">En ny punkt har lagts till i artikel 7 om att genomförandeåtgärder om villkoren för spridning av resultaten ska antas. </w:t>
      </w:r>
    </w:p>
    <w:p>
      <w:pPr>
        <w:pStyle w:val="Default"/>
        <w:jc w:val="both"/>
        <w:rPr>
          <w:noProof/>
        </w:rPr>
      </w:pPr>
    </w:p>
    <w:p>
      <w:pPr>
        <w:pStyle w:val="Default"/>
        <w:jc w:val="both"/>
        <w:rPr>
          <w:noProof/>
        </w:rPr>
      </w:pPr>
      <w:r>
        <w:rPr>
          <w:noProof/>
        </w:rPr>
        <w:t>Enligt den nya artikel 9 om rapportering ska kommissionen rapportera till Europaparlamentet och rådet om genomförandet av förordning (EG) nr 91/2003 senast den 31 december 2020, och därefter vart fjärde år, i stället för att i enlighet med den nuvarande förordningen endast rapportera en gång.</w:t>
      </w:r>
    </w:p>
    <w:p>
      <w:pPr>
        <w:pStyle w:val="Text1"/>
        <w:ind w:left="0"/>
        <w:rPr>
          <w:noProof/>
        </w:rPr>
      </w:pPr>
      <w:r>
        <w:rPr>
          <w:noProof/>
        </w:rPr>
        <w:t>Standardskälet och artikel 10 om utövandet av delegeringen av befogenhet följer det nya interinstitutionella avtalet om bättre lagstiftning.</w:t>
      </w:r>
    </w:p>
    <w:p>
      <w:pPr>
        <w:pStyle w:val="Text1"/>
        <w:ind w:left="0"/>
        <w:rPr>
          <w:noProof/>
        </w:rPr>
      </w:pPr>
      <w:r>
        <w:rPr>
          <w:noProof/>
        </w:rPr>
        <w:t>Kommissionen stöder detta.</w:t>
      </w:r>
    </w:p>
    <w:p>
      <w:pPr>
        <w:pStyle w:val="ManualHeading1"/>
        <w:rPr>
          <w:noProof/>
        </w:rPr>
      </w:pPr>
      <w:r>
        <w:rPr>
          <w:noProof/>
        </w:rPr>
        <w:t>4.</w:t>
      </w:r>
      <w:r>
        <w:rPr>
          <w:noProof/>
        </w:rPr>
        <w:tab/>
        <w:t>Slutsatser</w:t>
      </w:r>
    </w:p>
    <w:p>
      <w:pPr>
        <w:autoSpaceDE w:val="0"/>
        <w:autoSpaceDN w:val="0"/>
        <w:adjustRightInd w:val="0"/>
        <w:rPr>
          <w:noProof/>
        </w:rPr>
      </w:pPr>
      <w:r>
        <w:rPr>
          <w:noProof/>
        </w:rPr>
        <w:t>Kommissionen stöder den kompromiss som nåtts eftersom den ligger mycket nära kommissionens ursprungliga förslag. Dessutom uppstår ingen ytterligare börda för uppgiftslämnarna, och förslaget är därmed i överensstämmelse med syftet att förenkla de gällande reglerna för EU-statistik om järnvägstrafik. När det gäller anpassningen av förordning (EG) nr 91/2003 till EUF-fördraget ger kompromissen trots vissa begränsningar en bra balans mellan delegerade akter och genomförandeakter. Ståndpunkten är ett exempel på en framgångsrik tillämpning av det nya interinstitutionella avtalet om bättre lagstiftning.</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Europaparlamentets och rådets förordning (EG) nr 91/2003 av den 16 december 2002 om järnvägstransportstatistik (EGT L 14, 21.1.2003, s. 1).</w:t>
      </w:r>
    </w:p>
  </w:footnote>
  <w:footnote w:id="2">
    <w:p>
      <w:pPr>
        <w:pStyle w:val="FootnoteText"/>
        <w:rPr>
          <w:lang w:val="en-US"/>
        </w:rPr>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3">
    <w:p>
      <w:pPr>
        <w:pStyle w:val="FootnoteText"/>
        <w:rPr>
          <w:lang w:val="en-US"/>
        </w:rPr>
      </w:pPr>
      <w:r>
        <w:rPr>
          <w:rStyle w:val="FootnoteReference"/>
        </w:rPr>
        <w:footnoteRef/>
      </w:r>
      <w:r>
        <w:tab/>
        <w:t>EUT L 123, 12.5.2016, s. 1.</w:t>
      </w:r>
    </w:p>
  </w:footnote>
  <w:footnote w:id="4">
    <w:p>
      <w:pPr>
        <w:spacing w:before="0" w:after="0"/>
        <w:ind w:left="720" w:hanging="720"/>
        <w:rPr>
          <w:sz w:val="20"/>
          <w:szCs w:val="20"/>
          <w:lang w:val="en-US"/>
        </w:rPr>
      </w:pPr>
      <w:r>
        <w:rPr>
          <w:rStyle w:val="FootnoteReference"/>
        </w:rPr>
        <w:footnoteRef/>
      </w:r>
      <w:r>
        <w:tab/>
      </w:r>
      <w:r>
        <w:rPr>
          <w:sz w:val="20"/>
        </w:rPr>
        <w:t>Europaparlamentets och rådets förordning (EG) nr 881/2004 av den 29 april 2004 om inrättande av en europeisk järnvägsbyrå (EUT L 164, 30.4.2004, s. 1). I och med att Europaparlamentets och rådets förordning (EU) nr 2016/796 av den 11 maj 2016 om Europeiska unionens järnvägsbyrå och om upphävande av förordning (EG) nr 881/2004 (EUT L 138, 26.5.2016, s. 1) trädde i kraft den 16 juni 2016 ersattes Europeiska järnvägsbyrån med Europeiska unionens järnvägsbyrå. </w:t>
      </w:r>
    </w:p>
    <w:p>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3E6A7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0C17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48A4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42480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3E4F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30D1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7204BD4"/>
    <w:lvl w:ilvl="0">
      <w:start w:val="1"/>
      <w:numFmt w:val="decimal"/>
      <w:pStyle w:val="ListNumber"/>
      <w:lvlText w:val="%1."/>
      <w:lvlJc w:val="left"/>
      <w:pPr>
        <w:tabs>
          <w:tab w:val="num" w:pos="360"/>
        </w:tabs>
        <w:ind w:left="360" w:hanging="360"/>
      </w:pPr>
    </w:lvl>
  </w:abstractNum>
  <w:abstractNum w:abstractNumId="7">
    <w:nsid w:val="FFFFFF89"/>
    <w:multiLevelType w:val="singleLevel"/>
    <w:tmpl w:val="3F5064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0"/>
  </w:num>
  <w:num w:numId="10">
    <w:abstractNumId w:val="19"/>
  </w:num>
  <w:num w:numId="11">
    <w:abstractNumId w:val="13"/>
  </w:num>
  <w:num w:numId="12">
    <w:abstractNumId w:val="21"/>
  </w:num>
  <w:num w:numId="13">
    <w:abstractNumId w:val="12"/>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1"/>
  </w:num>
  <w:num w:numId="22">
    <w:abstractNumId w:val="16"/>
  </w:num>
  <w:num w:numId="23">
    <w:abstractNumId w:val="22"/>
  </w:num>
  <w:num w:numId="24">
    <w:abstractNumId w:val="19"/>
  </w:num>
  <w:num w:numId="25">
    <w:abstractNumId w:val="13"/>
  </w:num>
  <w:num w:numId="26">
    <w:abstractNumId w:val="21"/>
  </w:num>
  <w:num w:numId="27">
    <w:abstractNumId w:val="12"/>
  </w:num>
  <w:num w:numId="28">
    <w:abstractNumId w:val="14"/>
  </w:num>
  <w:num w:numId="29">
    <w:abstractNumId w:val="9"/>
  </w:num>
  <w:num w:numId="30">
    <w:abstractNumId w:val="20"/>
  </w:num>
  <w:num w:numId="31">
    <w:abstractNumId w:val="8"/>
  </w:num>
  <w:num w:numId="32">
    <w:abstractNumId w:val="15"/>
  </w:num>
  <w:num w:numId="33">
    <w:abstractNumId w:val="17"/>
  </w:num>
  <w:num w:numId="34">
    <w:abstractNumId w:val="18"/>
  </w:num>
  <w:num w:numId="35">
    <w:abstractNumId w:val="11"/>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11 13:49: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4"/>
    <w:docVar w:name="DQCStatus" w:val="Green"/>
    <w:docVar w:name="DQCVersion" w:val="3"/>
    <w:docVar w:name="DQCWithWarnings" w:val="1"/>
    <w:docVar w:name="LW_CONFIDENCE" w:val=" "/>
    <w:docVar w:name="LW_CONST_RESTREINT_UE" w:val="RESTREINT UE"/>
    <w:docVar w:name="LW_CORRIGENDUM" w:val="&lt;UNUSED&gt;"/>
    <w:docVar w:name="LW_COVERPAGE_GUID" w:val="A492BAA8E2234538A84667029BEC2226"/>
    <w:docVar w:name="LW_CROSSREFERENCE" w:val="&lt;UNUSED&gt;"/>
    <w:docVar w:name="LW_DocType" w:val="COM"/>
    <w:docVar w:name="LW_EMISSION" w:val="10.8.2016"/>
    <w:docVar w:name="LW_EMISSION_ISODATE" w:val="2016-08-10"/>
    <w:docVar w:name="LW_EMISSION_LOCATION" w:val="BRX"/>
    <w:docVar w:name="LW_EMISSION_PREFIX" w:val="Bryssel den "/>
    <w:docVar w:name="LW_EMISSION_SUFFIX" w:val=" "/>
    <w:docVar w:name="LW_ID_DOCMODEL" w:val="SJ-028"/>
    <w:docVar w:name="LW_ID_DOCSTRUCTURE" w:val="COM/PL/CODEC"/>
    <w:docVar w:name="LW_ID_DOCTYPE" w:val="SJ-028"/>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297"/>
    <w:docVar w:name="LW_REF.II.NEW.CP_YEAR" w:val="2013"/>
    <w:docVar w:name="LW_REF.INST.NEW" w:val="COM"/>
    <w:docVar w:name="LW_REF.INST.NEW_ADOPTED" w:val="final"/>
    <w:docVar w:name="LW_REF.INST.NEW_TEXT" w:val="(2016) 506"/>
    <w:docVar w:name="LW_REF.INTERNE" w:val="&lt;UNUSED&gt;"/>
    <w:docVar w:name="LW_SOUS.TITRE.OBJ.CP" w:val="&lt;UNUSED&gt;"/>
    <w:docVar w:name="LW_SUPERTITRE" w:val="&lt;UNUSED&gt;"/>
    <w:docVar w:name="LW_TITRE.OBJ.CP" w:val="rådets ståndpunkt inför antagandet av ett förslag till Europaparlamentets och rådets förordning om ändring av förordning (EG) nr 91/2003 om järnvägstransportstatistik vad gäller insamling av uppgifter om gods, passagerare och olyckor"/>
    <w:docVar w:name="LW_TYPE.DOC.CP" w:val="MEDDELANDE FRÅN KOMMISSIONEN TILL EUROPAPARLAMENTET_x000b__x000b_enligt artikel 294.6 i fördraget om Europeiska unionens funktionssätt_x000b__x000b_o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qFormat/>
    <w:rPr>
      <w:b/>
      <w:bCs/>
      <w:shd w:val="clear" w:color="auto" w:fill="auto"/>
    </w:rPr>
  </w:style>
  <w:style w:type="character" w:styleId="Emphasis">
    <w:name w:val="Emphasis"/>
    <w:qFormat/>
    <w:rPr>
      <w:i/>
      <w:iCs/>
      <w:shd w:val="clear" w:color="auto" w:fill="auto"/>
    </w:rPr>
  </w:style>
  <w:style w:type="character" w:customStyle="1" w:styleId="DefaultMargins">
    <w:name w:val="DefaultMargins"/>
    <w:rPr>
      <w:rFonts w:ascii="Courier New" w:hAnsi="Courier New" w:cs="Times New Roman" w:hint="default"/>
      <w:sz w:val="20"/>
      <w:lang w:val="sv-S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itialChar">
    <w:name w:val="Initial Char"/>
    <w:link w:val="Initial"/>
    <w:locked/>
    <w:rPr>
      <w:spacing w:val="-3"/>
      <w:sz w:val="24"/>
      <w:lang w:eastAsia="sv-SE"/>
    </w:rPr>
  </w:style>
  <w:style w:type="paragraph" w:customStyle="1" w:styleId="Initial">
    <w:name w:val="Initial"/>
    <w:link w:val="InitialChar"/>
    <w:pPr>
      <w:tabs>
        <w:tab w:val="left" w:pos="-720"/>
      </w:tabs>
      <w:suppressAutoHyphens/>
      <w:spacing w:after="0" w:line="240" w:lineRule="auto"/>
      <w:jc w:val="both"/>
    </w:pPr>
    <w:rPr>
      <w:spacing w:val="-3"/>
      <w:sz w:val="24"/>
    </w:rPr>
  </w:style>
  <w:style w:type="paragraph" w:styleId="NormalWeb">
    <w:name w:val="Normal (Web)"/>
    <w:basedOn w:val="Normal"/>
    <w:pPr>
      <w:spacing w:before="100" w:beforeAutospacing="1" w:after="100" w:afterAutospacing="1"/>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ListBullet1">
    <w:name w:val="List Bullet 1"/>
    <w:basedOn w:val="Text1"/>
    <w:pPr>
      <w:numPr>
        <w:numId w:val="9"/>
      </w:numPr>
      <w:spacing w:before="0" w:after="240"/>
    </w:pPr>
    <w:rPr>
      <w:rFonts w:eastAsia="Times New Roman"/>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Strong">
    <w:name w:val="Strong"/>
    <w:qFormat/>
    <w:rPr>
      <w:b/>
      <w:bCs/>
      <w:shd w:val="clear" w:color="auto" w:fill="auto"/>
    </w:rPr>
  </w:style>
  <w:style w:type="character" w:styleId="Emphasis">
    <w:name w:val="Emphasis"/>
    <w:qFormat/>
    <w:rPr>
      <w:i/>
      <w:iCs/>
      <w:shd w:val="clear" w:color="auto" w:fill="auto"/>
    </w:rPr>
  </w:style>
  <w:style w:type="character" w:customStyle="1" w:styleId="DefaultMargins">
    <w:name w:val="DefaultMargins"/>
    <w:rPr>
      <w:rFonts w:ascii="Courier New" w:hAnsi="Courier New" w:cs="Times New Roman" w:hint="default"/>
      <w:sz w:val="20"/>
      <w:lang w:val="sv-S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itialChar">
    <w:name w:val="Initial Char"/>
    <w:link w:val="Initial"/>
    <w:locked/>
    <w:rPr>
      <w:spacing w:val="-3"/>
      <w:sz w:val="24"/>
      <w:lang w:eastAsia="sv-SE"/>
    </w:rPr>
  </w:style>
  <w:style w:type="paragraph" w:customStyle="1" w:styleId="Initial">
    <w:name w:val="Initial"/>
    <w:link w:val="InitialChar"/>
    <w:pPr>
      <w:tabs>
        <w:tab w:val="left" w:pos="-720"/>
      </w:tabs>
      <w:suppressAutoHyphens/>
      <w:spacing w:after="0" w:line="240" w:lineRule="auto"/>
      <w:jc w:val="both"/>
    </w:pPr>
    <w:rPr>
      <w:spacing w:val="-3"/>
      <w:sz w:val="24"/>
    </w:rPr>
  </w:style>
  <w:style w:type="paragraph" w:styleId="NormalWeb">
    <w:name w:val="Normal (Web)"/>
    <w:basedOn w:val="Normal"/>
    <w:pPr>
      <w:spacing w:before="100" w:beforeAutospacing="1" w:after="100" w:afterAutospacing="1"/>
      <w:jc w:val="lef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ListBullet1">
    <w:name w:val="List Bullet 1"/>
    <w:basedOn w:val="Text1"/>
    <w:pPr>
      <w:numPr>
        <w:numId w:val="9"/>
      </w:numPr>
      <w:spacing w:before="0" w:after="240"/>
    </w:pPr>
    <w:rPr>
      <w:rFonts w:eastAsia="Times New Roman"/>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4832">
      <w:bodyDiv w:val="1"/>
      <w:marLeft w:val="0"/>
      <w:marRight w:val="0"/>
      <w:marTop w:val="0"/>
      <w:marBottom w:val="0"/>
      <w:divBdr>
        <w:top w:val="none" w:sz="0" w:space="0" w:color="auto"/>
        <w:left w:val="none" w:sz="0" w:space="0" w:color="auto"/>
        <w:bottom w:val="none" w:sz="0" w:space="0" w:color="auto"/>
        <w:right w:val="none" w:sz="0" w:space="0" w:color="auto"/>
      </w:divBdr>
    </w:div>
    <w:div w:id="781189942">
      <w:bodyDiv w:val="1"/>
      <w:marLeft w:val="0"/>
      <w:marRight w:val="0"/>
      <w:marTop w:val="0"/>
      <w:marBottom w:val="0"/>
      <w:divBdr>
        <w:top w:val="none" w:sz="0" w:space="0" w:color="auto"/>
        <w:left w:val="none" w:sz="0" w:space="0" w:color="auto"/>
        <w:bottom w:val="none" w:sz="0" w:space="0" w:color="auto"/>
        <w:right w:val="none" w:sz="0" w:space="0" w:color="auto"/>
      </w:divBdr>
    </w:div>
    <w:div w:id="1046443012">
      <w:bodyDiv w:val="1"/>
      <w:marLeft w:val="0"/>
      <w:marRight w:val="0"/>
      <w:marTop w:val="0"/>
      <w:marBottom w:val="0"/>
      <w:divBdr>
        <w:top w:val="none" w:sz="0" w:space="0" w:color="auto"/>
        <w:left w:val="none" w:sz="0" w:space="0" w:color="auto"/>
        <w:bottom w:val="none" w:sz="0" w:space="0" w:color="auto"/>
        <w:right w:val="none" w:sz="0" w:space="0" w:color="auto"/>
      </w:divBdr>
    </w:div>
    <w:div w:id="1281642853">
      <w:bodyDiv w:val="1"/>
      <w:marLeft w:val="0"/>
      <w:marRight w:val="0"/>
      <w:marTop w:val="0"/>
      <w:marBottom w:val="0"/>
      <w:divBdr>
        <w:top w:val="none" w:sz="0" w:space="0" w:color="auto"/>
        <w:left w:val="none" w:sz="0" w:space="0" w:color="auto"/>
        <w:bottom w:val="none" w:sz="0" w:space="0" w:color="auto"/>
        <w:right w:val="none" w:sz="0" w:space="0" w:color="auto"/>
      </w:divBdr>
    </w:div>
    <w:div w:id="1632979602">
      <w:bodyDiv w:val="1"/>
      <w:marLeft w:val="0"/>
      <w:marRight w:val="0"/>
      <w:marTop w:val="0"/>
      <w:marBottom w:val="0"/>
      <w:divBdr>
        <w:top w:val="none" w:sz="0" w:space="0" w:color="auto"/>
        <w:left w:val="none" w:sz="0" w:space="0" w:color="auto"/>
        <w:bottom w:val="none" w:sz="0" w:space="0" w:color="auto"/>
        <w:right w:val="none" w:sz="0" w:space="0" w:color="auto"/>
      </w:divBdr>
    </w:div>
    <w:div w:id="1704551639">
      <w:bodyDiv w:val="1"/>
      <w:marLeft w:val="0"/>
      <w:marRight w:val="0"/>
      <w:marTop w:val="0"/>
      <w:marBottom w:val="0"/>
      <w:divBdr>
        <w:top w:val="none" w:sz="0" w:space="0" w:color="auto"/>
        <w:left w:val="none" w:sz="0" w:space="0" w:color="auto"/>
        <w:bottom w:val="none" w:sz="0" w:space="0" w:color="auto"/>
        <w:right w:val="none" w:sz="0" w:space="0" w:color="auto"/>
      </w:divBdr>
    </w:div>
    <w:div w:id="18991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2EBD-62F0-4AC2-B4B8-E9EE3F21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821</Words>
  <Characters>5378</Characters>
  <Application>Microsoft Office Word</Application>
  <DocSecurity>0</DocSecurity>
  <Lines>101</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2016-07-14T08:38:00Z</cp:lastPrinted>
  <dcterms:created xsi:type="dcterms:W3CDTF">2016-08-11T07:43:00Z</dcterms:created>
  <dcterms:modified xsi:type="dcterms:W3CDTF">2016-08-11T11:49:00Z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