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D89D6AD46A73442AB5CFFA9E9258D5BC" style="width:450.5pt;height:44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2013/0297 (COD)</w:t>
      </w:r>
    </w:p>
    <w:p>
      <w:pPr>
        <w:pStyle w:val="Typedudocument"/>
        <w:rPr>
          <w:noProof/>
        </w:rPr>
      </w:pPr>
      <w:r>
        <w:rPr>
          <w:noProof/>
        </w:rPr>
        <w:t>KOMUNIKACIJA KOMISIJE</w:t>
      </w:r>
      <w:r>
        <w:rPr>
          <w:noProof/>
        </w:rPr>
        <w:br/>
        <w:t>EUROPSKOM PARLAMENTU</w:t>
      </w:r>
      <w:r>
        <w:rPr>
          <w:noProof/>
        </w:rPr>
        <w:br/>
      </w:r>
      <w:r>
        <w:rPr>
          <w:noProof/>
        </w:rPr>
        <w:br/>
        <w:t>na temelju članka 294. stavka 6. Ugovora o funkcioniranju Europske unije</w:t>
      </w:r>
      <w:r>
        <w:rPr>
          <w:noProof/>
        </w:rPr>
        <w:br/>
      </w:r>
      <w:r>
        <w:rPr>
          <w:noProof/>
        </w:rPr>
        <w:br/>
        <w:t>o</w:t>
      </w:r>
    </w:p>
    <w:p>
      <w:pPr>
        <w:pStyle w:val="Titreobjet"/>
        <w:rPr>
          <w:noProof/>
        </w:rPr>
      </w:pPr>
      <w:r>
        <w:rPr>
          <w:noProof/>
        </w:rPr>
        <w:t>stajalištu Vijeća o donošenju Prijedloga uredbe Europskog parlamenta i Vijeća o izmjeni Uredbe (EZ) br. 91/2003 o statistici željezničkog prijevoza u vezi s prikupljanjem podataka o robi, putnicima i nesrećama</w:t>
      </w:r>
    </w:p>
    <w:p>
      <w:pPr>
        <w:pStyle w:val="IntrtEEE"/>
        <w:rPr>
          <w:noProof/>
        </w:rPr>
      </w:pPr>
      <w:r>
        <w:rPr>
          <w:noProof/>
        </w:rPr>
        <w:t>(Tekst značajan za EGP)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Kontekst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Datum slanja prijedloga Europskom parlamentu i Vijeću</w:t>
            </w:r>
          </w:p>
          <w:p>
            <w:pPr>
              <w:ind w:left="2127" w:hanging="2127"/>
              <w:rPr>
                <w:b/>
                <w:noProof/>
              </w:rPr>
            </w:pPr>
            <w:r>
              <w:rPr>
                <w:noProof/>
              </w:rPr>
              <w:t>COM(2013) 611– 2013/297(COD)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30. kolovoza 2013.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mišljenja Europskog gospodarskog i socijalnog odbora: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nije primjenjivo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stajališta Europskog parlamenta, prvo čitanje: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11. ožujka 2014.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slanja izmijenjenog prijedloga: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nije primjenjivo 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donošenja stajališta Vijeća: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18. srpnja 2016.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Cilj prijedloga Komisije</w:t>
      </w:r>
    </w:p>
    <w:p>
      <w:pPr>
        <w:autoSpaceDE w:val="0"/>
        <w:autoSpaceDN w:val="0"/>
        <w:adjustRightInd w:val="0"/>
        <w:rPr>
          <w:noProof/>
          <w:szCs w:val="20"/>
        </w:rPr>
      </w:pPr>
      <w:r>
        <w:rPr>
          <w:noProof/>
        </w:rPr>
        <w:t>Cilj je prijedloga Komisije izmijeniti Uredbu (EZ) br. 91/2003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kako bi se ažurirao, pojednostavnio i optimizirao postojeći pravni okvir za europsku statistiku željezničkog prijevoza te uskladio s Ugovorom o funkcioniranju Europske unije (UFEU) u pogledu delegiranih i provedbenih ovlasti. </w:t>
      </w:r>
    </w:p>
    <w:p>
      <w:pPr>
        <w:rPr>
          <w:noProof/>
        </w:rPr>
      </w:pPr>
      <w:r>
        <w:rPr>
          <w:noProof/>
        </w:rPr>
        <w:t>Predloženom bi se Uredbom Komisija ovlastila za donošenje delegiranih akata radi prilagodbe definicija i graničnih vrijednosti za izvješćivanje, izmjene sadržaja prilogâ te navođenja podataka koji će se dostaviti.</w:t>
      </w:r>
    </w:p>
    <w:p>
      <w:pPr>
        <w:rPr>
          <w:noProof/>
        </w:rPr>
      </w:pPr>
      <w:r>
        <w:rPr>
          <w:noProof/>
        </w:rPr>
        <w:t>Njome bi se Komisiji dodijelile i provedbene ovlasti u cilju osiguranja jedinstvenih uvjeta u pogledu specifikacije informacija koje treba osigurati za izvješća o kvaliteti i usporedivosti rezultata, u skladu s postupkom ispitivanja utvrđenim u članku 5. Uredbe (EU) br. 182/2011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Primjedbe na stajalište Vijeća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Opće primjedbe</w:t>
      </w:r>
    </w:p>
    <w:p>
      <w:pPr>
        <w:widowControl w:val="0"/>
        <w:rPr>
          <w:noProof/>
        </w:rPr>
      </w:pPr>
      <w:r>
        <w:rPr>
          <w:noProof/>
        </w:rPr>
        <w:t>U stajalištu Vijeća s jedne je strane uzet u obzir dogovor postignut između Vijeća, Odbora za promet i turizam Europskog parlamenta i Komisije u tripartitnim raspravama od 24. svibnja 2016., a s druge novi Međuinstitucijski sporazum o boljoj izradi zakonodavstva od 13. travnja 2016.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. </w:t>
      </w:r>
    </w:p>
    <w:p>
      <w:pPr>
        <w:widowControl w:val="0"/>
        <w:rPr>
          <w:noProof/>
        </w:rPr>
      </w:pPr>
      <w:r>
        <w:rPr>
          <w:noProof/>
        </w:rPr>
        <w:t>Glavni problem zbog kojeg je blokiran ovaj dokument bilo je pitanje postizanja dogovora s Europskim parlamentom o formalizaciji razmjene podataka između Eurostata, Europske agencije za željeznice (ERA)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i Glavne uprave za mobilnost i promet (GU MOVE) putem bilateralnih memoranduma o razumijevanju. </w:t>
      </w:r>
    </w:p>
    <w:p>
      <w:pPr>
        <w:spacing w:before="0" w:after="0"/>
        <w:rPr>
          <w:noProof/>
        </w:rPr>
      </w:pPr>
      <w:r>
        <w:rPr>
          <w:noProof/>
        </w:rPr>
        <w:t xml:space="preserve">Konsenzus je konačno postignut potpisivanjem dvaju memoranduma o razumijevanju, jednog između Eurostata i GU MOVE i drugog između Eurostata i ERA-e. Europski parlament time je dobio jamstvo da će se podaci koje je zatražio obraditi i staviti na raspolaganje. </w:t>
      </w:r>
    </w:p>
    <w:p>
      <w:pPr>
        <w:ind w:left="14" w:right="-8"/>
        <w:rPr>
          <w:bCs/>
          <w:iCs/>
          <w:noProof/>
        </w:rPr>
      </w:pPr>
      <w:r>
        <w:rPr>
          <w:noProof/>
        </w:rPr>
        <w:t>Tekst ne sadržava izričito upućivanje na memorandume o razumijevanju, ali se jedna uvodna izjava odnosi na „odgovarajuće sporazume o suradnji u pogledu statističkih aktivnosti”.</w:t>
      </w:r>
    </w:p>
    <w:p>
      <w:pPr>
        <w:widowControl w:val="0"/>
        <w:rPr>
          <w:noProof/>
        </w:rPr>
      </w:pPr>
      <w:r>
        <w:rPr>
          <w:noProof/>
        </w:rPr>
        <w:t>Vijeće je donijelo svoje stajalište u prvom čitanju</w:t>
      </w:r>
      <w:r>
        <w:rPr>
          <w:rFonts w:ascii="Cambria" w:hAnsi="Cambria"/>
          <w:noProof/>
        </w:rPr>
        <w:t xml:space="preserve"> </w:t>
      </w:r>
      <w:r>
        <w:rPr>
          <w:noProof/>
        </w:rPr>
        <w:t>18. srpnja 2016</w:t>
      </w:r>
      <w:r>
        <w:rPr>
          <w:i/>
          <w:noProof/>
        </w:rPr>
        <w:t>.</w:t>
      </w:r>
      <w:r>
        <w:rPr>
          <w:noProof/>
        </w:rPr>
        <w:t xml:space="preserve"> </w:t>
      </w:r>
    </w:p>
    <w:p>
      <w:pPr>
        <w:widowControl w:val="0"/>
        <w:rPr>
          <w:noProof/>
          <w:szCs w:val="24"/>
        </w:rPr>
      </w:pPr>
      <w:r>
        <w:rPr>
          <w:noProof/>
        </w:rPr>
        <w:t>Stajalište Vijeća Komisiji je prihvatljivo.</w:t>
      </w: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>Napomene o izmjenama koje je donio Europski parlament</w:t>
      </w:r>
    </w:p>
    <w:p>
      <w:pPr>
        <w:pStyle w:val="ManualHeading3"/>
        <w:rPr>
          <w:noProof/>
          <w:highlight w:val="yellow"/>
        </w:rPr>
      </w:pPr>
      <w:r>
        <w:rPr>
          <w:noProof/>
        </w:rPr>
        <w:t>3.2.1.</w:t>
      </w:r>
      <w:r>
        <w:rPr>
          <w:noProof/>
        </w:rPr>
        <w:tab/>
        <w:t>Izmjene Europskog parlamenta koje su u cijelosti, djelomično ili načelno uključene u stajalište Vijeća u prvom čitanju</w:t>
      </w:r>
    </w:p>
    <w:p>
      <w:pPr>
        <w:spacing w:before="0" w:after="0"/>
        <w:rPr>
          <w:noProof/>
        </w:rPr>
      </w:pPr>
      <w:r>
        <w:rPr>
          <w:noProof/>
        </w:rPr>
        <w:t xml:space="preserve">Europski parlament donio je 11. ožujka 2014. zakonodavnu rezoluciju o prijedlogu 23 izmjene. Komisija ih je većinu odbila, uključujući zahtjev za dodatne varijable. Konkretno, mišljenje je Europskog parlamenta bilo da bi prikupljanje podataka trebalo proširiti tako da budu uključeni podaci o željezničkoj infrastrukturi te da bi trebalo postojati više mjernih varijabli za statistiku o prijevozu putnika, posebno u pogledu prekograničnih veza koje bi, kako smatra, trebale biti u središtu prometne politike EU-a. </w:t>
      </w:r>
    </w:p>
    <w:p>
      <w:pPr>
        <w:pStyle w:val="ManualHeading3"/>
        <w:rPr>
          <w:noProof/>
          <w:szCs w:val="24"/>
        </w:rPr>
      </w:pPr>
      <w:r>
        <w:rPr>
          <w:noProof/>
        </w:rPr>
        <w:t>3.2.2.</w:t>
      </w:r>
      <w:r>
        <w:rPr>
          <w:noProof/>
        </w:rPr>
        <w:tab/>
        <w:t>Izmjene Europskog parlamenta koje nisu uključene u stajalište Vijeća u prvom čitanju</w:t>
      </w:r>
    </w:p>
    <w:p>
      <w:pPr>
        <w:rPr>
          <w:noProof/>
        </w:rPr>
      </w:pPr>
      <w:r>
        <w:rPr>
          <w:noProof/>
        </w:rPr>
        <w:t xml:space="preserve">Glavne izmjene u pogledu izričitog dodavanja novih varijabli nisu uključene u stajalište Vijeća. </w:t>
      </w:r>
    </w:p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>Odredbe koje je izmijenilo Vijeće i stajalište Komisije o njima</w:t>
      </w:r>
    </w:p>
    <w:p>
      <w:pPr>
        <w:rPr>
          <w:bCs/>
          <w:iCs/>
          <w:noProof/>
        </w:rPr>
      </w:pPr>
      <w:r>
        <w:rPr>
          <w:noProof/>
        </w:rPr>
        <w:t>Nova uvodna izjava (3a) bavi se pitanjem daljnjeg prikupljanja podataka u cilju izbjegavanja udvostručavanja posla i optimiranja upotrebe postojećih informacija. U njoj se navodi i da bi „trebalo postići odgovarajuće sporazume o suradnji u pogledu statističkih aktivnosti između službi Komisije i relevantnih subjekata, među ostalim i na međunarodnoj razini”.</w:t>
      </w:r>
    </w:p>
    <w:p>
      <w:pPr>
        <w:rPr>
          <w:noProof/>
        </w:rPr>
      </w:pPr>
      <w:r>
        <w:rPr>
          <w:noProof/>
        </w:rPr>
        <w:lastRenderedPageBreak/>
        <w:t>U članku 3. stavku 2. upućuje se na isključivu ovlast dodijeljenu Komisiji da donosi delegirane akte radi prilagodbe postojećih tehničkih definicija i uvođenja novih tehničkih definicija. Navodi se i da Komisija pri izvršavanju te ovlasti treba osigurati da se tim delegiranim aktima državama članicama ili davateljima podataka ne nameće znatno dodatno opterećenje. Nadalje, Komisija je dužna propisno obrazložiti mjere predviđene u tim delegiranim aktima koristeći se, prema potrebi, analizom njihove isplativosti, uključujući ocjene troškova za davatelje podataka i troškove proizvodnje, kako je navedeno u članku 14. stavku 3. točki (c) Uredbe (EZ) br. 223/2009.</w:t>
      </w:r>
    </w:p>
    <w:p>
      <w:pPr>
        <w:pStyle w:val="Text1"/>
        <w:spacing w:before="100" w:beforeAutospacing="1" w:after="100" w:afterAutospacing="1"/>
        <w:ind w:left="0"/>
        <w:rPr>
          <w:noProof/>
          <w:szCs w:val="24"/>
        </w:rPr>
      </w:pPr>
      <w:r>
        <w:rPr>
          <w:noProof/>
        </w:rPr>
        <w:t>Iako Komisija izražava žaljenje zbog ograničene prirode dodijeljenih ovlasti u odnosu na izvorni prijedlog, u cilju postizanja sporazuma trenutačnu odredbu smatrat će prihvatljivom.</w:t>
      </w:r>
    </w:p>
    <w:p>
      <w:pPr>
        <w:pStyle w:val="Text1"/>
        <w:spacing w:before="100" w:beforeAutospacing="1" w:after="100" w:afterAutospacing="1"/>
        <w:ind w:left="0"/>
        <w:rPr>
          <w:noProof/>
          <w:szCs w:val="24"/>
        </w:rPr>
      </w:pPr>
      <w:r>
        <w:rPr>
          <w:noProof/>
        </w:rPr>
        <w:t xml:space="preserve">Uvedene su još dvije izmjene: </w:t>
      </w:r>
    </w:p>
    <w:p>
      <w:pPr>
        <w:pStyle w:val="Default"/>
        <w:jc w:val="both"/>
        <w:rPr>
          <w:noProof/>
        </w:rPr>
      </w:pPr>
      <w:r>
        <w:rPr>
          <w:noProof/>
        </w:rPr>
        <w:t xml:space="preserve">članku 7. dodan je novi stavak o donošenju provedbenih mjera kojima se utvrđuju postupci širenja rezultata. 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noProof/>
        </w:rPr>
        <w:t>Novim člankom 9. predviđa se da Komisija izvijesti Europski parlament i Vijeće o provedbi Uredbe (EZ) br. 91/2003 do 31. prosinca 2020., a nakon toga svake četiri godine umjesto samo jednom, kako je utvrđeno postojećom Uredbom.</w:t>
      </w:r>
    </w:p>
    <w:p>
      <w:pPr>
        <w:pStyle w:val="Text1"/>
        <w:ind w:left="0"/>
        <w:rPr>
          <w:noProof/>
        </w:rPr>
      </w:pPr>
      <w:r>
        <w:rPr>
          <w:noProof/>
        </w:rPr>
        <w:t>Standardna uvodna izjava i članak 10. o izvršavanju delegiranja ovlasti u skladu su s novim Međuinstitucijskim sporazumom o boljoj izradi zakonodavstva.</w:t>
      </w:r>
    </w:p>
    <w:p>
      <w:pPr>
        <w:pStyle w:val="Text1"/>
        <w:ind w:left="0"/>
        <w:rPr>
          <w:noProof/>
        </w:rPr>
      </w:pPr>
      <w:r>
        <w:rPr>
          <w:noProof/>
        </w:rPr>
        <w:t>Komisija podupire prethodno navedeno.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Zaključak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Komisija podupire postignuti kompromis jer je vrlo blizak izvornom prijedlogu Komisije. Nadalje, njime se ne stvara dodatno opterećenje za pružatelje podataka te je on u skladu s ciljem pojednostavnjenja postojećeg pravnog okvira za europsku statistiku željezničkog prijevoza. U pogledu usklađivanja Uredbe (EZ) br. 91/2003 s UFEU-om, unatoč nekim ograničenjima, kompromisom se omogućuje dobra ravnoteža između delegiranih i provedbenih akata. Tekst je primjer uspješne primjene novog Međuinstitucijskog sporazuma o boljoj izradi zakonodavstva.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Uredba (EZ) br. 91/2003 Europskog parlamenta i Vijeća od 16. prosinca 2002. o statistici željezničkog prijevoza (SL L 14, 21.1.2003., str. 1.).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Strong"/>
          <w:b w:val="0"/>
          <w:noProof/>
        </w:rPr>
        <w:t>Uredba (EU) br. 182/2011 Europskog parlamenta i Vijeća od 16. veljače 2011. o utvrđivanju pravila i općih načela u vezi s mehanizmima nadzora država članica nad izvršavanjem provedbenih ovlasti Komisije (</w:t>
      </w:r>
      <w:r>
        <w:rPr>
          <w:rStyle w:val="Emphasis"/>
          <w:i w:val="0"/>
        </w:rPr>
        <w:t>SL L 55, 28.2.2011., str. 13.)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SL L 123, 12.5.2016., str. 1.</w:t>
      </w:r>
    </w:p>
  </w:footnote>
  <w:footnote w:id="4">
    <w:p>
      <w:pPr>
        <w:spacing w:before="0" w:after="0"/>
        <w:rPr>
          <w:sz w:val="20"/>
          <w:szCs w:val="20"/>
        </w:rPr>
      </w:pPr>
      <w:r>
        <w:rPr>
          <w:rStyle w:val="FootnoteReference"/>
        </w:rPr>
        <w:footnoteRef/>
      </w:r>
      <w:r>
        <w:tab/>
      </w:r>
      <w:r>
        <w:rPr>
          <w:sz w:val="20"/>
        </w:rPr>
        <w:t>Uredba (EZ) br. 881/2004 Europskog parlamenta i Vijeća od 29. travnja 2004. o osnivanju Europske agencije za željeznice (SL L 164, 30.4.2004., str. 1.). Dana 16. lipnja 2016., nakon stupanja na snagu Uredbe (EU) br. 2016/796 Europskog parlamenta i Vijeća od 11. svibnja 2016. o Agenciji Europske unije za željeznice i stavljanju izvan snage Uredbe (EZ) br. 881/2004 (SL L 138, 26.5.2016., str. 1.), Agencija Europske unije za željeznice, zamjenjuje i nasljeđuje Europsku agenciju za željeznice (ERA). 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3E6A7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B0C1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48A4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42480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D3E4F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330D1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7204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F506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8-11 13:50:4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D89D6AD46A73442AB5CFFA9E9258D5BC"/>
    <w:docVar w:name="LW_CROSSREFERENCE" w:val="&lt;UNUSED&gt;"/>
    <w:docVar w:name="LW_DocType" w:val="COM"/>
    <w:docVar w:name="LW_EMISSION" w:val="10.8.2016."/>
    <w:docVar w:name="LW_EMISSION_ISODATE" w:val="2016-08-10"/>
    <w:docVar w:name="LW_EMISSION_LOCATION" w:val="BRX"/>
    <w:docVar w:name="LW_EMISSION_PREFIX" w:val="Bruxelles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(Tekst zna\u269?ajan za EGP)"/>
    <w:docVar w:name="LW_LANGUE" w:val="HR"/>
    <w:docVar w:name="LW_MARKING" w:val="&lt;UNUSED&gt;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97"/>
    <w:docVar w:name="LW_REF.II.NEW.CP_YEAR" w:val="2013"/>
    <w:docVar w:name="LW_REF.INST.NEW" w:val="COM"/>
    <w:docVar w:name="LW_REF.INST.NEW_ADOPTED" w:val="final"/>
    <w:docVar w:name="LW_REF.INST.NEW_TEXT" w:val="(2016) 506"/>
    <w:docVar w:name="LW_REF.INTERNE" w:val="&lt;UNUSED&gt;"/>
    <w:docVar w:name="LW_SOUS.TITRE.OBJ.CP" w:val="&lt;UNUSED&gt;"/>
    <w:docVar w:name="LW_SUPERTITRE" w:val="&lt;UNUSED&gt;"/>
    <w:docVar w:name="LW_TITRE.OBJ.CP" w:val="stajali\u353?tu Vije\u263?a o dono\u353?enju Prijedloga uredbe Europskog parlamenta i Vije\u263?a o izmjeni Uredbe (EZ) br. 91/2003 o statistici \u382?eljezni\u269?kog prijevoza u vezi s prikupljanjem podataka o robi, putnicima i nesre\u263?ama"/>
    <w:docVar w:name="LW_TYPE.DOC.CP" w:val="KOMUNIKACIJA KOMISIJE_x000b_EUROPSKOM PARLAMENTU_x000b__x000b_na temelju \u269?lanka 294. stavka 6. Ugovora o funkcioniranju Europske unije_x000b__x000b_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Strong">
    <w:name w:val="Strong"/>
    <w:qFormat/>
    <w:rPr>
      <w:b/>
      <w:bCs/>
      <w:shd w:val="clear" w:color="auto" w:fill="auto"/>
    </w:rPr>
  </w:style>
  <w:style w:type="character" w:styleId="Emphasis">
    <w:name w:val="Emphasis"/>
    <w:qFormat/>
    <w:rPr>
      <w:i/>
      <w:iCs/>
      <w:shd w:val="clear" w:color="auto" w:fill="auto"/>
    </w:rPr>
  </w:style>
  <w:style w:type="character" w:customStyle="1" w:styleId="DefaultMargins">
    <w:name w:val="DefaultMargins"/>
    <w:rPr>
      <w:rFonts w:ascii="Courier New" w:hAnsi="Courier New" w:cs="Times New Roman" w:hint="default"/>
      <w:sz w:val="20"/>
      <w:lang w:val="hr-H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itialChar">
    <w:name w:val="Initial Char"/>
    <w:link w:val="Initial"/>
    <w:locked/>
    <w:rPr>
      <w:spacing w:val="-3"/>
      <w:sz w:val="24"/>
      <w:lang w:eastAsia="hr-HR"/>
    </w:rPr>
  </w:style>
  <w:style w:type="paragraph" w:customStyle="1" w:styleId="Initial">
    <w:name w:val="Initial"/>
    <w:link w:val="InitialChar"/>
    <w:pPr>
      <w:tabs>
        <w:tab w:val="left" w:pos="-720"/>
      </w:tabs>
      <w:suppressAutoHyphens/>
      <w:spacing w:after="0" w:line="240" w:lineRule="auto"/>
      <w:jc w:val="both"/>
    </w:pPr>
    <w:rPr>
      <w:spacing w:val="-3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ListBullet1">
    <w:name w:val="List Bullet 1"/>
    <w:basedOn w:val="Text1"/>
    <w:pPr>
      <w:numPr>
        <w:numId w:val="9"/>
      </w:numPr>
      <w:spacing w:before="0" w:after="24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Strong">
    <w:name w:val="Strong"/>
    <w:qFormat/>
    <w:rPr>
      <w:b/>
      <w:bCs/>
      <w:shd w:val="clear" w:color="auto" w:fill="auto"/>
    </w:rPr>
  </w:style>
  <w:style w:type="character" w:styleId="Emphasis">
    <w:name w:val="Emphasis"/>
    <w:qFormat/>
    <w:rPr>
      <w:i/>
      <w:iCs/>
      <w:shd w:val="clear" w:color="auto" w:fill="auto"/>
    </w:rPr>
  </w:style>
  <w:style w:type="character" w:customStyle="1" w:styleId="DefaultMargins">
    <w:name w:val="DefaultMargins"/>
    <w:rPr>
      <w:rFonts w:ascii="Courier New" w:hAnsi="Courier New" w:cs="Times New Roman" w:hint="default"/>
      <w:sz w:val="20"/>
      <w:lang w:val="hr-H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itialChar">
    <w:name w:val="Initial Char"/>
    <w:link w:val="Initial"/>
    <w:locked/>
    <w:rPr>
      <w:spacing w:val="-3"/>
      <w:sz w:val="24"/>
      <w:lang w:eastAsia="hr-HR"/>
    </w:rPr>
  </w:style>
  <w:style w:type="paragraph" w:customStyle="1" w:styleId="Initial">
    <w:name w:val="Initial"/>
    <w:link w:val="InitialChar"/>
    <w:pPr>
      <w:tabs>
        <w:tab w:val="left" w:pos="-720"/>
      </w:tabs>
      <w:suppressAutoHyphens/>
      <w:spacing w:after="0" w:line="240" w:lineRule="auto"/>
      <w:jc w:val="both"/>
    </w:pPr>
    <w:rPr>
      <w:spacing w:val="-3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ListBullet1">
    <w:name w:val="List Bullet 1"/>
    <w:basedOn w:val="Text1"/>
    <w:pPr>
      <w:numPr>
        <w:numId w:val="9"/>
      </w:numPr>
      <w:spacing w:before="0" w:after="240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63AC-AA40-47C9-8AA5-C77D9029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4</Pages>
  <Words>843</Words>
  <Characters>5200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2016-07-14T08:38:00Z</cp:lastPrinted>
  <dcterms:created xsi:type="dcterms:W3CDTF">2016-08-11T11:43:00Z</dcterms:created>
  <dcterms:modified xsi:type="dcterms:W3CDTF">2016-08-11T11:50:00Z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