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388A9BA07A4422597002FDE1D5EB5C3" style="width:450.75pt;height:366pt">
            <v:imagedata r:id="rId9" o:title=""/>
          </v:shape>
        </w:pict>
      </w:r>
    </w:p>
    <w:p>
      <w:pPr>
        <w:rPr>
          <w:noProof/>
          <w:color w:val="000000" w:themeColor="text1"/>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color w:val="000000" w:themeColor="text1"/>
        </w:rPr>
      </w:pPr>
      <w:bookmarkStart w:id="0" w:name="_GoBack"/>
      <w:bookmarkEnd w:id="0"/>
      <w:r>
        <w:rPr>
          <w:noProof/>
          <w:color w:val="000000" w:themeColor="text1"/>
        </w:rPr>
        <w:lastRenderedPageBreak/>
        <w:t>TOELICHTING</w:t>
      </w:r>
    </w:p>
    <w:p>
      <w:pPr>
        <w:pStyle w:val="ManualHeading1"/>
        <w:rPr>
          <w:noProof/>
          <w:color w:val="000000" w:themeColor="text1"/>
        </w:rPr>
      </w:pPr>
      <w:r>
        <w:rPr>
          <w:noProof/>
          <w:color w:val="000000" w:themeColor="text1"/>
        </w:rPr>
        <w:t xml:space="preserve">1. </w:t>
      </w:r>
      <w:r>
        <w:rPr>
          <w:noProof/>
        </w:rPr>
        <w:tab/>
      </w:r>
      <w:r>
        <w:rPr>
          <w:noProof/>
          <w:color w:val="000000" w:themeColor="text1"/>
        </w:rPr>
        <w:t>ACHTERGROND VAN HET VOORSTEL</w:t>
      </w:r>
    </w:p>
    <w:p>
      <w:pPr>
        <w:pStyle w:val="Bullet0"/>
        <w:numPr>
          <w:ilvl w:val="0"/>
          <w:numId w:val="38"/>
        </w:numPr>
        <w:rPr>
          <w:noProof/>
          <w:color w:val="000000" w:themeColor="text1"/>
        </w:rPr>
      </w:pPr>
      <w:r>
        <w:rPr>
          <w:b/>
          <w:noProof/>
          <w:color w:val="000000" w:themeColor="text1"/>
        </w:rPr>
        <w:t>Motivering en doel van het voorstel</w:t>
      </w:r>
    </w:p>
    <w:p>
      <w:pPr>
        <w:rPr>
          <w:noProof/>
          <w:color w:val="000000" w:themeColor="text1"/>
        </w:rPr>
      </w:pPr>
      <w:r>
        <w:rPr>
          <w:noProof/>
          <w:color w:val="000000" w:themeColor="text1"/>
        </w:rPr>
        <w:t xml:space="preserve">Het doel van het voorstel is de oprichtingsverordening van de Europese Stichting tot verbetering van de levens- en arbeidsomstandigheden (Eurofound) uit 1975 te herzien. Er zijn twee redenen voor de herziening. </w:t>
      </w:r>
    </w:p>
    <w:p>
      <w:pPr>
        <w:rPr>
          <w:noProof/>
          <w:color w:val="000000" w:themeColor="text1"/>
        </w:rPr>
      </w:pPr>
      <w:r>
        <w:rPr>
          <w:noProof/>
          <w:color w:val="000000" w:themeColor="text1"/>
        </w:rPr>
        <w:t xml:space="preserve">Met de herziening van de oprichtingsverordening van Eurofound worden een aantal bepalingen van de bestaande Eurofound-verordening afgestemd op de gemeenschappelijke aanpak voor gedecentraliseerde agentschappen. </w:t>
      </w:r>
    </w:p>
    <w:p>
      <w:pPr>
        <w:rPr>
          <w:noProof/>
          <w:color w:val="000000" w:themeColor="text1"/>
        </w:rPr>
      </w:pPr>
      <w:r>
        <w:rPr>
          <w:noProof/>
          <w:color w:val="000000" w:themeColor="text1"/>
        </w:rPr>
        <w:t xml:space="preserve">De herziening biedt ook de kans om de doelstellingen en taken van Eurofound te actualiseren. Sinds haar oprichting in 1975 heeft de Stichting haar activiteiten aangepast aan de algemene maatschappelijke, institutionele en economische ontwikkelingen en aan de opkomende tendensen in het Europees beleid op het gebied van levens- en arbeidsomstandigheden. De nieuwe doelstellingen en taken zullen zo worden aangepast dat zij die ontwikkelingen en de huidige bijdrage van Eurofound aan de ontwikkeling van sociaal en arbeidsgerelateerd beleid beter weerspiegelen. De Stichting levert haar bijdrage door middel van relevant en kwalitatief hoogstaande onderzoeksresultaten op het gebied van werkgelegenheid, arbeidsverhoudingen en levens- en arbeidsomstandigheden. </w:t>
      </w:r>
    </w:p>
    <w:p>
      <w:pPr>
        <w:rPr>
          <w:noProof/>
          <w:color w:val="000000" w:themeColor="text1"/>
        </w:rPr>
      </w:pPr>
      <w:r>
        <w:rPr>
          <w:noProof/>
          <w:color w:val="000000" w:themeColor="text1"/>
        </w:rPr>
        <w:t>De herziening is geen initiatief in het kader van het programma voor gezonde en resultaatgerichte regelgeving (Refit).</w:t>
      </w:r>
    </w:p>
    <w:p>
      <w:pPr>
        <w:rPr>
          <w:noProof/>
          <w:color w:val="000000" w:themeColor="text1"/>
        </w:rPr>
      </w:pPr>
      <w:r>
        <w:rPr>
          <w:noProof/>
          <w:color w:val="000000" w:themeColor="text1"/>
        </w:rPr>
        <w:t>De oprichtingsverordeningen van de andere twee zogenoemde tripartiete agentschappen van de Europese Unie, nl. het Europees Agentschap voor veiligheid en gezondheid op het werk (EU</w:t>
      </w:r>
      <w:r>
        <w:rPr>
          <w:noProof/>
        </w:rPr>
        <w:noBreakHyphen/>
      </w:r>
      <w:r>
        <w:rPr>
          <w:noProof/>
          <w:color w:val="000000" w:themeColor="text1"/>
        </w:rPr>
        <w:t>OSHA) en het Europees Centrum voor de ontwikkeling van de beroepsopleiding (Cedefop) ondergaan tegelijkertijd ook een herziening.</w:t>
      </w:r>
    </w:p>
    <w:p>
      <w:pPr>
        <w:pStyle w:val="Bullet0"/>
        <w:rPr>
          <w:noProof/>
          <w:color w:val="000000" w:themeColor="text1"/>
        </w:rPr>
      </w:pPr>
      <w:r>
        <w:rPr>
          <w:b/>
          <w:noProof/>
          <w:color w:val="000000" w:themeColor="text1"/>
        </w:rPr>
        <w:t>Verenigbaarheid met bestaande bepalingen op het beleidsterrein</w:t>
      </w:r>
    </w:p>
    <w:p>
      <w:pPr>
        <w:rPr>
          <w:noProof/>
          <w:color w:val="000000" w:themeColor="text1"/>
        </w:rPr>
      </w:pPr>
      <w:r>
        <w:rPr>
          <w:noProof/>
          <w:color w:val="000000" w:themeColor="text1"/>
        </w:rPr>
        <w:t>De oprichtingsverordening van Eurofound is driemaal gewijzigd, nl. in 1993, 2003 en 2005, voornamelijk om rekening te houden met de uitbreiding van de EU of met verdragswijzigingen. Die wijzigingen hebben de fundamenten van het agentschap echter niet wezenlijk veranderd.</w:t>
      </w:r>
    </w:p>
    <w:p>
      <w:pPr>
        <w:rPr>
          <w:noProof/>
          <w:color w:val="000000" w:themeColor="text1"/>
        </w:rPr>
      </w:pPr>
      <w:r>
        <w:rPr>
          <w:noProof/>
          <w:color w:val="000000" w:themeColor="text1"/>
        </w:rPr>
        <w:t>Met deze herziening wordt een duidelijkere beschrijving gegeven van de rol die Eurofound vervult in het ondersteunen van de Commissie, andere EU-instellingen en -organen, de lidstaten en de sociale partners bij hun beleidsvorming op het gebied van levens- en arbeidsomstandigheden en bij het bevorderen van de sociale dialoog. Het mandaat van Eurofound als centrum voor analyse, onderzoek en beleidstoezicht op die beleidsterreinen zal worden geactualiseerd.</w:t>
      </w:r>
    </w:p>
    <w:p>
      <w:pPr>
        <w:pStyle w:val="Bullet0"/>
        <w:rPr>
          <w:noProof/>
          <w:color w:val="000000" w:themeColor="text1"/>
        </w:rPr>
      </w:pPr>
      <w:r>
        <w:rPr>
          <w:b/>
          <w:noProof/>
          <w:color w:val="000000" w:themeColor="text1"/>
        </w:rPr>
        <w:t>Verenigbaarheid met andere beleidsterreinen van de Unie</w:t>
      </w:r>
    </w:p>
    <w:p>
      <w:pPr>
        <w:rPr>
          <w:noProof/>
          <w:color w:val="000000" w:themeColor="text1"/>
        </w:rPr>
      </w:pPr>
      <w:r>
        <w:rPr>
          <w:noProof/>
          <w:color w:val="000000" w:themeColor="text1"/>
        </w:rPr>
        <w:t>De rol van Eurofound bestaat erin informatie te verstrekken en bij te dragen aan betere wetenschappelijk onderbouwde beleidsvorming op de gebieden die te maken hebben met levens- en arbeidsomstandigheden. Bij de herziening wordt rekening gehouden met het bestaande beleid van de Unie inzake levens- en arbeidsomstandigheden en wordt gezorgd voor complementariteit met lopend en gepland onderzoek op dit gebied dat onder meer in het kader van het programma Horizon 2020 door de EU wordt gefinancierd.</w:t>
      </w:r>
    </w:p>
    <w:p>
      <w:pPr>
        <w:pStyle w:val="ManualHeading1"/>
        <w:rPr>
          <w:noProof/>
          <w:color w:val="000000" w:themeColor="text1"/>
        </w:rPr>
      </w:pPr>
      <w:r>
        <w:rPr>
          <w:noProof/>
          <w:color w:val="000000" w:themeColor="text1"/>
        </w:rPr>
        <w:t xml:space="preserve">2. </w:t>
      </w:r>
      <w:r>
        <w:rPr>
          <w:noProof/>
        </w:rPr>
        <w:tab/>
      </w:r>
      <w:r>
        <w:rPr>
          <w:noProof/>
          <w:color w:val="000000" w:themeColor="text1"/>
        </w:rPr>
        <w:t>RECHTSGRONDSLAG, SUBSIDIARITEIT EN EVENREDIGHEID</w:t>
      </w:r>
    </w:p>
    <w:p>
      <w:pPr>
        <w:pStyle w:val="Bullet0"/>
        <w:rPr>
          <w:noProof/>
          <w:color w:val="000000" w:themeColor="text1"/>
        </w:rPr>
      </w:pPr>
      <w:r>
        <w:rPr>
          <w:b/>
          <w:noProof/>
          <w:color w:val="000000" w:themeColor="text1"/>
        </w:rPr>
        <w:t>Rechtsgrondslag</w:t>
      </w:r>
    </w:p>
    <w:p>
      <w:pPr>
        <w:rPr>
          <w:noProof/>
          <w:color w:val="000000" w:themeColor="text1"/>
        </w:rPr>
      </w:pPr>
      <w:r>
        <w:rPr>
          <w:noProof/>
          <w:color w:val="000000" w:themeColor="text1"/>
        </w:rPr>
        <w:t xml:space="preserve">De voorgestelde rechtsgrondslag is artikel 153 van het Verdrag betreffende de werking van de Europese Unie (VWEU) dat betrekking heeft op de activiteiten van Eurofound op het gebied van levens- en arbeidsomstandigheden, waar in artikel 153, lid 2, onder a) VWEU wordt verwezen naar maatregelen die erop gericht zijn de samenwerking tussen de lidstaten aan te moedigen. </w:t>
      </w:r>
    </w:p>
    <w:p>
      <w:pPr>
        <w:pStyle w:val="Bullet0"/>
        <w:rPr>
          <w:noProof/>
          <w:color w:val="000000" w:themeColor="text1"/>
        </w:rPr>
      </w:pPr>
      <w:r>
        <w:rPr>
          <w:b/>
          <w:noProof/>
          <w:color w:val="000000" w:themeColor="text1"/>
        </w:rPr>
        <w:t xml:space="preserve">Subsidiariteit (bij niet-exclusieve bevoegdheid) </w:t>
      </w:r>
    </w:p>
    <w:p>
      <w:pPr>
        <w:rPr>
          <w:noProof/>
          <w:color w:val="000000" w:themeColor="text1"/>
        </w:rPr>
      </w:pPr>
      <w:r>
        <w:rPr>
          <w:noProof/>
          <w:color w:val="000000" w:themeColor="text1"/>
        </w:rPr>
        <w:t>Dit voorstel betreft bepaalde aspecten die verband houden met de interne werking van het EU-agentschap en zijn functie in het institutionele kader van de EU. Om die reden kunnen de doelstellingen van dit voorstel niet met maatregelen op nationaal niveau worden bereikt.</w:t>
      </w:r>
    </w:p>
    <w:p>
      <w:pPr>
        <w:pStyle w:val="Bullet0"/>
        <w:rPr>
          <w:noProof/>
          <w:color w:val="000000" w:themeColor="text1"/>
        </w:rPr>
      </w:pPr>
      <w:r>
        <w:rPr>
          <w:b/>
          <w:noProof/>
          <w:color w:val="000000" w:themeColor="text1"/>
        </w:rPr>
        <w:t>Evenredigheid</w:t>
      </w:r>
    </w:p>
    <w:p>
      <w:pPr>
        <w:rPr>
          <w:noProof/>
          <w:color w:val="000000" w:themeColor="text1"/>
        </w:rPr>
      </w:pPr>
      <w:r>
        <w:rPr>
          <w:noProof/>
          <w:color w:val="000000" w:themeColor="text1"/>
        </w:rPr>
        <w:t xml:space="preserve">Wat de naleving van het evenredigheidsbeginsel betreft, moet de herziening van de oprichtingsverordening worden gezien in termen van het effect ervan op de administratieve belasting en de kosten voor de begroting. Bij de herziening zal worden uitgegaan van het algemene beginsel dat de tekst van de oprichtingsverordening eenvoudig, duidelijk en flexibel moet worden gehouden en dat deze tekst tegelijkertijd moet verwijzen naar andere regelgeving (bv. het reglement van orde) voor gedetailleerde bepalingen. Een oprichtingsverordening moet een gemiddelde levensduur hebben en voldoende flexibel zijn om mogelijke toekomstige ontwikkelingen in de organisatie toe te laten zonder dat een nieuwe herziening nodig is. </w:t>
      </w:r>
    </w:p>
    <w:p>
      <w:pPr>
        <w:pStyle w:val="Bullet0"/>
        <w:rPr>
          <w:noProof/>
          <w:color w:val="000000" w:themeColor="text1"/>
        </w:rPr>
      </w:pPr>
      <w:r>
        <w:rPr>
          <w:b/>
          <w:noProof/>
          <w:color w:val="000000" w:themeColor="text1"/>
        </w:rPr>
        <w:t>Keuze van het instrument</w:t>
      </w:r>
    </w:p>
    <w:p>
      <w:pPr>
        <w:rPr>
          <w:noProof/>
          <w:color w:val="000000" w:themeColor="text1"/>
        </w:rPr>
      </w:pPr>
      <w:r>
        <w:rPr>
          <w:noProof/>
          <w:color w:val="000000" w:themeColor="text1"/>
        </w:rPr>
        <w:t>Het instrument is een Verordening van het Europees Parlement en de Raad tot intrekking en vervanging van de bestaande Verordening (EEG) 1365/75 van de Raad.</w:t>
      </w:r>
    </w:p>
    <w:p>
      <w:pPr>
        <w:pStyle w:val="ManualHeading1"/>
        <w:rPr>
          <w:noProof/>
          <w:color w:val="000000" w:themeColor="text1"/>
        </w:rPr>
      </w:pPr>
      <w:r>
        <w:rPr>
          <w:noProof/>
          <w:color w:val="000000" w:themeColor="text1"/>
        </w:rPr>
        <w:t>3.</w:t>
      </w:r>
      <w:r>
        <w:rPr>
          <w:noProof/>
        </w:rPr>
        <w:tab/>
      </w:r>
      <w:r>
        <w:rPr>
          <w:noProof/>
          <w:color w:val="000000" w:themeColor="text1"/>
        </w:rPr>
        <w:t>EVALUATIE, RAADPLEGING VAN BELANGHEBBENDEN EN EFFECTBEOORDELING</w:t>
      </w:r>
    </w:p>
    <w:p>
      <w:pPr>
        <w:pStyle w:val="Bullet0"/>
        <w:rPr>
          <w:noProof/>
          <w:color w:val="000000" w:themeColor="text1"/>
        </w:rPr>
      </w:pPr>
      <w:r>
        <w:rPr>
          <w:b/>
          <w:noProof/>
          <w:color w:val="000000" w:themeColor="text1"/>
        </w:rPr>
        <w:t>Evaluatie van bestaande wetgeving en controle van de resultaatgerichtheid ervan</w:t>
      </w:r>
    </w:p>
    <w:p>
      <w:pPr>
        <w:rPr>
          <w:noProof/>
          <w:color w:val="000000" w:themeColor="text1"/>
        </w:rPr>
      </w:pPr>
      <w:r>
        <w:rPr>
          <w:noProof/>
          <w:color w:val="000000" w:themeColor="text1"/>
        </w:rPr>
        <w:t>De meest recente externe ex-postevaluatie werd door het Agentschap afgerond en was gericht op het meerjarige werkprogramma 2009-2012.</w:t>
      </w:r>
    </w:p>
    <w:p>
      <w:pPr>
        <w:rPr>
          <w:b/>
          <w:noProof/>
          <w:color w:val="000000" w:themeColor="text1"/>
        </w:rPr>
      </w:pPr>
      <w:r>
        <w:rPr>
          <w:b/>
          <w:noProof/>
          <w:color w:val="000000" w:themeColor="text1"/>
        </w:rPr>
        <w:t>Raadpleging van belanghebbenden</w:t>
      </w:r>
    </w:p>
    <w:p>
      <w:pPr>
        <w:rPr>
          <w:noProof/>
          <w:color w:val="000000" w:themeColor="text1"/>
        </w:rPr>
      </w:pPr>
      <w:r>
        <w:rPr>
          <w:noProof/>
          <w:color w:val="000000" w:themeColor="text1"/>
        </w:rPr>
        <w:t xml:space="preserve">Zoals bij artikel 154 VWEU is vereist, zijn de sociale partners op het niveau van de Unie zowel geraadpleegd over de mogelijke richting van een optreden van de Unie als over de inhoud van het overwogen voorstel. Zowel werkgevers als werknemers benadrukten in hun advies dat de tripartiete aard van het Agentschap moet worden behouden en dat dit moet worden weerspiegeld in de doelstellingen van het Agentschap en in de evenwichtige vertegenwoordiging van alle groepen in zijn bestuursstructuren. Voorts verzochten zij de functie van adjunct-directeur als bedoeld in de verordening van 1975 te behouden.  </w:t>
      </w:r>
    </w:p>
    <w:p>
      <w:pPr>
        <w:rPr>
          <w:noProof/>
          <w:color w:val="000000" w:themeColor="text1"/>
        </w:rPr>
      </w:pPr>
      <w:r>
        <w:rPr>
          <w:noProof/>
          <w:color w:val="000000" w:themeColor="text1"/>
        </w:rPr>
        <w:t xml:space="preserve">De Commissie heeft de andere belanghebbenden geïnformeerd over algemene beslissingen in verband met dit herzieningsproces en heeft hen waar nodig geraadpleegd. </w:t>
      </w:r>
    </w:p>
    <w:p>
      <w:pPr>
        <w:pStyle w:val="Bullet0"/>
        <w:rPr>
          <w:b/>
          <w:noProof/>
          <w:color w:val="000000" w:themeColor="text1"/>
        </w:rPr>
      </w:pPr>
      <w:r>
        <w:rPr>
          <w:b/>
          <w:noProof/>
          <w:color w:val="000000" w:themeColor="text1"/>
        </w:rPr>
        <w:t>Bijeenbrengen en gebruik van expertise</w:t>
      </w:r>
    </w:p>
    <w:p>
      <w:pPr>
        <w:rPr>
          <w:noProof/>
          <w:color w:val="000000" w:themeColor="text1"/>
        </w:rPr>
      </w:pPr>
      <w:r>
        <w:rPr>
          <w:noProof/>
          <w:color w:val="000000" w:themeColor="text1"/>
        </w:rPr>
        <w:t>Niet van toepassing.</w:t>
      </w:r>
    </w:p>
    <w:p>
      <w:pPr>
        <w:pStyle w:val="Bullet0"/>
        <w:rPr>
          <w:b/>
          <w:noProof/>
          <w:color w:val="000000" w:themeColor="text1"/>
        </w:rPr>
      </w:pPr>
      <w:r>
        <w:rPr>
          <w:b/>
          <w:noProof/>
          <w:color w:val="000000" w:themeColor="text1"/>
        </w:rPr>
        <w:t>Effectbeoordeling</w:t>
      </w:r>
    </w:p>
    <w:p>
      <w:pPr>
        <w:rPr>
          <w:noProof/>
          <w:color w:val="000000" w:themeColor="text1"/>
        </w:rPr>
      </w:pPr>
      <w:r>
        <w:rPr>
          <w:noProof/>
          <w:color w:val="000000" w:themeColor="text1"/>
        </w:rPr>
        <w:t>Gezien de beperkte herziening van de oprichtingsverordening is geen effectbeoordeling uitgevoerd.</w:t>
      </w:r>
    </w:p>
    <w:p>
      <w:pPr>
        <w:pStyle w:val="Bullet0"/>
        <w:rPr>
          <w:b/>
          <w:noProof/>
          <w:color w:val="000000" w:themeColor="text1"/>
        </w:rPr>
      </w:pPr>
      <w:r>
        <w:rPr>
          <w:b/>
          <w:noProof/>
          <w:color w:val="000000" w:themeColor="text1"/>
        </w:rPr>
        <w:t>Resultaatgerichtheid en vereenvoudiging</w:t>
      </w:r>
    </w:p>
    <w:p>
      <w:pPr>
        <w:rPr>
          <w:noProof/>
          <w:color w:val="000000" w:themeColor="text1"/>
        </w:rPr>
      </w:pPr>
      <w:r>
        <w:rPr>
          <w:noProof/>
          <w:color w:val="000000" w:themeColor="text1"/>
        </w:rPr>
        <w:t>Niet van toepassing. Het voorstel houdt geen verband met Refit.</w:t>
      </w:r>
    </w:p>
    <w:p>
      <w:pPr>
        <w:pStyle w:val="Bullet0"/>
        <w:rPr>
          <w:b/>
          <w:noProof/>
          <w:color w:val="000000" w:themeColor="text1"/>
        </w:rPr>
      </w:pPr>
      <w:r>
        <w:rPr>
          <w:b/>
          <w:noProof/>
          <w:color w:val="000000" w:themeColor="text1"/>
        </w:rPr>
        <w:t>Grondrechten</w:t>
      </w:r>
    </w:p>
    <w:p>
      <w:pPr>
        <w:rPr>
          <w:noProof/>
          <w:color w:val="000000" w:themeColor="text1"/>
        </w:rPr>
      </w:pPr>
      <w:r>
        <w:rPr>
          <w:noProof/>
          <w:color w:val="000000" w:themeColor="text1"/>
        </w:rPr>
        <w:t>Niet van toepassing.</w:t>
      </w:r>
    </w:p>
    <w:p>
      <w:pPr>
        <w:pStyle w:val="ManualHeading1"/>
        <w:rPr>
          <w:noProof/>
          <w:color w:val="000000" w:themeColor="text1"/>
        </w:rPr>
      </w:pPr>
      <w:r>
        <w:rPr>
          <w:noProof/>
          <w:color w:val="000000" w:themeColor="text1"/>
        </w:rPr>
        <w:t xml:space="preserve">4. </w:t>
      </w:r>
      <w:r>
        <w:rPr>
          <w:noProof/>
        </w:rPr>
        <w:tab/>
      </w:r>
      <w:r>
        <w:rPr>
          <w:noProof/>
          <w:color w:val="000000" w:themeColor="text1"/>
        </w:rPr>
        <w:t>Gevolgen voor de begroting</w:t>
      </w:r>
    </w:p>
    <w:p>
      <w:pPr>
        <w:pStyle w:val="ManualHeading1"/>
        <w:tabs>
          <w:tab w:val="clear" w:pos="850"/>
          <w:tab w:val="left" w:pos="0"/>
        </w:tabs>
        <w:ind w:left="0" w:firstLine="0"/>
        <w:rPr>
          <w:noProof/>
          <w:color w:val="000000" w:themeColor="text1"/>
        </w:rPr>
      </w:pPr>
      <w:r>
        <w:rPr>
          <w:b w:val="0"/>
          <w:smallCaps w:val="0"/>
          <w:noProof/>
          <w:color w:val="000000" w:themeColor="text1"/>
        </w:rPr>
        <w:t>De gevolgen voor de begroting in termen van personele en financiële middelen, zoals gedetailleerd vermeld in het financieel memorandum, stroken met Mededeling (2013) 519 van de Commissie.</w:t>
      </w:r>
      <w:r>
        <w:rPr>
          <w:noProof/>
          <w:color w:val="000000" w:themeColor="text1"/>
        </w:rPr>
        <w:t xml:space="preserve"> </w:t>
      </w:r>
    </w:p>
    <w:p>
      <w:pPr>
        <w:pStyle w:val="ManualHeading1"/>
        <w:rPr>
          <w:noProof/>
          <w:color w:val="000000" w:themeColor="text1"/>
        </w:rPr>
      </w:pPr>
      <w:r>
        <w:rPr>
          <w:noProof/>
          <w:color w:val="000000" w:themeColor="text1"/>
        </w:rPr>
        <w:t>5.</w:t>
      </w:r>
      <w:r>
        <w:rPr>
          <w:noProof/>
        </w:rPr>
        <w:tab/>
      </w:r>
      <w:r>
        <w:rPr>
          <w:noProof/>
          <w:color w:val="000000" w:themeColor="text1"/>
        </w:rPr>
        <w:t>OVERIGE ELEMENTEN</w:t>
      </w:r>
    </w:p>
    <w:p>
      <w:pPr>
        <w:pStyle w:val="Bullet0"/>
        <w:rPr>
          <w:b/>
          <w:noProof/>
          <w:color w:val="000000" w:themeColor="text1"/>
        </w:rPr>
      </w:pPr>
      <w:r>
        <w:rPr>
          <w:b/>
          <w:noProof/>
          <w:color w:val="000000" w:themeColor="text1"/>
        </w:rPr>
        <w:t>Uitvoeringsplanning en regelingen betreffende controle, evaluatie en rapportage</w:t>
      </w:r>
    </w:p>
    <w:p>
      <w:pPr>
        <w:rPr>
          <w:noProof/>
          <w:color w:val="000000" w:themeColor="text1"/>
        </w:rPr>
      </w:pPr>
      <w:r>
        <w:rPr>
          <w:noProof/>
          <w:color w:val="000000" w:themeColor="text1"/>
        </w:rPr>
        <w:t xml:space="preserve"> Overeenkomstig de gemeenschappelijke aanpak bevat het voorstel een bepaling in verband met de evaluatie van het Agentschap door de Commissie. Naast het indienen van dit voorstel neemt de Commissie zich voor een horizontale evaluatie uit te voeren om de doelstellingen, de mandaten, het bestuur en de taken van het Agentschap te beoordelen, ook met betrekking tot andere agentschappen die actief zijn op het gebied van de arbeidsmarkt, arbeidsomstandigheden, beroepsonderwijs en -opleiding en vaardigheden.</w:t>
      </w:r>
    </w:p>
    <w:p>
      <w:pPr>
        <w:pStyle w:val="Bullet0"/>
        <w:rPr>
          <w:b/>
          <w:noProof/>
          <w:color w:val="000000" w:themeColor="text1"/>
        </w:rPr>
      </w:pPr>
      <w:r>
        <w:rPr>
          <w:b/>
          <w:noProof/>
          <w:color w:val="000000" w:themeColor="text1"/>
        </w:rPr>
        <w:t>Toelichtende stukken (bij richtlijnen)</w:t>
      </w:r>
    </w:p>
    <w:p>
      <w:pPr>
        <w:rPr>
          <w:noProof/>
          <w:color w:val="000000" w:themeColor="text1"/>
        </w:rPr>
      </w:pPr>
      <w:r>
        <w:rPr>
          <w:noProof/>
          <w:color w:val="000000" w:themeColor="text1"/>
        </w:rPr>
        <w:t xml:space="preserve">Niet van toepassing. </w:t>
      </w:r>
    </w:p>
    <w:p>
      <w:pPr>
        <w:pStyle w:val="Bullet0"/>
        <w:rPr>
          <w:b/>
          <w:noProof/>
          <w:color w:val="000000" w:themeColor="text1"/>
        </w:rPr>
      </w:pPr>
      <w:r>
        <w:rPr>
          <w:b/>
          <w:noProof/>
          <w:color w:val="000000" w:themeColor="text1"/>
        </w:rPr>
        <w:t>NADERE TOELICHTING BIJ DE SPECIFIEKE BEPALINGEN VAN HET VOORSTEL</w:t>
      </w:r>
    </w:p>
    <w:p>
      <w:pPr>
        <w:rPr>
          <w:noProof/>
          <w:color w:val="000000" w:themeColor="text1"/>
        </w:rPr>
      </w:pPr>
      <w:r>
        <w:rPr>
          <w:noProof/>
          <w:color w:val="000000" w:themeColor="text1"/>
        </w:rPr>
        <w:t>De herziening biedt de kans om de doelstellingen en de taken van Eurofound te actualiseren zodat deze de ontwikkelingen weerspiegelen die het Agentschap en het kader waarin het sinds de vaststelling van de eerste oprichtingsverordening in 1975 heeft gewerkt, hebben doorgemaakt. Dankzij de herziening zal een nauwkeurigere definitie kunnen worden gegeven van de rol die Eurofound vervult in het ondersteunen van de Commissie, de lidstaten en de sociale partners bij de ontwikkeling en de uitvoering van hun beleid dat erop is gericht de levens- en arbeidsomstandigheden te verbeteren, en bij het ondersteunen van de sociale dialoog.</w:t>
      </w:r>
    </w:p>
    <w:p>
      <w:pPr>
        <w:rPr>
          <w:noProof/>
          <w:color w:val="000000" w:themeColor="text1"/>
        </w:rPr>
      </w:pPr>
      <w:r>
        <w:rPr>
          <w:noProof/>
          <w:color w:val="000000" w:themeColor="text1"/>
        </w:rPr>
        <w:t xml:space="preserve">Voorts biedt de herziening van de oprichtingsverordening de kans bepalingen voor fraudebestrijding, een beleid inzake belangenconflicten, evaluatie en toetsing en een zetelovereenkomst vast te stellen. </w:t>
      </w:r>
    </w:p>
    <w:p>
      <w:pPr>
        <w:rPr>
          <w:noProof/>
          <w:color w:val="000000" w:themeColor="text1"/>
        </w:rPr>
      </w:pPr>
      <w:r>
        <w:rPr>
          <w:noProof/>
          <w:color w:val="000000" w:themeColor="text1"/>
        </w:rPr>
        <w:t>Door de herziening zullen ook de bepalingen voor programmering en rapportage worden afgestemd op de vereisten van de herziene financiële kaderregeling. De benoemingsprocedure van de directeur (uitvoerend directeur) zal door de herziening worden gewijzigd en worden afgestemd op de in de gemeenschappelijke aanpak vastgestelde procedure. De huidige functie van adjunct-directeur zal worden afgeschaft. De rol van tot aanstelling bevoegd gezag zal worden overgedragen aan de raad van bestuur van het Agentschap. De terminologie voor de beheersstructuur zal worden afgestemd op de gemeenschappelijke aanpak. In afwachting van een nadere evaluatie worden bepaalde elementen van de oprichtingsverordening in het kader van dit voorstel niet herzien in het licht van de gemeenschappelijke aanpak.</w:t>
      </w:r>
    </w:p>
    <w:p>
      <w:pPr>
        <w:autoSpaceDE w:val="0"/>
        <w:autoSpaceDN w:val="0"/>
        <w:adjustRightInd w:val="0"/>
        <w:spacing w:before="0" w:after="0"/>
        <w:jc w:val="left"/>
        <w:rPr>
          <w:noProof/>
          <w:color w:val="000000" w:themeColor="text1"/>
        </w:rPr>
      </w:pP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Wat de benoeming betreft door de Raad van de leden van de raad van bestuur die de werkgevers- en de werknemersorganisaties van elke lidstaat vertegenwoordigen, wordt voorgesteld dat dit gebeurt op basis van een lijst die door Business Europe en ETUC, de socialepartnersorganisaties van de EU, wordt ingediend.</w:t>
      </w:r>
    </w:p>
    <w:p>
      <w:pPr>
        <w:rPr>
          <w:noProof/>
          <w:color w:val="000000" w:themeColor="text1"/>
        </w:rPr>
        <w:sectPr>
          <w:footerReference w:type="default" r:id="rId11"/>
          <w:footerReference w:type="first" r:id="rId12"/>
          <w:pgSz w:w="11907" w:h="16840" w:code="9"/>
          <w:pgMar w:top="1134" w:right="1418" w:bottom="1134" w:left="1418" w:header="709" w:footer="709" w:gutter="0"/>
          <w:cols w:space="708"/>
          <w:docGrid w:linePitch="360"/>
        </w:sectPr>
      </w:pPr>
    </w:p>
    <w:p>
      <w:pPr>
        <w:pStyle w:val="Rfrenceinterinstitutionnelle"/>
        <w:rPr>
          <w:noProof/>
        </w:rPr>
      </w:pPr>
      <w:r>
        <w:rPr>
          <w:noProof/>
        </w:rPr>
        <w:t>2016/0256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tot oprichting van de Europese Stichting tot verbetering van de levens- en arbeidsomstandigheden (Eurofound) en tot intrekking van Verordening (EEG) nr. 1365/75 van de Raad</w:t>
      </w:r>
    </w:p>
    <w:p>
      <w:pPr>
        <w:pStyle w:val="Institutionquiagit"/>
        <w:rPr>
          <w:noProof/>
          <w:color w:val="000000" w:themeColor="text1"/>
        </w:rPr>
      </w:pPr>
      <w:r>
        <w:rPr>
          <w:noProof/>
          <w:color w:val="000000" w:themeColor="text1"/>
        </w:rPr>
        <w:t>HET EUROPEES PARLEMENT EN DE RAAD VAN DE EUROPESE UNIE,</w:t>
      </w:r>
    </w:p>
    <w:p>
      <w:pPr>
        <w:rPr>
          <w:noProof/>
          <w:color w:val="000000" w:themeColor="text1"/>
        </w:rPr>
      </w:pPr>
      <w:r>
        <w:rPr>
          <w:noProof/>
          <w:color w:val="000000" w:themeColor="text1"/>
        </w:rPr>
        <w:t>Gezien het Verdrag betreffende de werking van de Europese Unie, en met name artikel 153, lid 2, onder a),</w:t>
      </w:r>
    </w:p>
    <w:p>
      <w:pPr>
        <w:rPr>
          <w:noProof/>
          <w:color w:val="000000" w:themeColor="text1"/>
        </w:rPr>
      </w:pPr>
      <w:r>
        <w:rPr>
          <w:noProof/>
          <w:color w:val="000000" w:themeColor="text1"/>
        </w:rPr>
        <w:t>Gezien het voorstel van de Europese Commissie,</w:t>
      </w:r>
    </w:p>
    <w:p>
      <w:pPr>
        <w:rPr>
          <w:noProof/>
          <w:color w:val="000000" w:themeColor="text1"/>
        </w:rPr>
      </w:pPr>
      <w:r>
        <w:rPr>
          <w:noProof/>
          <w:color w:val="000000" w:themeColor="text1"/>
        </w:rPr>
        <w:t>Na toezending van het ontwerp van wetgevingshandeling aan de nationale parlementen,</w:t>
      </w:r>
    </w:p>
    <w:p>
      <w:pPr>
        <w:rPr>
          <w:noProof/>
          <w:color w:val="000000" w:themeColor="text1"/>
        </w:rPr>
      </w:pPr>
      <w:r>
        <w:rPr>
          <w:noProof/>
          <w:color w:val="000000" w:themeColor="text1"/>
        </w:rPr>
        <w:t>Gezien het advies van het Europees Economisch en Sociaal Comité</w:t>
      </w:r>
      <w:r>
        <w:rPr>
          <w:rStyle w:val="FootnoteReference"/>
          <w:noProof/>
          <w:color w:val="000000" w:themeColor="text1"/>
        </w:rPr>
        <w:footnoteReference w:id="1"/>
      </w:r>
      <w:r>
        <w:rPr>
          <w:noProof/>
          <w:color w:val="000000" w:themeColor="text1"/>
        </w:rPr>
        <w:t xml:space="preserve">, </w:t>
      </w:r>
    </w:p>
    <w:p>
      <w:pPr>
        <w:rPr>
          <w:noProof/>
          <w:color w:val="000000" w:themeColor="text1"/>
        </w:rPr>
      </w:pPr>
      <w:r>
        <w:rPr>
          <w:noProof/>
          <w:color w:val="000000" w:themeColor="text1"/>
        </w:rPr>
        <w:t>Gezien het advies van het Comité van de Regio's</w:t>
      </w:r>
      <w:r>
        <w:rPr>
          <w:rStyle w:val="FootnoteReference"/>
          <w:noProof/>
          <w:color w:val="000000" w:themeColor="text1"/>
        </w:rPr>
        <w:footnoteReference w:id="2"/>
      </w:r>
      <w:r>
        <w:rPr>
          <w:noProof/>
          <w:color w:val="000000" w:themeColor="text1"/>
        </w:rPr>
        <w:t>,</w:t>
      </w:r>
    </w:p>
    <w:p>
      <w:pPr>
        <w:rPr>
          <w:noProof/>
          <w:color w:val="000000" w:themeColor="text1"/>
        </w:rPr>
      </w:pPr>
      <w:r>
        <w:rPr>
          <w:noProof/>
          <w:color w:val="000000" w:themeColor="text1"/>
        </w:rPr>
        <w:t>Handelend volgens de gewone wetgevingsprocedure,</w:t>
      </w:r>
    </w:p>
    <w:p>
      <w:pPr>
        <w:rPr>
          <w:noProof/>
          <w:color w:val="000000" w:themeColor="text1"/>
        </w:rPr>
      </w:pPr>
      <w:r>
        <w:rPr>
          <w:noProof/>
          <w:color w:val="000000" w:themeColor="text1"/>
        </w:rPr>
        <w:t>Overwegende hetgeen volgt:</w:t>
      </w:r>
    </w:p>
    <w:p>
      <w:pPr>
        <w:pStyle w:val="ManualConsidrant"/>
        <w:rPr>
          <w:noProof/>
        </w:rPr>
      </w:pPr>
      <w:r>
        <w:t>(1)</w:t>
      </w:r>
      <w:r>
        <w:tab/>
      </w:r>
      <w:r>
        <w:rPr>
          <w:noProof/>
        </w:rPr>
        <w:t>De Europese Stichting tot verbetering van de levens- en arbeidsomstandigheden (Eurofound) werd opgericht bij Verordening (EEG) nr. 1365/75</w:t>
      </w:r>
      <w:r>
        <w:rPr>
          <w:rStyle w:val="FootnoteReference"/>
          <w:noProof/>
          <w:color w:val="000000" w:themeColor="text1"/>
        </w:rPr>
        <w:footnoteReference w:id="3"/>
      </w:r>
      <w:r>
        <w:rPr>
          <w:noProof/>
        </w:rPr>
        <w:t xml:space="preserve"> om betere levens - en arbeidsomstandigheden te helpen uitwerken en verwezenlijken door middel van acties ter ontwikkeling en verspreiding van de kennis die deze evolutie kan bevorderen.</w:t>
      </w:r>
    </w:p>
    <w:p>
      <w:pPr>
        <w:pStyle w:val="ManualConsidrant"/>
        <w:rPr>
          <w:noProof/>
        </w:rPr>
      </w:pPr>
      <w:r>
        <w:t>(2)</w:t>
      </w:r>
      <w:r>
        <w:tab/>
      </w:r>
      <w:r>
        <w:rPr>
          <w:noProof/>
        </w:rPr>
        <w:t>Sinds de oprichting in 1975 heeft Eurofound een belangrijke ondersteunende rol gespeeld in de verbetering van de levens- en arbeidsomstandigheden in de hele Europese Unie. Tegelijkertijd zijn de betekenis en het belang van levens- en arbeidsomstandigheden geëvolueerd onder invloed van maatschappelijke ontwikkelingen en fundamentele veranderingen op de arbeidsmarkten. In het licht daarvan zijn terminologische aanpassingen nodig in de beschrijving van de in Verordening (EEG) nr. 1365/75 vermelde doelstellingen en taken van Eurofound.</w:t>
      </w:r>
    </w:p>
    <w:p>
      <w:pPr>
        <w:pStyle w:val="ManualConsidrant"/>
        <w:rPr>
          <w:noProof/>
        </w:rPr>
      </w:pPr>
      <w:r>
        <w:t>(3)</w:t>
      </w:r>
      <w:r>
        <w:tab/>
      </w:r>
      <w:r>
        <w:rPr>
          <w:noProof/>
        </w:rPr>
        <w:t>Verordening (EEG) nr. 1365/75 is meermaals gewijzigd. Aangezien verdere wijzigingen nodig zijn, moet de verordening omwille van de duidelijkheid worden vervangen en ingetrokken.</w:t>
      </w:r>
    </w:p>
    <w:p>
      <w:pPr>
        <w:pStyle w:val="ManualConsidrant"/>
        <w:rPr>
          <w:noProof/>
        </w:rPr>
      </w:pPr>
      <w:r>
        <w:t>(4)</w:t>
      </w:r>
      <w:r>
        <w:tab/>
      </w:r>
      <w:r>
        <w:rPr>
          <w:noProof/>
        </w:rPr>
        <w:t>Het bestuur en de werking van het Agentschap moeten zo veel mogelijk in overeenstemming zijn met de beginselen van de gezamenlijke verklaring van het Europees Parlement, de Raad van de EU en de Europese Commissie van 19 juli 2012 over de gedecentraliseerde agentschappen. Dit voorstel doet daarom geen afbreuk aan verdere wijzigingen van de oprichtingsverordening van Eurofound die de Commissie zou wensen voor te stellen na nadere evaluatie, uit hoofde van deze verordening of op eigen initiatief. De Commissie evalueert de doelstellingen, het mandaat, het bestuur en de taken van alle EU-agentschappen die actief zijn op het gebied van de arbeidsmarkt, arbeidsomstandigheden, beroepsonderwijs en -opleiding en vaardigheden.</w:t>
      </w:r>
    </w:p>
    <w:p>
      <w:pPr>
        <w:pStyle w:val="ManualConsidrant"/>
        <w:rPr>
          <w:noProof/>
        </w:rPr>
      </w:pPr>
      <w:r>
        <w:t>(5)</w:t>
      </w:r>
      <w:r>
        <w:tab/>
      </w:r>
      <w:r>
        <w:rPr>
          <w:noProof/>
        </w:rPr>
        <w:t>Aangezien de drie zogenoemde tripartiete agentschappen, nl. de Europese Stichting tot verbetering van de levens- en arbeidsvoorwaarden (Eurofound), het Europees Agentschap voor veiligheid en gezondheid op het werk (EU</w:t>
      </w:r>
      <w:r>
        <w:rPr>
          <w:noProof/>
        </w:rPr>
        <w:noBreakHyphen/>
        <w:t xml:space="preserve">OSHA) en het Europees Centrum voor de ontwikkeling van de beroepsopleiding (Cedefop), thema's behandelen die verband houden met de arbeidsmarkt, werkomgeving, beroepsonderwijs en -opleiding en vaardigheden, is een nauwe samenwerking tussen de drie agentschappen nodig en moeten de manieren om efficiëntie en synergieën te verbeteren, worden benut. Daarnaast moet het Agentschap, waar mogelijk, streven naar efficiënte samenwerking met de interne onderzoeksinstanties van de Europese Commissie. </w:t>
      </w:r>
    </w:p>
    <w:p>
      <w:pPr>
        <w:pStyle w:val="ManualConsidrant"/>
        <w:rPr>
          <w:noProof/>
        </w:rPr>
      </w:pPr>
      <w:r>
        <w:t>(6)</w:t>
      </w:r>
      <w:r>
        <w:tab/>
      </w:r>
      <w:r>
        <w:rPr>
          <w:noProof/>
        </w:rPr>
        <w:t>De financiële bepalingen en de bepalingen voor programmering en verslaglegging van Verordening (EEG) nr. 1365/75 moeten worden afgestemd op Gedelegeerde Verordening (EU) nr. 1271/2013 van de Commissie</w:t>
      </w:r>
      <w:r>
        <w:rPr>
          <w:rStyle w:val="FootnoteReference"/>
          <w:noProof/>
          <w:color w:val="000000" w:themeColor="text1"/>
        </w:rPr>
        <w:footnoteReference w:id="4"/>
      </w:r>
      <w:r>
        <w:rPr>
          <w:noProof/>
        </w:rPr>
        <w:t>.</w:t>
      </w:r>
    </w:p>
    <w:p>
      <w:pPr>
        <w:pStyle w:val="ManualConsidrant"/>
        <w:rPr>
          <w:noProof/>
        </w:rPr>
      </w:pPr>
      <w:r>
        <w:t>(7)</w:t>
      </w:r>
      <w:r>
        <w:tab/>
      </w:r>
      <w:r>
        <w:rPr>
          <w:noProof/>
        </w:rPr>
        <w:t>De bepalingen van Verordening (EEG) nr. 1365/75 inzake het personeel van Eurofound moeten worden afgestemd op het statuut van de ambtenaren van de Europese Unie ("het statuut") en op de bij Verordening (EEG, Euratom, EGKS) nr. 259/68 van de Raad vastgestelde regeling welke van toepassing is op de andere personeelsleden van de Europese Unie ("RAP")</w:t>
      </w:r>
      <w:r>
        <w:rPr>
          <w:rStyle w:val="FootnoteReference"/>
          <w:noProof/>
          <w:color w:val="000000" w:themeColor="text1"/>
        </w:rPr>
        <w:footnoteReference w:id="5"/>
      </w:r>
      <w:r>
        <w:rPr>
          <w:noProof/>
        </w:rPr>
        <w:t>.</w:t>
      </w:r>
    </w:p>
    <w:p>
      <w:pPr>
        <w:pStyle w:val="ManualConsidrant"/>
        <w:rPr>
          <w:noProof/>
        </w:rPr>
      </w:pPr>
      <w:r>
        <w:t>(8)</w:t>
      </w:r>
      <w:r>
        <w:tab/>
      </w:r>
      <w:r>
        <w:rPr>
          <w:noProof/>
        </w:rPr>
        <w:t>Het Agentschap moet de nodige maatregelen nemen om de veilige behandeling en verwerking van vertrouwelijke informatie te waarborgen. Waar nodig stelt Eurofound beveiligingsvoorschriften vast zoals bepaald in Besluit (EU, Euratom) 2015/443 van de Commissie</w:t>
      </w:r>
      <w:r>
        <w:rPr>
          <w:rStyle w:val="FootnoteReference"/>
          <w:noProof/>
          <w:color w:val="000000" w:themeColor="text1"/>
        </w:rPr>
        <w:footnoteReference w:id="6"/>
      </w:r>
      <w:r>
        <w:rPr>
          <w:noProof/>
        </w:rPr>
        <w:t xml:space="preserve"> en Besluit (EU, Euratom) 2015/444 van de Commissie</w:t>
      </w:r>
      <w:r>
        <w:rPr>
          <w:rStyle w:val="FootnoteReference"/>
          <w:noProof/>
          <w:color w:val="000000" w:themeColor="text1"/>
        </w:rPr>
        <w:footnoteReference w:id="7"/>
      </w:r>
      <w:r>
        <w:rPr>
          <w:noProof/>
        </w:rPr>
        <w:t>.</w:t>
      </w:r>
    </w:p>
    <w:p>
      <w:pPr>
        <w:pStyle w:val="ManualConsidrant"/>
        <w:rPr>
          <w:noProof/>
        </w:rPr>
      </w:pPr>
      <w:r>
        <w:t>(9)</w:t>
      </w:r>
      <w:r>
        <w:tab/>
      </w:r>
      <w:r>
        <w:rPr>
          <w:noProof/>
        </w:rPr>
        <w:t>Het is noodzakelijk te voorzien in overgangsbepalingen inzake de begroting en inzake de raad van bestuur, de uitvoerend directeur en het personeel om de voortzetting van de activiteiten van het Agentschap te waarborgen in afwachting van de inwerkingtreding van deze verordening,</w:t>
      </w:r>
    </w:p>
    <w:p>
      <w:pPr>
        <w:pStyle w:val="Formuledadoption"/>
        <w:rPr>
          <w:noProof/>
          <w:color w:val="000000" w:themeColor="text1"/>
        </w:rPr>
      </w:pPr>
      <w:r>
        <w:rPr>
          <w:noProof/>
          <w:color w:val="000000" w:themeColor="text1"/>
        </w:rPr>
        <w:t>HEBBEN DE VOLGENDE VERORDENING VASTGESTELD:</w:t>
      </w:r>
    </w:p>
    <w:p>
      <w:pPr>
        <w:pStyle w:val="Titrearticle"/>
        <w:rPr>
          <w:noProof/>
          <w:color w:val="000000" w:themeColor="text1"/>
        </w:rPr>
      </w:pPr>
    </w:p>
    <w:p>
      <w:pPr>
        <w:pStyle w:val="ChapterTitle"/>
        <w:rPr>
          <w:noProof/>
          <w:color w:val="000000" w:themeColor="text1"/>
        </w:rPr>
      </w:pPr>
      <w:r>
        <w:rPr>
          <w:noProof/>
          <w:color w:val="000000" w:themeColor="text1"/>
        </w:rPr>
        <w:t>Hoofdstuk I</w:t>
      </w:r>
      <w:r>
        <w:rPr>
          <w:noProof/>
          <w:color w:val="000000" w:themeColor="text1"/>
        </w:rPr>
        <w:br/>
        <w:t>Doelstellingen en taken van het Agentschap</w:t>
      </w:r>
    </w:p>
    <w:p>
      <w:pPr>
        <w:pStyle w:val="Titrearticle"/>
        <w:rPr>
          <w:noProof/>
          <w:color w:val="000000" w:themeColor="text1"/>
        </w:rPr>
      </w:pPr>
      <w:r>
        <w:rPr>
          <w:noProof/>
          <w:color w:val="000000" w:themeColor="text1"/>
        </w:rPr>
        <w:t>Artikel 1 - Doelstellingen van het Agentschap</w:t>
      </w:r>
    </w:p>
    <w:p>
      <w:pPr>
        <w:pStyle w:val="ManualNumPar1"/>
        <w:rPr>
          <w:noProof/>
        </w:rPr>
      </w:pPr>
      <w:r>
        <w:t>1.</w:t>
      </w:r>
      <w:r>
        <w:tab/>
      </w:r>
      <w:r>
        <w:rPr>
          <w:noProof/>
        </w:rPr>
        <w:t>De Europese Stichting tot verbetering van de levens- en arbeidsomstandigheden ("het Agentschap"), ook "Eurofound" genoemd, wordt hierbij opgericht als een agentschap van de Europese Unie.</w:t>
      </w:r>
    </w:p>
    <w:p>
      <w:pPr>
        <w:pStyle w:val="ManualNumPar1"/>
        <w:rPr>
          <w:noProof/>
        </w:rPr>
      </w:pPr>
      <w:r>
        <w:t>2.</w:t>
      </w:r>
      <w:r>
        <w:tab/>
      </w:r>
      <w:r>
        <w:rPr>
          <w:noProof/>
        </w:rPr>
        <w:t>De doelstellingen van het Agentschap zijn de ontwikkeling en verspreiding van kennis om de Commissie, andere EU-instellingen en -organen, de lidstaten en de sociale partners bij te staan bij de ontwikkeling en de uitvoering van hun beleid dat erop is gericht de levens- en arbeidsomstandigheden te verbeteren, bij de ondersteuning van het werkgelegenheidsbeleid en bij het bevorderen van de dialoog tussen werkgevers en werknemers.</w:t>
      </w:r>
    </w:p>
    <w:p>
      <w:pPr>
        <w:pStyle w:val="Titrearticle"/>
        <w:rPr>
          <w:noProof/>
          <w:color w:val="000000" w:themeColor="text1"/>
        </w:rPr>
      </w:pPr>
      <w:r>
        <w:rPr>
          <w:noProof/>
          <w:color w:val="000000" w:themeColor="text1"/>
        </w:rPr>
        <w:t>Artikel 2 — Taken</w:t>
      </w:r>
    </w:p>
    <w:p>
      <w:pPr>
        <w:pStyle w:val="ManualNumPar1"/>
        <w:rPr>
          <w:noProof/>
        </w:rPr>
      </w:pPr>
      <w:r>
        <w:t>1.</w:t>
      </w:r>
      <w:r>
        <w:tab/>
      </w:r>
      <w:r>
        <w:rPr>
          <w:noProof/>
        </w:rPr>
        <w:t>Het Agentschap voert de volgende taken uit in verband met de in artikel 1, lid 2, vermelde beleidsterreinen:</w:t>
      </w:r>
    </w:p>
    <w:p>
      <w:pPr>
        <w:pStyle w:val="Point1"/>
        <w:rPr>
          <w:noProof/>
        </w:rPr>
      </w:pPr>
      <w:r>
        <w:rPr>
          <w:noProof/>
        </w:rPr>
        <w:t>a)</w:t>
      </w:r>
      <w:r>
        <w:rPr>
          <w:noProof/>
        </w:rPr>
        <w:tab/>
        <w:t>ontwikkelingen analyseren en vergelijkende analysen van beleidsmaatregelen, institutionele kaders en praktijken in verschillende landen verstrekken;</w:t>
      </w:r>
    </w:p>
    <w:p>
      <w:pPr>
        <w:pStyle w:val="Point1"/>
        <w:rPr>
          <w:noProof/>
          <w:color w:val="000000" w:themeColor="text1"/>
        </w:rPr>
      </w:pPr>
      <w:r>
        <w:rPr>
          <w:noProof/>
          <w:color w:val="000000" w:themeColor="text1"/>
        </w:rPr>
        <w:t>b)</w:t>
      </w:r>
      <w:r>
        <w:rPr>
          <w:noProof/>
          <w:color w:val="000000" w:themeColor="text1"/>
        </w:rPr>
        <w:tab/>
        <w:t xml:space="preserve">tendensen </w:t>
      </w:r>
      <w:r>
        <w:rPr>
          <w:noProof/>
        </w:rPr>
        <w:t>in</w:t>
      </w:r>
      <w:r>
        <w:rPr>
          <w:noProof/>
          <w:color w:val="000000" w:themeColor="text1"/>
        </w:rPr>
        <w:t xml:space="preserve"> levens- en arbeidsomstandigheden en de ontwikkeling van de arbeidsmarkt analyseren;</w:t>
      </w:r>
    </w:p>
    <w:p>
      <w:pPr>
        <w:pStyle w:val="Point1"/>
        <w:rPr>
          <w:noProof/>
          <w:color w:val="000000" w:themeColor="text1"/>
        </w:rPr>
      </w:pPr>
      <w:r>
        <w:rPr>
          <w:noProof/>
          <w:color w:val="000000" w:themeColor="text1"/>
        </w:rPr>
        <w:t>c)</w:t>
      </w:r>
      <w:r>
        <w:rPr>
          <w:noProof/>
          <w:color w:val="000000" w:themeColor="text1"/>
        </w:rPr>
        <w:tab/>
        <w:t xml:space="preserve">de </w:t>
      </w:r>
      <w:r>
        <w:rPr>
          <w:noProof/>
        </w:rPr>
        <w:t>ontwikkelingen</w:t>
      </w:r>
      <w:r>
        <w:rPr>
          <w:noProof/>
          <w:color w:val="000000" w:themeColor="text1"/>
        </w:rPr>
        <w:t xml:space="preserve"> in systemen voor arbeidsverhoudingen en met name in de sociale dialoog op EU-niveau en in de lidstaten analyseren;</w:t>
      </w:r>
    </w:p>
    <w:p>
      <w:pPr>
        <w:pStyle w:val="Point1"/>
        <w:rPr>
          <w:noProof/>
          <w:color w:val="000000" w:themeColor="text1"/>
        </w:rPr>
      </w:pPr>
      <w:r>
        <w:rPr>
          <w:noProof/>
          <w:color w:val="000000" w:themeColor="text1"/>
        </w:rPr>
        <w:t>d)</w:t>
      </w:r>
      <w:r>
        <w:rPr>
          <w:noProof/>
          <w:color w:val="000000" w:themeColor="text1"/>
        </w:rPr>
        <w:tab/>
        <w:t xml:space="preserve">studies </w:t>
      </w:r>
      <w:r>
        <w:rPr>
          <w:noProof/>
        </w:rPr>
        <w:t>uitvoeren</w:t>
      </w:r>
      <w:r>
        <w:rPr>
          <w:noProof/>
          <w:color w:val="000000" w:themeColor="text1"/>
        </w:rPr>
        <w:t xml:space="preserve"> of daartoe opdracht geven en onderzoek doen naar relevante socio-economische ontwikkelingen en daarmee verband houdende beleidsproblemen;</w:t>
      </w:r>
    </w:p>
    <w:p>
      <w:pPr>
        <w:pStyle w:val="Point1"/>
        <w:rPr>
          <w:noProof/>
          <w:color w:val="000000" w:themeColor="text1"/>
        </w:rPr>
      </w:pPr>
      <w:r>
        <w:rPr>
          <w:noProof/>
          <w:color w:val="000000" w:themeColor="text1"/>
        </w:rPr>
        <w:t>e)</w:t>
      </w:r>
      <w:r>
        <w:rPr>
          <w:noProof/>
          <w:color w:val="000000" w:themeColor="text1"/>
        </w:rPr>
        <w:tab/>
        <w:t xml:space="preserve">fora </w:t>
      </w:r>
      <w:r>
        <w:rPr>
          <w:noProof/>
        </w:rPr>
        <w:t>opzetten</w:t>
      </w:r>
      <w:r>
        <w:rPr>
          <w:noProof/>
          <w:color w:val="000000" w:themeColor="text1"/>
        </w:rPr>
        <w:t xml:space="preserve"> voor de uitwisseling van ervaringen en informatie tussen belanghebbenden, waaronder de sociale partners, en het uitvoeren van hervormingen en beleidsmaatregelen op nationaal niveau ondersteunen;</w:t>
      </w:r>
    </w:p>
    <w:p>
      <w:pPr>
        <w:pStyle w:val="Point1"/>
        <w:rPr>
          <w:noProof/>
          <w:color w:val="000000" w:themeColor="text1"/>
        </w:rPr>
      </w:pPr>
      <w:r>
        <w:rPr>
          <w:noProof/>
        </w:rPr>
        <w:t>f)</w:t>
      </w:r>
      <w:r>
        <w:rPr>
          <w:noProof/>
        </w:rPr>
        <w:tab/>
        <w:t>instrumenten</w:t>
      </w:r>
      <w:r>
        <w:rPr>
          <w:noProof/>
          <w:color w:val="000000" w:themeColor="text1"/>
        </w:rPr>
        <w:t xml:space="preserve"> en gegevensverzamelingen beheren en ter beschikking stellen van beleidsmakers, de sociale partners, de academische wereld en andere belanghebbenden.</w:t>
      </w:r>
    </w:p>
    <w:p>
      <w:pPr>
        <w:pStyle w:val="ManualNumPar1"/>
        <w:rPr>
          <w:noProof/>
        </w:rPr>
      </w:pPr>
      <w:r>
        <w:t>2.</w:t>
      </w:r>
      <w:r>
        <w:tab/>
      </w:r>
      <w:r>
        <w:rPr>
          <w:noProof/>
        </w:rPr>
        <w:t>Bij de uitvoering van zijn taken onderhoudt het Agentschap een nauwe dialoog voornamelijk met gespecialiseerde instanties, zowel publieke als private, overheden en werknemers- en werkgeversorganisaties. Zonder daarbij afbreuk te doen aan zijn eigen doelstellingen waarborgt het Agentschap de samenwerking met andere agentschappen van de Europese Unie, vooral met het Europees Agentschap voor veiligheid en gezondheid op het werk, het Europees Centrum voor de ontwikkeling van de beroepsopleiding en, zo nodig, met andere EU-agentschappen. Het doel van deze samenwerking is overlappingen te voorkomen en de synergie en het complementaire karakter van hun activiteiten te versterken.</w:t>
      </w:r>
    </w:p>
    <w:p>
      <w:pPr>
        <w:pStyle w:val="ChapterTitle"/>
        <w:rPr>
          <w:noProof/>
          <w:color w:val="000000" w:themeColor="text1"/>
        </w:rPr>
      </w:pPr>
      <w:r>
        <w:rPr>
          <w:noProof/>
          <w:color w:val="000000" w:themeColor="text1"/>
        </w:rPr>
        <w:t>Hoofdstuk II</w:t>
      </w:r>
      <w:r>
        <w:rPr>
          <w:noProof/>
          <w:color w:val="000000" w:themeColor="text1"/>
        </w:rPr>
        <w:br/>
        <w:t>Organisatie van het Agentschap</w:t>
      </w:r>
    </w:p>
    <w:p>
      <w:pPr>
        <w:pStyle w:val="Titrearticle"/>
        <w:rPr>
          <w:noProof/>
          <w:color w:val="000000" w:themeColor="text1"/>
        </w:rPr>
      </w:pPr>
      <w:r>
        <w:rPr>
          <w:noProof/>
          <w:color w:val="000000" w:themeColor="text1"/>
        </w:rPr>
        <w:t>Artikel 3 — Administratieve en bestuurlijke structuur</w:t>
      </w:r>
    </w:p>
    <w:p>
      <w:pPr>
        <w:rPr>
          <w:noProof/>
          <w:color w:val="000000" w:themeColor="text1"/>
        </w:rPr>
      </w:pPr>
      <w:r>
        <w:rPr>
          <w:noProof/>
          <w:color w:val="000000" w:themeColor="text1"/>
        </w:rPr>
        <w:t>De administratieve en bestuurlijke structuur van het Agentschap omvat:</w:t>
      </w:r>
    </w:p>
    <w:p>
      <w:pPr>
        <w:pStyle w:val="Point1"/>
        <w:rPr>
          <w:noProof/>
        </w:rPr>
      </w:pPr>
      <w:r>
        <w:rPr>
          <w:noProof/>
        </w:rPr>
        <w:t>a)</w:t>
      </w:r>
      <w:r>
        <w:rPr>
          <w:noProof/>
        </w:rPr>
        <w:tab/>
        <w:t>een raad van bestuur, die de in artikel 5 vastgestelde taken uitvoert;</w:t>
      </w:r>
    </w:p>
    <w:p>
      <w:pPr>
        <w:pStyle w:val="Point1"/>
        <w:rPr>
          <w:noProof/>
        </w:rPr>
      </w:pPr>
      <w:r>
        <w:rPr>
          <w:noProof/>
        </w:rPr>
        <w:t>b)</w:t>
      </w:r>
      <w:r>
        <w:rPr>
          <w:noProof/>
        </w:rPr>
        <w:tab/>
        <w:t>een uitvoerend comité, dat de in artikel 10 vastgestelde taken uitvoert;</w:t>
      </w:r>
    </w:p>
    <w:p>
      <w:pPr>
        <w:pStyle w:val="Point1"/>
        <w:rPr>
          <w:noProof/>
        </w:rPr>
      </w:pPr>
      <w:r>
        <w:rPr>
          <w:noProof/>
        </w:rPr>
        <w:t>c)</w:t>
      </w:r>
      <w:r>
        <w:rPr>
          <w:noProof/>
        </w:rPr>
        <w:tab/>
        <w:t>een uitvoerend directeur, die de in artikel 11 vastgestelde verantwoordelijkheden draagt.</w:t>
      </w:r>
    </w:p>
    <w:p>
      <w:pPr>
        <w:pStyle w:val="SectionTitle"/>
        <w:rPr>
          <w:noProof/>
          <w:color w:val="000000" w:themeColor="text1"/>
        </w:rPr>
      </w:pPr>
      <w:r>
        <w:rPr>
          <w:noProof/>
          <w:color w:val="000000" w:themeColor="text1"/>
        </w:rPr>
        <w:t>Afdeling 1: Raad van bestuur</w:t>
      </w:r>
    </w:p>
    <w:p>
      <w:pPr>
        <w:pStyle w:val="Titrearticle"/>
        <w:rPr>
          <w:noProof/>
          <w:color w:val="000000" w:themeColor="text1"/>
        </w:rPr>
      </w:pPr>
      <w:r>
        <w:rPr>
          <w:noProof/>
          <w:color w:val="000000" w:themeColor="text1"/>
        </w:rPr>
        <w:t>Artikel 4 — Samenstelling van de raad van bestuur</w:t>
      </w:r>
    </w:p>
    <w:p>
      <w:pPr>
        <w:pStyle w:val="ManualNumPar1"/>
        <w:rPr>
          <w:noProof/>
        </w:rPr>
      </w:pPr>
      <w:r>
        <w:t>1.</w:t>
      </w:r>
      <w:r>
        <w:tab/>
      </w:r>
      <w:r>
        <w:rPr>
          <w:noProof/>
        </w:rPr>
        <w:t>De raad van bestuur bestaat uit:</w:t>
      </w:r>
    </w:p>
    <w:p>
      <w:pPr>
        <w:pStyle w:val="Point1"/>
        <w:rPr>
          <w:noProof/>
        </w:rPr>
      </w:pPr>
      <w:r>
        <w:rPr>
          <w:noProof/>
        </w:rPr>
        <w:t>a)</w:t>
      </w:r>
      <w:r>
        <w:rPr>
          <w:noProof/>
        </w:rPr>
        <w:tab/>
        <w:t>een lid per lidstaat dat de regering van die lidstaat vertegenwoordigt;</w:t>
      </w:r>
    </w:p>
    <w:p>
      <w:pPr>
        <w:pStyle w:val="Point1"/>
        <w:rPr>
          <w:noProof/>
        </w:rPr>
      </w:pPr>
      <w:r>
        <w:rPr>
          <w:noProof/>
        </w:rPr>
        <w:t>b)</w:t>
      </w:r>
      <w:r>
        <w:rPr>
          <w:noProof/>
        </w:rPr>
        <w:tab/>
        <w:t>een lid per lidstaat dat de werkgeversorganisaties van die lidstaat vertegenwoordigt;</w:t>
      </w:r>
    </w:p>
    <w:p>
      <w:pPr>
        <w:pStyle w:val="Point1"/>
        <w:rPr>
          <w:noProof/>
        </w:rPr>
      </w:pPr>
      <w:r>
        <w:rPr>
          <w:noProof/>
        </w:rPr>
        <w:t>c)</w:t>
      </w:r>
      <w:r>
        <w:rPr>
          <w:noProof/>
        </w:rPr>
        <w:tab/>
        <w:t>een lid per lidstaat dat de werknemersorganisaties van die lidstaat vertegenwoordigt;</w:t>
      </w:r>
    </w:p>
    <w:p>
      <w:pPr>
        <w:pStyle w:val="Point1"/>
        <w:rPr>
          <w:noProof/>
        </w:rPr>
      </w:pPr>
      <w:r>
        <w:rPr>
          <w:noProof/>
        </w:rPr>
        <w:t>d)</w:t>
      </w:r>
      <w:r>
        <w:rPr>
          <w:noProof/>
        </w:rPr>
        <w:tab/>
        <w:t>drie leden die de Commissie vertegenwoordigen.</w:t>
      </w:r>
    </w:p>
    <w:p>
      <w:pPr>
        <w:pStyle w:val="Text1"/>
        <w:rPr>
          <w:noProof/>
        </w:rPr>
      </w:pPr>
      <w:r>
        <w:rPr>
          <w:noProof/>
        </w:rPr>
        <w:t xml:space="preserve">Alle onder a) tot en met d) bedoelde leden zijn stemgerechtigd. </w:t>
      </w:r>
    </w:p>
    <w:p>
      <w:pPr>
        <w:pStyle w:val="Text1"/>
        <w:rPr>
          <w:noProof/>
        </w:rPr>
      </w:pPr>
      <w:r>
        <w:rPr>
          <w:noProof/>
        </w:rPr>
        <w:t>De onder a), b) en c) bedoelde leden worden door de Raad benoemd op basis van respectievelijk door de lidstaten, de Europese werkgeversorganisaties en de Europese werknemersorganisaties ingediende lijsten met kandidaten. De vertegenwoordigers van de Commissie worden door de Commissie benoemd.</w:t>
      </w:r>
    </w:p>
    <w:p>
      <w:pPr>
        <w:pStyle w:val="ManualNumPar1"/>
        <w:rPr>
          <w:noProof/>
        </w:rPr>
      </w:pPr>
      <w:r>
        <w:t>2.</w:t>
      </w:r>
      <w:r>
        <w:tab/>
      </w:r>
      <w:r>
        <w:rPr>
          <w:noProof/>
        </w:rPr>
        <w:t xml:space="preserve">Ieder lid van de raad van bestuur heeft een plaatsvervanger. De plaatsvervanger vertegenwoordigt het lid indien het afwezig is. De plaatsvervanger wordt benoemd volgens de in lid 1 vermelde procedure. </w:t>
      </w:r>
    </w:p>
    <w:p>
      <w:pPr>
        <w:pStyle w:val="ManualNumPar1"/>
        <w:rPr>
          <w:noProof/>
        </w:rPr>
      </w:pPr>
      <w:r>
        <w:t>3.</w:t>
      </w:r>
      <w:r>
        <w:tab/>
      </w:r>
      <w:r>
        <w:rPr>
          <w:noProof/>
        </w:rPr>
        <w:t>De leden van de raad van bestuur en hun plaatsvervangers worden benoemd op grond van hun kennis op het gebied van sociaal en arbeidsgerelateerd beleid, met inachtneming van hun relevante bestuurlijke, administratieve en budgettaire vaardigheden. Alle partijen in de raad van bestuur trachten het verloop van hun vertegenwoordigers te beperken om de continuïteit van de werkzaamheden van de raad van bestuur te waarborgen. Alle partijen streven naar een evenwichtige vertegenwoordiging van mannen en vrouwen in de raad van bestuur.</w:t>
      </w:r>
    </w:p>
    <w:p>
      <w:pPr>
        <w:pStyle w:val="ManualNumPar1"/>
        <w:rPr>
          <w:noProof/>
        </w:rPr>
      </w:pPr>
      <w:r>
        <w:t>4.</w:t>
      </w:r>
      <w:r>
        <w:tab/>
      </w:r>
      <w:r>
        <w:rPr>
          <w:noProof/>
        </w:rPr>
        <w:t>De leden en de plaatsvervangers worden voor vier jaar benoemd. Die termijn is verlengbaar. Na afloop van hun ambtstermijn of in het geval van aftreden blijven de leden van de raad van bestuur tot hun herbenoeming of vervanging in functie.</w:t>
      </w:r>
    </w:p>
    <w:p>
      <w:pPr>
        <w:pStyle w:val="ManualNumPar1"/>
        <w:rPr>
          <w:noProof/>
        </w:rPr>
      </w:pPr>
      <w:r>
        <w:t>5.</w:t>
      </w:r>
      <w:r>
        <w:tab/>
      </w:r>
      <w:r>
        <w:rPr>
          <w:noProof/>
        </w:rPr>
        <w:t xml:space="preserve">In de raad van bestuur vormen de vertegenwoordigers van de regeringen, van de werknemersorganisaties en van de werkgeversorganisaties ieder een afzonderlijke groep. Elke groep wijst een coördinator aan om de besprekingen in de groep en tussen de groepen efficiënter te maken. De coördinatoren van de groep werkgevers en de groep werknemers zijn vertegenwoordigers van hun respectieve organisaties op Europees niveau en hoeven niet te worden aangewezen uit de benoemde leden van de raad. Coördinatoren die geen benoemde leden van de raad van bestuur in de zin van lid 1 zijn, wonen de vergaderingen van de raad van bestuur zonder stemrecht bij. </w:t>
      </w:r>
    </w:p>
    <w:p>
      <w:pPr>
        <w:pStyle w:val="Titrearticle"/>
        <w:rPr>
          <w:noProof/>
        </w:rPr>
      </w:pPr>
      <w:r>
        <w:rPr>
          <w:noProof/>
        </w:rPr>
        <w:t>Artikel 5 — Functies van de raad van bestuur</w:t>
      </w:r>
    </w:p>
    <w:p>
      <w:pPr>
        <w:pStyle w:val="ManualNumPar1"/>
        <w:rPr>
          <w:noProof/>
        </w:rPr>
      </w:pPr>
      <w:r>
        <w:t>1.</w:t>
      </w:r>
      <w:r>
        <w:tab/>
      </w:r>
      <w:r>
        <w:rPr>
          <w:noProof/>
        </w:rPr>
        <w:t>De raad van bestuur:</w:t>
      </w:r>
    </w:p>
    <w:p>
      <w:pPr>
        <w:pStyle w:val="Point1"/>
        <w:rPr>
          <w:noProof/>
        </w:rPr>
      </w:pPr>
      <w:r>
        <w:rPr>
          <w:noProof/>
        </w:rPr>
        <w:t>a)</w:t>
      </w:r>
      <w:r>
        <w:rPr>
          <w:noProof/>
        </w:rPr>
        <w:tab/>
        <w:t>zorgt voor de algemene aansturing van de activiteiten van het Agentschap en stelt ieder jaar het programmeringsdocument van het Agentschap vast met een tweederdemeerderheid van zijn stemgerechtigde leden en in overeenstemming met artikel 6;</w:t>
      </w:r>
    </w:p>
    <w:p>
      <w:pPr>
        <w:pStyle w:val="Point1"/>
        <w:rPr>
          <w:noProof/>
        </w:rPr>
      </w:pPr>
      <w:r>
        <w:rPr>
          <w:noProof/>
        </w:rPr>
        <w:t>b)</w:t>
      </w:r>
      <w:r>
        <w:rPr>
          <w:noProof/>
        </w:rPr>
        <w:tab/>
        <w:t>stelt met een tweederdemeerderheid van zijn stemgerechtigde leden de jaarbegroting van het Agentschap vast en oefent andere functies uit met betrekking tot de begroting van het Agentschap overeenkomstig hoofdstuk III;</w:t>
      </w:r>
    </w:p>
    <w:p>
      <w:pPr>
        <w:pStyle w:val="Point1"/>
        <w:rPr>
          <w:noProof/>
        </w:rPr>
      </w:pPr>
      <w:r>
        <w:rPr>
          <w:noProof/>
        </w:rPr>
        <w:t>c)</w:t>
      </w:r>
      <w:r>
        <w:rPr>
          <w:noProof/>
        </w:rPr>
        <w:tab/>
        <w:t>keurt het geconsolideerd jaarlijks activiteitenverslag van het Agentschap goed en zendt dit elk jaar uiterlijk op 1 juli samen met zijn beoordeling van de activiteiten van het Agentschap toe aan het Europees Parlement, de Raad, de Commissie en de Europese Rekenkamer. Het geconsolideerde jaarlijkse activiteitenverslag wordt openbaar gemaakt;</w:t>
      </w:r>
    </w:p>
    <w:p>
      <w:pPr>
        <w:pStyle w:val="Point1"/>
        <w:rPr>
          <w:noProof/>
        </w:rPr>
      </w:pPr>
      <w:r>
        <w:rPr>
          <w:noProof/>
        </w:rPr>
        <w:t>d)</w:t>
      </w:r>
      <w:r>
        <w:rPr>
          <w:noProof/>
        </w:rPr>
        <w:tab/>
        <w:t>stelt overeenkomstig artikel 17 de financiële regels vast die van toepassing zijn op het Agentschap;</w:t>
      </w:r>
    </w:p>
    <w:p>
      <w:pPr>
        <w:pStyle w:val="Point1"/>
        <w:rPr>
          <w:noProof/>
        </w:rPr>
      </w:pPr>
      <w:r>
        <w:rPr>
          <w:noProof/>
        </w:rPr>
        <w:t>e)</w:t>
      </w:r>
      <w:r>
        <w:rPr>
          <w:noProof/>
        </w:rPr>
        <w:tab/>
        <w:t>stelt een fraudebestrijdingsstrategie vast die evenredig is met de frauderisico’s en houdt daarbij rekening met de kosten en baten van de uit te voeren maatregelen;</w:t>
      </w:r>
    </w:p>
    <w:p>
      <w:pPr>
        <w:pStyle w:val="Point1"/>
        <w:rPr>
          <w:noProof/>
        </w:rPr>
      </w:pPr>
      <w:r>
        <w:rPr>
          <w:noProof/>
        </w:rPr>
        <w:t>f)</w:t>
      </w:r>
      <w:r>
        <w:rPr>
          <w:noProof/>
        </w:rPr>
        <w:tab/>
        <w:t>stelt regels vast voor de voorkoming en beheersing van belangenconflicten met betrekking tot zijn leden en onafhankelijke deskundigen;</w:t>
      </w:r>
    </w:p>
    <w:p>
      <w:pPr>
        <w:pStyle w:val="Point1"/>
        <w:rPr>
          <w:noProof/>
        </w:rPr>
      </w:pPr>
      <w:r>
        <w:rPr>
          <w:noProof/>
        </w:rPr>
        <w:t>g)</w:t>
      </w:r>
      <w:r>
        <w:rPr>
          <w:noProof/>
        </w:rPr>
        <w:tab/>
        <w:t>stelt communicatie- en verspreidingsplannen vast en werkt deze regelmatig bij op basis van een behoeftenanalyse;</w:t>
      </w:r>
    </w:p>
    <w:p>
      <w:pPr>
        <w:pStyle w:val="Point1"/>
        <w:rPr>
          <w:noProof/>
        </w:rPr>
      </w:pPr>
      <w:r>
        <w:rPr>
          <w:noProof/>
        </w:rPr>
        <w:t>h)</w:t>
      </w:r>
      <w:r>
        <w:rPr>
          <w:noProof/>
        </w:rPr>
        <w:tab/>
        <w:t>stelt zijn reglement van orde vast;</w:t>
      </w:r>
    </w:p>
    <w:p>
      <w:pPr>
        <w:pStyle w:val="Point1"/>
        <w:rPr>
          <w:noProof/>
        </w:rPr>
      </w:pPr>
      <w:r>
        <w:rPr>
          <w:noProof/>
        </w:rPr>
        <w:t>i)</w:t>
      </w:r>
      <w:r>
        <w:rPr>
          <w:noProof/>
        </w:rPr>
        <w:tab/>
        <w:t xml:space="preserve">oefent overeenkomstig lid 2 met betrekking tot het personeel van het Agentschap de bevoegdheden uit die het statuut toekent aan het tot aanstelling bevoegde gezag, en die de regeling welke van toepassing is op de andere personeelsleden toekent aan het tot het sluiten van contracten bevoegde gezag ("de bevoegdheden van het tot aanstelling bevoegde gezag"); </w:t>
      </w:r>
    </w:p>
    <w:p>
      <w:pPr>
        <w:pStyle w:val="Point1"/>
        <w:rPr>
          <w:noProof/>
        </w:rPr>
      </w:pPr>
      <w:r>
        <w:rPr>
          <w:noProof/>
        </w:rPr>
        <w:t>j)</w:t>
      </w:r>
      <w:r>
        <w:rPr>
          <w:noProof/>
        </w:rPr>
        <w:tab/>
        <w:t>stelt passende uitvoeringsregels ten behoeve van de uitvoering van het statuut en de regeling welke van toepassing is op de andere personeelsleden vast overeenkomstig artikel 110 van het statuut;</w:t>
      </w:r>
    </w:p>
    <w:p>
      <w:pPr>
        <w:pStyle w:val="Point1"/>
        <w:rPr>
          <w:noProof/>
        </w:rPr>
      </w:pPr>
      <w:r>
        <w:rPr>
          <w:noProof/>
        </w:rPr>
        <w:t>k)</w:t>
      </w:r>
      <w:r>
        <w:rPr>
          <w:noProof/>
        </w:rPr>
        <w:tab/>
        <w:t>benoemt de uitvoerend directeur en verlengt in voorkomend geval zijn ambtstermijn of ontheft hem uit zijn functie overeenkomstig artikel 19;</w:t>
      </w:r>
    </w:p>
    <w:p>
      <w:pPr>
        <w:pStyle w:val="Point1"/>
        <w:rPr>
          <w:noProof/>
        </w:rPr>
      </w:pPr>
      <w:r>
        <w:rPr>
          <w:noProof/>
        </w:rPr>
        <w:t>l)</w:t>
      </w:r>
      <w:r>
        <w:rPr>
          <w:noProof/>
        </w:rPr>
        <w:tab/>
        <w:t>benoemt een rekenplichtige, die onderworpen is aan het statuut en de regeling welke van toepassing is op de andere personeelsleden, en die volledig onafhankelijk is bij de uitvoering van zijn taken;</w:t>
      </w:r>
    </w:p>
    <w:p>
      <w:pPr>
        <w:pStyle w:val="Point1"/>
        <w:rPr>
          <w:noProof/>
        </w:rPr>
      </w:pPr>
      <w:r>
        <w:rPr>
          <w:noProof/>
        </w:rPr>
        <w:t>m)</w:t>
      </w:r>
      <w:r>
        <w:rPr>
          <w:noProof/>
        </w:rPr>
        <w:tab/>
        <w:t>zorgt voor een passende follow-up van de resultaten en aanbevelingen die voortvloeien uit de interne en externe auditverslagen en evaluaties en uit de onderzoeken van het Europees Bureau voor Fraudebestrijding (OLAF);</w:t>
      </w:r>
    </w:p>
    <w:p>
      <w:pPr>
        <w:pStyle w:val="Point1"/>
        <w:rPr>
          <w:noProof/>
        </w:rPr>
      </w:pPr>
      <w:r>
        <w:rPr>
          <w:noProof/>
        </w:rPr>
        <w:t>n)</w:t>
      </w:r>
      <w:r>
        <w:rPr>
          <w:noProof/>
        </w:rPr>
        <w:tab/>
        <w:t>neemt alle beslissingen in verband met de oprichting van de interne structuren van het Agentschap en, waar nodig, de wijziging ervan, rekening houdend met de activiteitenbehoeften van het Agentschap en met het oog op een gezond begrotingsbeheer;</w:t>
      </w:r>
    </w:p>
    <w:p>
      <w:pPr>
        <w:pStyle w:val="Point1"/>
        <w:rPr>
          <w:noProof/>
        </w:rPr>
      </w:pPr>
      <w:r>
        <w:rPr>
          <w:noProof/>
        </w:rPr>
        <w:t>o)</w:t>
      </w:r>
      <w:r>
        <w:rPr>
          <w:noProof/>
        </w:rPr>
        <w:tab/>
        <w:t>geeft machtiging tot het opstellen van werkregelingen overeenkomstig artikel 30, lid 1.</w:t>
      </w:r>
    </w:p>
    <w:p>
      <w:pPr>
        <w:pStyle w:val="ManualNumPar1"/>
        <w:rPr>
          <w:noProof/>
        </w:rPr>
      </w:pPr>
      <w:r>
        <w:t>2.</w:t>
      </w:r>
      <w:r>
        <w:tab/>
      </w:r>
      <w:r>
        <w:rPr>
          <w:noProof/>
        </w:rPr>
        <w:t>De raad van bestuur neemt overeenkomstig artikel 110 van het statuut een beslissing die is gebaseerd op artikel 2, lid 1, van het statuut en artikel 6 van de regeling welke van toepassing is op de andere personeelsleden, waarin hij de nodige bevoegdheden van het tot aanstelling bevoegde gezag delegeert aan de uitvoerend directeur en de voorwaarden vastlegt voor de opschorting van deze gedelegeerde bevoegdheden. De uitvoerend directeur mag deze bevoegdheden op zijn beurt delegeren.</w:t>
      </w:r>
    </w:p>
    <w:p>
      <w:pPr>
        <w:ind w:left="850"/>
        <w:rPr>
          <w:noProof/>
          <w:color w:val="000000" w:themeColor="text1"/>
        </w:rPr>
      </w:pPr>
      <w:r>
        <w:rPr>
          <w:noProof/>
          <w:color w:val="000000" w:themeColor="text1"/>
        </w:rPr>
        <w:t>Wanneer uitzonderlijke omstandigheden dat vereisen, kan de raad van bestuur door middel van een besluit de delegatie van de bevoegdheden van het tot aanstelling bevoegde gezag aan de uitvoerend directeur en de bevoegdheden die deze laatste op zijn beurt heeft gedelegeerd, tijdelijk opschorten en deze bevoegdheden zelf uitoefenen of delegeren aan een van zijn leden of aan een ander personeelslid dan de uitvoerend directeur.</w:t>
      </w:r>
    </w:p>
    <w:p>
      <w:pPr>
        <w:pStyle w:val="Titrearticle"/>
        <w:rPr>
          <w:noProof/>
          <w:color w:val="000000" w:themeColor="text1"/>
        </w:rPr>
      </w:pPr>
      <w:r>
        <w:rPr>
          <w:noProof/>
          <w:color w:val="000000" w:themeColor="text1"/>
        </w:rPr>
        <w:t>Artikel 6 — Jaarlijkse en meerjarige programmering</w:t>
      </w:r>
    </w:p>
    <w:p>
      <w:pPr>
        <w:pStyle w:val="ManualNumPar1"/>
        <w:rPr>
          <w:noProof/>
        </w:rPr>
      </w:pPr>
      <w:r>
        <w:t>1.</w:t>
      </w:r>
      <w:r>
        <w:tab/>
      </w:r>
      <w:r>
        <w:rPr>
          <w:noProof/>
        </w:rPr>
        <w:t>Elk jaar stelt de uitvoerend directeur in overeenstemming met artikel 11, lid 5, onder c), en rekening houdend met de richtsnoeren van de Commissie, een programmeringsdocument op dat de meerjarige en jaarlijkse programmering bevat overeenkomstig artikel 32 van Gedelegeerde Verordening (EU) nr. 1271/2013 van de Commissie</w:t>
      </w:r>
      <w:r>
        <w:rPr>
          <w:rStyle w:val="FootnoteReference"/>
          <w:noProof/>
          <w:color w:val="000000" w:themeColor="text1"/>
        </w:rPr>
        <w:footnoteReference w:id="8"/>
      </w:r>
      <w:r>
        <w:rPr>
          <w:noProof/>
        </w:rPr>
        <w:t>.</w:t>
      </w:r>
    </w:p>
    <w:p>
      <w:pPr>
        <w:pStyle w:val="ManualNumPar1"/>
        <w:rPr>
          <w:noProof/>
        </w:rPr>
      </w:pPr>
      <w:r>
        <w:t>2.</w:t>
      </w:r>
      <w:r>
        <w:tab/>
      </w:r>
      <w:r>
        <w:rPr>
          <w:noProof/>
        </w:rPr>
        <w:t xml:space="preserve">De raad van bestuur stelt elk jaar uiterlijk op 30 november het in lid 1 bedoelde programmeringsdocument vast en stuurt het uiterlijk op 31 januari toe aan het Europees Parlement, de Raad en de Commissie; dit gebeurt ook met alle daarna bijgewerkte versies van dat document. </w:t>
      </w:r>
    </w:p>
    <w:p>
      <w:pPr>
        <w:pStyle w:val="Text1"/>
        <w:rPr>
          <w:noProof/>
          <w:color w:val="000000" w:themeColor="text1"/>
        </w:rPr>
      </w:pPr>
      <w:r>
        <w:rPr>
          <w:noProof/>
          <w:color w:val="000000" w:themeColor="text1"/>
        </w:rPr>
        <w:t>Het programmeringsdocument wordt definitief na de definitieve vaststelling van de algemene begroting van de Unie en wordt, indien nodig, dienovereenkomstig aangepast.</w:t>
      </w:r>
    </w:p>
    <w:p>
      <w:pPr>
        <w:pStyle w:val="ManualNumPar1"/>
        <w:rPr>
          <w:noProof/>
        </w:rPr>
      </w:pPr>
      <w:r>
        <w:t>3.</w:t>
      </w:r>
      <w:r>
        <w:tab/>
      </w:r>
      <w:r>
        <w:rPr>
          <w:noProof/>
        </w:rPr>
        <w:t xml:space="preserve">Het jaarlijkse werkprogramma bevat gedetailleerde doelstellingen en de beoogde resultaten, met inbegrip van prestatie-indicatoren. Het bevat voorts een beschrijving van de te financieren acties en een indicatie van de financiële en personele middelen die aan iedere actie worden toegewezen overeenkomstig de beginselen betreffende activiteitsgestuurde begroting en beheer. Het jaarlijkse werkprogramma is consistent met het in lid 5 bedoelde meerjarige werkprogramma. Het vermeldt duidelijk de taken die zijn toegevoegd, gewijzigd of geschrapt ten opzichte van het vorige begrotingsjaar. </w:t>
      </w:r>
    </w:p>
    <w:p>
      <w:pPr>
        <w:pStyle w:val="ManualNumPar1"/>
        <w:rPr>
          <w:noProof/>
        </w:rPr>
      </w:pPr>
      <w:r>
        <w:t>4.</w:t>
      </w:r>
      <w:r>
        <w:tab/>
      </w:r>
      <w:r>
        <w:rPr>
          <w:noProof/>
        </w:rPr>
        <w:t>De raad van bestuur past het vastgestelde jaarlijkse werkprogramma aan wanneer het Agentschap een nieuwe taak krijgt toegewezen. De raad van bestuur kan aan de uitvoerend directeur de bevoegdheid delegeren om niet-wezenlijke wijzigingen door te voeren in het jaarlijkse werkprogramma.</w:t>
      </w:r>
    </w:p>
    <w:p>
      <w:pPr>
        <w:pStyle w:val="Text1"/>
        <w:rPr>
          <w:noProof/>
          <w:color w:val="000000" w:themeColor="text1"/>
        </w:rPr>
      </w:pPr>
      <w:r>
        <w:rPr>
          <w:noProof/>
          <w:color w:val="000000" w:themeColor="text1"/>
        </w:rPr>
        <w:t xml:space="preserve">Iedere wezenlijke wijziging van het jaarlijkse werkprogramma wordt vastgesteld door middel van dezelfde procedure als die welke voor het oorspronkelijke jaarlijkse werkprogramma geldt. </w:t>
      </w:r>
    </w:p>
    <w:p>
      <w:pPr>
        <w:pStyle w:val="ManualNumPar1"/>
        <w:rPr>
          <w:noProof/>
        </w:rPr>
      </w:pPr>
      <w:r>
        <w:t>5.</w:t>
      </w:r>
      <w:r>
        <w:tab/>
      </w:r>
      <w:r>
        <w:rPr>
          <w:noProof/>
        </w:rPr>
        <w:t>Het meerjarige werkprogramma omvat een beschrijving van de algemene strategische programmering, met inbegrip van de doelstellingen, beoogde resultaten en prestatie-indicatoren. Het behelst ook de programmering van de middelen, met inbegrip van de meerjarige begroting en de personele middelen. In het programma wordt ook een strategie opgenomen voor de betrekkingen met derde landen en internationale organisaties, met een vermelding van de bijbehorende middelen.</w:t>
      </w:r>
    </w:p>
    <w:p>
      <w:pPr>
        <w:pStyle w:val="Text1"/>
        <w:rPr>
          <w:noProof/>
          <w:color w:val="000000" w:themeColor="text1"/>
        </w:rPr>
      </w:pPr>
      <w:r>
        <w:rPr>
          <w:noProof/>
          <w:color w:val="000000" w:themeColor="text1"/>
        </w:rPr>
        <w:t>Deze programmering van de middelen wordt jaarlijks bijgewerkt. De strategische programmering wordt in voorkomend geval geactualiseerd, met name om rekening te houden met de resultaten van de in artikel 28 bedoelde evaluatie.</w:t>
      </w:r>
    </w:p>
    <w:p>
      <w:pPr>
        <w:pStyle w:val="Titrearticle"/>
        <w:rPr>
          <w:noProof/>
          <w:color w:val="000000" w:themeColor="text1"/>
        </w:rPr>
      </w:pPr>
      <w:r>
        <w:rPr>
          <w:noProof/>
          <w:color w:val="000000" w:themeColor="text1"/>
        </w:rPr>
        <w:t>Artikel 7 — Voorzitter van de raad van bestuur</w:t>
      </w:r>
    </w:p>
    <w:p>
      <w:pPr>
        <w:pStyle w:val="ManualNumPar1"/>
        <w:rPr>
          <w:noProof/>
        </w:rPr>
      </w:pPr>
      <w:r>
        <w:t>1.</w:t>
      </w:r>
      <w:r>
        <w:tab/>
      </w:r>
      <w:r>
        <w:rPr>
          <w:noProof/>
        </w:rPr>
        <w:t>De raad van bestuur kiest als volgt een voorzitter en drie vicevoorzitters: één uit de groep leden die de lidstaten vertegenwoordigt, één uit de groep leden die de werkgeversorganisaties vertegenwoordigt, één uit de groep leden die de werknemersorganisaties vertegenwoordigt en één uit de groep leden die de Commissie vertegenwoordigt. De voorzitter en vicevoorzitters worden door de stemgerechtigde leden van de raad van bestuur gekozen met een tweederdemeerderheid.</w:t>
      </w:r>
    </w:p>
    <w:p>
      <w:pPr>
        <w:pStyle w:val="ManualNumPar1"/>
        <w:rPr>
          <w:noProof/>
        </w:rPr>
      </w:pPr>
      <w:r>
        <w:t>2.</w:t>
      </w:r>
      <w:r>
        <w:tab/>
      </w:r>
      <w:r>
        <w:rPr>
          <w:noProof/>
        </w:rPr>
        <w:t xml:space="preserve">De ambtstermijn van de voorzitter en de vicevoorzitters bedraagt twee jaar. Hun ambtstermijn kan eenmaal worden verlengd. Indien tijdens hun ambtstermijn hun lidmaatschap van de raad van bestuur echter eindigt, loopt hun ambtstermijn op dezelfde datum als die van deze eindiging automatisch af. </w:t>
      </w:r>
    </w:p>
    <w:p>
      <w:pPr>
        <w:pStyle w:val="Titrearticle"/>
        <w:rPr>
          <w:noProof/>
          <w:color w:val="000000" w:themeColor="text1"/>
        </w:rPr>
      </w:pPr>
      <w:r>
        <w:rPr>
          <w:noProof/>
          <w:color w:val="000000" w:themeColor="text1"/>
        </w:rPr>
        <w:t>Artikel 8 — Vergaderingen van de raad van bestuur</w:t>
      </w:r>
    </w:p>
    <w:p>
      <w:pPr>
        <w:pStyle w:val="ManualNumPar1"/>
        <w:rPr>
          <w:noProof/>
        </w:rPr>
      </w:pPr>
      <w:r>
        <w:t>1.</w:t>
      </w:r>
      <w:r>
        <w:tab/>
      </w:r>
      <w:r>
        <w:rPr>
          <w:noProof/>
        </w:rPr>
        <w:t xml:space="preserve">De voorzitter roept de vergaderingen van de raad van bestuur bijeen. </w:t>
      </w:r>
    </w:p>
    <w:p>
      <w:pPr>
        <w:pStyle w:val="ManualNumPar1"/>
        <w:rPr>
          <w:noProof/>
        </w:rPr>
      </w:pPr>
      <w:r>
        <w:t>2.</w:t>
      </w:r>
      <w:r>
        <w:tab/>
      </w:r>
      <w:r>
        <w:rPr>
          <w:noProof/>
        </w:rPr>
        <w:t>De uitvoerend directeur van het Agentschap neemt zonder stemrecht deel aan de beraadslagingen.</w:t>
      </w:r>
    </w:p>
    <w:p>
      <w:pPr>
        <w:pStyle w:val="ManualNumPar1"/>
        <w:rPr>
          <w:noProof/>
        </w:rPr>
      </w:pPr>
      <w:r>
        <w:t>3.</w:t>
      </w:r>
      <w:r>
        <w:tab/>
      </w:r>
      <w:r>
        <w:rPr>
          <w:noProof/>
        </w:rPr>
        <w:t>De raad van bestuur houdt een gewone vergadering per jaar. Daarnaast komt de raad bijeen op initiatief van de voorzitter of op verzoek van de Commissie of van ten minste één derde van zijn leden.</w:t>
      </w:r>
    </w:p>
    <w:p>
      <w:pPr>
        <w:pStyle w:val="ManualNumPar1"/>
        <w:rPr>
          <w:noProof/>
        </w:rPr>
      </w:pPr>
      <w:r>
        <w:t>4.</w:t>
      </w:r>
      <w:r>
        <w:tab/>
      </w:r>
      <w:r>
        <w:rPr>
          <w:noProof/>
        </w:rPr>
        <w:t>De raad van bestuur kan elkeen van wie het advies dienstig kan zijn, uitnodigen om als waarnemer de vergaderingen bij te wonen.</w:t>
      </w:r>
    </w:p>
    <w:p>
      <w:pPr>
        <w:pStyle w:val="ManualNumPar1"/>
        <w:rPr>
          <w:noProof/>
        </w:rPr>
      </w:pPr>
      <w:r>
        <w:t>5.</w:t>
      </w:r>
      <w:r>
        <w:tab/>
      </w:r>
      <w:r>
        <w:rPr>
          <w:noProof/>
        </w:rPr>
        <w:t>Het Agentschap vervult de secretariaatstaken voor de raad van bestuur.</w:t>
      </w:r>
    </w:p>
    <w:p>
      <w:pPr>
        <w:pStyle w:val="Titrearticle"/>
        <w:rPr>
          <w:noProof/>
          <w:color w:val="000000" w:themeColor="text1"/>
        </w:rPr>
      </w:pPr>
      <w:r>
        <w:rPr>
          <w:noProof/>
          <w:color w:val="000000" w:themeColor="text1"/>
        </w:rPr>
        <w:t>Artikel 9 — Stemprocedure in de raad van bestuur</w:t>
      </w:r>
    </w:p>
    <w:p>
      <w:pPr>
        <w:pStyle w:val="ManualNumPar1"/>
        <w:rPr>
          <w:noProof/>
        </w:rPr>
      </w:pPr>
      <w:r>
        <w:t>1.</w:t>
      </w:r>
      <w:r>
        <w:tab/>
      </w:r>
      <w:r>
        <w:rPr>
          <w:noProof/>
        </w:rPr>
        <w:t xml:space="preserve">Onverminderd artikel 5, lid 1, onder a) en b), en artikel 19, lid 7, neemt de raad van bestuur beslissingen met een meerderheid van zijn stemgerechtigde leden. </w:t>
      </w:r>
    </w:p>
    <w:p>
      <w:pPr>
        <w:pStyle w:val="ManualNumPar1"/>
        <w:rPr>
          <w:noProof/>
        </w:rPr>
      </w:pPr>
      <w:r>
        <w:t>2.</w:t>
      </w:r>
      <w:r>
        <w:tab/>
      </w:r>
      <w:r>
        <w:rPr>
          <w:noProof/>
        </w:rPr>
        <w:t>Elk stemgerechtigd lid heeft één stem. Bij afwezigheid van een stemgerechtigd lid mag zijn plaatsvervanger diens stemrecht uitoefenen.</w:t>
      </w:r>
    </w:p>
    <w:p>
      <w:pPr>
        <w:pStyle w:val="ManualNumPar1"/>
        <w:rPr>
          <w:noProof/>
        </w:rPr>
      </w:pPr>
      <w:r>
        <w:t>3.</w:t>
      </w:r>
      <w:r>
        <w:tab/>
      </w:r>
      <w:r>
        <w:rPr>
          <w:noProof/>
        </w:rPr>
        <w:t xml:space="preserve">De voorzitter neemt aan de stemming deel. </w:t>
      </w:r>
    </w:p>
    <w:p>
      <w:pPr>
        <w:pStyle w:val="ManualNumPar1"/>
        <w:rPr>
          <w:noProof/>
        </w:rPr>
      </w:pPr>
      <w:r>
        <w:t>4.</w:t>
      </w:r>
      <w:r>
        <w:tab/>
      </w:r>
      <w:r>
        <w:rPr>
          <w:noProof/>
        </w:rPr>
        <w:t>De uitvoerend directeur neemt aan de beraadslagingen deel, maar heeft geen stemrecht.</w:t>
      </w:r>
    </w:p>
    <w:p>
      <w:pPr>
        <w:pStyle w:val="ManualNumPar1"/>
        <w:rPr>
          <w:noProof/>
        </w:rPr>
      </w:pPr>
      <w:r>
        <w:t>5.</w:t>
      </w:r>
      <w:r>
        <w:tab/>
      </w:r>
      <w:r>
        <w:rPr>
          <w:noProof/>
        </w:rPr>
        <w:t>In het reglement van orde van de raad van bestuur wordt de stemprocedure nader uitgewerkt, met name betreffende de gevallen waarin een lid mag handelen namens een ander lid.</w:t>
      </w:r>
    </w:p>
    <w:p>
      <w:pPr>
        <w:pStyle w:val="SectionTitle"/>
        <w:rPr>
          <w:noProof/>
          <w:color w:val="000000" w:themeColor="text1"/>
        </w:rPr>
      </w:pPr>
      <w:r>
        <w:rPr>
          <w:noProof/>
          <w:color w:val="000000" w:themeColor="text1"/>
        </w:rPr>
        <w:t>Afdeling 2: Uitvoerend comité</w:t>
      </w:r>
    </w:p>
    <w:p>
      <w:pPr>
        <w:pStyle w:val="Titrearticle"/>
        <w:rPr>
          <w:noProof/>
          <w:color w:val="000000" w:themeColor="text1"/>
        </w:rPr>
      </w:pPr>
      <w:r>
        <w:rPr>
          <w:noProof/>
          <w:color w:val="000000" w:themeColor="text1"/>
        </w:rPr>
        <w:t>Artikel 10 — Uitvoerend comité</w:t>
      </w:r>
    </w:p>
    <w:p>
      <w:pPr>
        <w:pStyle w:val="ManualNumPar1"/>
        <w:rPr>
          <w:noProof/>
        </w:rPr>
      </w:pPr>
      <w:r>
        <w:t>1.</w:t>
      </w:r>
      <w:r>
        <w:tab/>
      </w:r>
      <w:r>
        <w:rPr>
          <w:noProof/>
        </w:rPr>
        <w:t xml:space="preserve">De raad van bestuur wordt bijgestaan door een uitvoerend comité. </w:t>
      </w:r>
    </w:p>
    <w:p>
      <w:pPr>
        <w:pStyle w:val="ManualNumPar1"/>
        <w:rPr>
          <w:noProof/>
        </w:rPr>
      </w:pPr>
      <w:r>
        <w:t>2.</w:t>
      </w:r>
      <w:r>
        <w:tab/>
      </w:r>
      <w:r>
        <w:rPr>
          <w:noProof/>
        </w:rPr>
        <w:t>Het uitvoerend comité:</w:t>
      </w:r>
    </w:p>
    <w:p>
      <w:pPr>
        <w:pStyle w:val="Point1"/>
        <w:rPr>
          <w:noProof/>
        </w:rPr>
      </w:pPr>
      <w:r>
        <w:rPr>
          <w:noProof/>
        </w:rPr>
        <w:t>a)</w:t>
      </w:r>
      <w:r>
        <w:rPr>
          <w:noProof/>
        </w:rPr>
        <w:tab/>
        <w:t>stelt de besluiten op die ter goedkeuring aan de raad van bestuur worden voorgelegd;</w:t>
      </w:r>
    </w:p>
    <w:p>
      <w:pPr>
        <w:pStyle w:val="Point1"/>
        <w:rPr>
          <w:noProof/>
        </w:rPr>
      </w:pPr>
      <w:r>
        <w:rPr>
          <w:noProof/>
        </w:rPr>
        <w:t>b)</w:t>
      </w:r>
      <w:r>
        <w:rPr>
          <w:noProof/>
        </w:rPr>
        <w:tab/>
        <w:t>zorgt samen met de raad van bestuur voor een passende follow-up van de bevindingen en aanbevelingen die voortvloeien uit de interne en externe auditverslagen en evaluaties alsmede uit de onderzoeken van het Europees Bureau voor fraudebestrijding (OLAF);</w:t>
      </w:r>
    </w:p>
    <w:p>
      <w:pPr>
        <w:pStyle w:val="Point1"/>
        <w:rPr>
          <w:noProof/>
        </w:rPr>
      </w:pPr>
      <w:r>
        <w:rPr>
          <w:noProof/>
        </w:rPr>
        <w:t>c)</w:t>
      </w:r>
      <w:r>
        <w:rPr>
          <w:noProof/>
        </w:rPr>
        <w:tab/>
        <w:t>onverminderd de verantwoordelijkheden van de uitvoerend directeur als omschreven in artikel 11 ondersteunt en adviseert het uitvoerend comité hem bij de uitvoering van de beslissingen van de raad van bestuur om het toezicht op het administratief en begrotingsbeheer te versterken.</w:t>
      </w:r>
    </w:p>
    <w:p>
      <w:pPr>
        <w:pStyle w:val="ManualNumPar1"/>
        <w:rPr>
          <w:noProof/>
        </w:rPr>
      </w:pPr>
      <w:r>
        <w:t>3.</w:t>
      </w:r>
      <w:r>
        <w:tab/>
      </w:r>
      <w:r>
        <w:rPr>
          <w:noProof/>
        </w:rPr>
        <w:t>Indien dat in dringende gevallen noodzakelijk is, kan het uitvoerend comité namens de raad van bestuur bepaalde voorlopige beslissingen nemen, met name op het gebied van administratief beheer, met inbegrip van de opschorting van de delegatie van de bevoegdheden van het tot aanstelling bevoegde gezag en begrotingskwesties.</w:t>
      </w:r>
    </w:p>
    <w:p>
      <w:pPr>
        <w:pStyle w:val="ManualNumPar1"/>
        <w:rPr>
          <w:noProof/>
        </w:rPr>
      </w:pPr>
      <w:r>
        <w:t>4.</w:t>
      </w:r>
      <w:r>
        <w:tab/>
      </w:r>
      <w:r>
        <w:rPr>
          <w:noProof/>
        </w:rPr>
        <w:t>Het uitvoerend comité bestaat uit de voorzitter van de raad van bestuur, de drie vicevoorzitters, de coördinatoren van de drie in artikel 4, lid 5, vermelde groepen en een vertegenwoordiger van de Commissie. Elke in artikel 4, lid 5, vermelde groep mag ten hoogste twee plaatsvervangers aanwijzen om de vergaderingen van het uitvoerend comité bij te wonen indien de gewone leden afwezig zijn. De voorzitter van de raad van bestuur is ook de voorzitter van het uitvoerend comité. De uitvoerend directeur neemt deel aan de vergaderingen van het uitvoerend comité, maar heeft geen stemrecht.</w:t>
      </w:r>
    </w:p>
    <w:p>
      <w:pPr>
        <w:pStyle w:val="ManualNumPar1"/>
        <w:rPr>
          <w:noProof/>
        </w:rPr>
      </w:pPr>
      <w:r>
        <w:t>5.</w:t>
      </w:r>
      <w:r>
        <w:tab/>
      </w:r>
      <w:r>
        <w:rPr>
          <w:noProof/>
        </w:rPr>
        <w:t>De ambtstermijn van de leden van het uitvoerend comité bedraagt twee jaar. Deze termijn kan worden verlengd. De ambtstermijn van de leden van het uitvoerend comité eindigt wanneer hun lidmaatschap van de raad van bestuur eindigt.</w:t>
      </w:r>
    </w:p>
    <w:p>
      <w:pPr>
        <w:pStyle w:val="ManualNumPar1"/>
        <w:rPr>
          <w:noProof/>
        </w:rPr>
      </w:pPr>
      <w:r>
        <w:t>6.</w:t>
      </w:r>
      <w:r>
        <w:tab/>
      </w:r>
      <w:r>
        <w:rPr>
          <w:noProof/>
        </w:rPr>
        <w:t>Het uitvoerend comité komt driemaal per jaar bijeen. De voorzitter kan extra vergaderingen bijeenroepen op verzoek van de leden.</w:t>
      </w:r>
    </w:p>
    <w:p>
      <w:pPr>
        <w:pStyle w:val="ManualNumPar1"/>
        <w:rPr>
          <w:noProof/>
        </w:rPr>
      </w:pPr>
      <w:r>
        <w:t>7.</w:t>
      </w:r>
      <w:r>
        <w:tab/>
      </w:r>
      <w:r>
        <w:rPr>
          <w:noProof/>
        </w:rPr>
        <w:t>De raad van bestuur stelt het reglement van orde van het uitvoerend comité vast.</w:t>
      </w:r>
    </w:p>
    <w:p>
      <w:pPr>
        <w:pStyle w:val="SectionTitle"/>
        <w:rPr>
          <w:noProof/>
          <w:color w:val="000000" w:themeColor="text1"/>
        </w:rPr>
      </w:pPr>
      <w:r>
        <w:rPr>
          <w:noProof/>
          <w:color w:val="000000" w:themeColor="text1"/>
        </w:rPr>
        <w:t>Afdeling 3: Uitvoerend directeur</w:t>
      </w:r>
    </w:p>
    <w:p>
      <w:pPr>
        <w:pStyle w:val="Titrearticle"/>
        <w:rPr>
          <w:noProof/>
          <w:color w:val="000000" w:themeColor="text1"/>
        </w:rPr>
      </w:pPr>
      <w:r>
        <w:rPr>
          <w:noProof/>
          <w:color w:val="000000" w:themeColor="text1"/>
        </w:rPr>
        <w:t>Artikel 11 — Verantwoordelijkheden van de uitvoerend directeur</w:t>
      </w:r>
    </w:p>
    <w:p>
      <w:pPr>
        <w:pStyle w:val="ManualNumPar1"/>
        <w:rPr>
          <w:noProof/>
        </w:rPr>
      </w:pPr>
      <w:r>
        <w:t>1.</w:t>
      </w:r>
      <w:r>
        <w:tab/>
      </w:r>
      <w:r>
        <w:rPr>
          <w:noProof/>
        </w:rPr>
        <w:t>De uitvoerend directeur beheert het Agentschap. De uitvoerend directeur legt verantwoording af aan de raad van bestuur.</w:t>
      </w:r>
    </w:p>
    <w:p>
      <w:pPr>
        <w:pStyle w:val="ManualNumPar1"/>
        <w:rPr>
          <w:noProof/>
        </w:rPr>
      </w:pPr>
      <w:r>
        <w:t>2.</w:t>
      </w:r>
      <w:r>
        <w:tab/>
      </w:r>
      <w:r>
        <w:rPr>
          <w:noProof/>
        </w:rPr>
        <w:t>Onverminderd de bevoegdheden van de Commissie, de raad van bestuur en het uitvoerend comité is de uitvoerend directeur onafhankelijk bij de uitvoering van zijn taken en vraagt of aanvaardt hij geen instructies van een regering of andere instantie.</w:t>
      </w:r>
    </w:p>
    <w:p>
      <w:pPr>
        <w:pStyle w:val="ManualNumPar1"/>
        <w:rPr>
          <w:noProof/>
        </w:rPr>
      </w:pPr>
      <w:r>
        <w:t>3.</w:t>
      </w:r>
      <w:r>
        <w:tab/>
      </w:r>
      <w:r>
        <w:rPr>
          <w:noProof/>
        </w:rPr>
        <w:t xml:space="preserve">De uitvoerend directeur brengt desgevraagd verslag uit aan het Europees Parlement over de uitvoering van zijn taken. De Raad kan de uitvoerend directeur uitnodigen verslag uit te brengen over de uitvoering van zijn taken. </w:t>
      </w:r>
    </w:p>
    <w:p>
      <w:pPr>
        <w:pStyle w:val="ManualNumPar1"/>
        <w:rPr>
          <w:noProof/>
        </w:rPr>
      </w:pPr>
      <w:r>
        <w:t>4.</w:t>
      </w:r>
      <w:r>
        <w:tab/>
      </w:r>
      <w:r>
        <w:rPr>
          <w:noProof/>
        </w:rPr>
        <w:t>De uitvoerend directeur treedt op als wettelijke vertegenwoordiger van het Agentschap.</w:t>
      </w:r>
    </w:p>
    <w:p>
      <w:pPr>
        <w:pStyle w:val="ManualNumPar1"/>
        <w:rPr>
          <w:noProof/>
        </w:rPr>
      </w:pPr>
      <w:r>
        <w:t>5.</w:t>
      </w:r>
      <w:r>
        <w:tab/>
      </w:r>
      <w:r>
        <w:rPr>
          <w:noProof/>
        </w:rPr>
        <w:t>De uitvoerend directeur is verantwoordelijk voor de uitvoering van de taken die bij deze verordening aan het Agentschap zijn toegekend. De uitvoerend directeur is in het bijzonder belast met:</w:t>
      </w:r>
    </w:p>
    <w:p>
      <w:pPr>
        <w:pStyle w:val="Point1"/>
        <w:rPr>
          <w:noProof/>
        </w:rPr>
      </w:pPr>
      <w:r>
        <w:rPr>
          <w:noProof/>
        </w:rPr>
        <w:t>a)</w:t>
      </w:r>
      <w:r>
        <w:rPr>
          <w:noProof/>
        </w:rPr>
        <w:tab/>
        <w:t>de dagelijkse leiding van het Agentschap;</w:t>
      </w:r>
    </w:p>
    <w:p>
      <w:pPr>
        <w:pStyle w:val="Point1"/>
        <w:rPr>
          <w:noProof/>
        </w:rPr>
      </w:pPr>
      <w:r>
        <w:rPr>
          <w:noProof/>
        </w:rPr>
        <w:t>b)</w:t>
      </w:r>
      <w:r>
        <w:rPr>
          <w:noProof/>
        </w:rPr>
        <w:tab/>
        <w:t>de uitvoering van de beslissingen van de raad van bestuur;</w:t>
      </w:r>
    </w:p>
    <w:p>
      <w:pPr>
        <w:pStyle w:val="Point1"/>
        <w:rPr>
          <w:noProof/>
        </w:rPr>
      </w:pPr>
      <w:r>
        <w:rPr>
          <w:noProof/>
        </w:rPr>
        <w:t>c)</w:t>
      </w:r>
      <w:r>
        <w:rPr>
          <w:noProof/>
        </w:rPr>
        <w:tab/>
        <w:t>het opstellen van het programmeringsdocument en het indienen ervan bij de raad van bestuur na raadpleging van de Commissie;</w:t>
      </w:r>
    </w:p>
    <w:p>
      <w:pPr>
        <w:pStyle w:val="Point1"/>
        <w:rPr>
          <w:noProof/>
        </w:rPr>
      </w:pPr>
      <w:r>
        <w:rPr>
          <w:noProof/>
        </w:rPr>
        <w:t>d)</w:t>
      </w:r>
      <w:r>
        <w:rPr>
          <w:noProof/>
        </w:rPr>
        <w:tab/>
        <w:t xml:space="preserve">het uitvoeren van het programmeringsdocument en het uitbrengen van verslag over de uitvoering ervan aan de raad van bestuur; </w:t>
      </w:r>
    </w:p>
    <w:p>
      <w:pPr>
        <w:pStyle w:val="Point1"/>
        <w:rPr>
          <w:noProof/>
        </w:rPr>
      </w:pPr>
      <w:r>
        <w:rPr>
          <w:noProof/>
        </w:rPr>
        <w:t>e)</w:t>
      </w:r>
      <w:r>
        <w:rPr>
          <w:noProof/>
        </w:rPr>
        <w:tab/>
        <w:t>het voorbereiden van het geconsolideerd jaarverslag over de activiteiten van het Agentschap en het ter goedkeuring indienen ervan bij de raad van bestuur;</w:t>
      </w:r>
    </w:p>
    <w:p>
      <w:pPr>
        <w:pStyle w:val="Point1"/>
        <w:rPr>
          <w:noProof/>
        </w:rPr>
      </w:pPr>
      <w:r>
        <w:rPr>
          <w:noProof/>
        </w:rPr>
        <w:t>f)</w:t>
      </w:r>
      <w:r>
        <w:rPr>
          <w:noProof/>
        </w:rPr>
        <w:tab/>
        <w:t>het opstellen van een actieplan voor de follow-up van de conclusies van interne of externe auditverslagen en evaluaties, alsook van onderzoeken van het Europees Bureau voor fraudebestrijding (OLAF), en het uitbrengen van verslag over de geboekte vooruitgang, twee keer per jaar aan de Commissie en op regelmatige tijdstippen aan de raad van bestuur en het uitvoerend comité;</w:t>
      </w:r>
    </w:p>
    <w:p>
      <w:pPr>
        <w:pStyle w:val="Point1"/>
        <w:rPr>
          <w:noProof/>
        </w:rPr>
      </w:pPr>
      <w:r>
        <w:rPr>
          <w:noProof/>
        </w:rPr>
        <w:t>g)</w:t>
      </w:r>
      <w:r>
        <w:rPr>
          <w:noProof/>
        </w:rPr>
        <w:tab/>
        <w:t>de bescherming van de financiële belangen van de Unie door toepassing van maatregelen ter voorkoming van fraude, corruptie en andere onwettige activiteiten, door middel van effectieve controles en, indien onregelmatigheden worden vastgesteld, door terugvordering van ten onrechte betaalde bedragen; waar nodig legt hij ook doeltreffende, evenredige en afschrikkende administratieve en financiële sancties op;</w:t>
      </w:r>
    </w:p>
    <w:p>
      <w:pPr>
        <w:pStyle w:val="Point1"/>
        <w:rPr>
          <w:noProof/>
        </w:rPr>
      </w:pPr>
      <w:r>
        <w:rPr>
          <w:noProof/>
        </w:rPr>
        <w:t>h)</w:t>
      </w:r>
      <w:r>
        <w:rPr>
          <w:noProof/>
        </w:rPr>
        <w:tab/>
        <w:t>het opstellen van een fraudebestrijdingsstrategie voor het Agentschap en het ter goedkeuring voorleggen ervan aan de raad van bestuur;</w:t>
      </w:r>
    </w:p>
    <w:p>
      <w:pPr>
        <w:pStyle w:val="Point1"/>
        <w:rPr>
          <w:noProof/>
        </w:rPr>
      </w:pPr>
      <w:r>
        <w:rPr>
          <w:noProof/>
        </w:rPr>
        <w:t>i)</w:t>
      </w:r>
      <w:r>
        <w:rPr>
          <w:noProof/>
        </w:rPr>
        <w:tab/>
        <w:t>het opstellen van een ontwerp van financiële regeling die van toepassing is op het Agentschap;</w:t>
      </w:r>
    </w:p>
    <w:p>
      <w:pPr>
        <w:pStyle w:val="Point1"/>
        <w:rPr>
          <w:noProof/>
        </w:rPr>
      </w:pPr>
      <w:r>
        <w:rPr>
          <w:noProof/>
        </w:rPr>
        <w:t>j)</w:t>
      </w:r>
      <w:r>
        <w:rPr>
          <w:noProof/>
        </w:rPr>
        <w:tab/>
        <w:t>het opstellen van de ontwerpraming van ontvangsten en uitgaven van het Agentschap en het uitvoeren van de begroting van het Agentschap.</w:t>
      </w:r>
    </w:p>
    <w:p>
      <w:pPr>
        <w:pStyle w:val="ManualNumPar1"/>
        <w:rPr>
          <w:noProof/>
        </w:rPr>
      </w:pPr>
      <w:r>
        <w:t>6.</w:t>
      </w:r>
      <w:r>
        <w:tab/>
      </w:r>
      <w:r>
        <w:rPr>
          <w:noProof/>
        </w:rPr>
        <w:t>Het is ook de verantwoordelijkheid van de uitvoerend directeur te beslissen of het voor de efficiënte en effectieve uitvoering van de taken van het Agentschap noodzakelijk is een of meer lokale kantoren op te richten in een of meer lidstaten. Dergelijke beslissingen moeten vooraf worden goedgekeurd door de Commissie, de raad van bestuur en de lidstaat waar het lokale kantoor wordt opgericht. In die beslissingen wordt het toepassingsgebied gespecificeerd van de activiteiten die in dat lokale kantoor moeten worden uitgevoerd, op zodanige wijze dat onnodige kosten en verdubbeling van administratieve functies van het Agentschap worden vermeden.</w:t>
      </w:r>
    </w:p>
    <w:p>
      <w:pPr>
        <w:pStyle w:val="SectionTitle"/>
        <w:rPr>
          <w:noProof/>
          <w:color w:val="000000" w:themeColor="text1"/>
        </w:rPr>
      </w:pPr>
      <w:r>
        <w:rPr>
          <w:noProof/>
          <w:color w:val="000000" w:themeColor="text1"/>
        </w:rPr>
        <w:t>Afdeling 4: Raadgevende comités</w:t>
      </w:r>
    </w:p>
    <w:p>
      <w:pPr>
        <w:pStyle w:val="Titrearticle"/>
        <w:rPr>
          <w:noProof/>
          <w:color w:val="000000" w:themeColor="text1"/>
        </w:rPr>
      </w:pPr>
      <w:r>
        <w:rPr>
          <w:noProof/>
          <w:color w:val="000000" w:themeColor="text1"/>
        </w:rPr>
        <w:t>Artikel 12 — Raadgevende comités</w:t>
      </w:r>
    </w:p>
    <w:p>
      <w:pPr>
        <w:pStyle w:val="ManualNumPar1"/>
        <w:rPr>
          <w:noProof/>
        </w:rPr>
      </w:pPr>
      <w:r>
        <w:t>1.</w:t>
      </w:r>
      <w:r>
        <w:tab/>
      </w:r>
      <w:r>
        <w:rPr>
          <w:noProof/>
        </w:rPr>
        <w:t xml:space="preserve">Raadgevende comités worden opgericht door de raad van bestuur in overeenstemming met de beleidsprioriteiten van de programmeringsdocumenten van het Agentschap. </w:t>
      </w:r>
    </w:p>
    <w:p>
      <w:pPr>
        <w:pStyle w:val="ManualNumPar1"/>
        <w:rPr>
          <w:noProof/>
        </w:rPr>
      </w:pPr>
      <w:r>
        <w:t>2.</w:t>
      </w:r>
      <w:r>
        <w:tab/>
      </w:r>
      <w:r>
        <w:rPr>
          <w:noProof/>
        </w:rPr>
        <w:t>Raadgevende comités zijn operationele organen die de kwaliteit van het onderzoek door het Agentschap waarborgen. Door deel te nemen aan de uitvoering van de programma's van het Agentschap en door advies en nieuwe inbreng te leveren, waarborgen zij eveneens een brede verantwoordelijkheid voor de projecten en de resultaten.</w:t>
      </w:r>
    </w:p>
    <w:p>
      <w:pPr>
        <w:pStyle w:val="ManualNumPar1"/>
        <w:rPr>
          <w:noProof/>
        </w:rPr>
      </w:pPr>
      <w:r>
        <w:t>3.</w:t>
      </w:r>
      <w:r>
        <w:tab/>
      </w:r>
      <w:r>
        <w:rPr>
          <w:noProof/>
        </w:rPr>
        <w:t>In samenwerking met de raad van bestuur en het uitvoerend comité oefenen raadgevende comités de volgende belangrijke functies in verband met de onderzoeksprojecten uit:</w:t>
      </w:r>
    </w:p>
    <w:p>
      <w:pPr>
        <w:pStyle w:val="Point1"/>
        <w:rPr>
          <w:noProof/>
        </w:rPr>
      </w:pPr>
      <w:r>
        <w:rPr>
          <w:noProof/>
        </w:rPr>
        <w:t>a)</w:t>
      </w:r>
      <w:r>
        <w:rPr>
          <w:noProof/>
        </w:rPr>
        <w:tab/>
        <w:t>advies geven over het ontwerp en de uitvoering;</w:t>
      </w:r>
    </w:p>
    <w:p>
      <w:pPr>
        <w:pStyle w:val="Point1"/>
        <w:rPr>
          <w:noProof/>
        </w:rPr>
      </w:pPr>
      <w:r>
        <w:rPr>
          <w:noProof/>
        </w:rPr>
        <w:t>b)</w:t>
      </w:r>
      <w:r>
        <w:rPr>
          <w:noProof/>
        </w:rPr>
        <w:tab/>
        <w:t>toezicht houden op de voortgang van de uitvoering;</w:t>
      </w:r>
    </w:p>
    <w:p>
      <w:pPr>
        <w:pStyle w:val="Point1"/>
        <w:rPr>
          <w:noProof/>
        </w:rPr>
      </w:pPr>
      <w:r>
        <w:rPr>
          <w:noProof/>
        </w:rPr>
        <w:t>c)</w:t>
      </w:r>
      <w:r>
        <w:rPr>
          <w:noProof/>
        </w:rPr>
        <w:tab/>
        <w:t>bevindingen evalueren;</w:t>
      </w:r>
    </w:p>
    <w:p>
      <w:pPr>
        <w:pStyle w:val="Point1"/>
        <w:rPr>
          <w:noProof/>
        </w:rPr>
      </w:pPr>
      <w:r>
        <w:rPr>
          <w:noProof/>
        </w:rPr>
        <w:t>d)</w:t>
      </w:r>
      <w:r>
        <w:rPr>
          <w:noProof/>
        </w:rPr>
        <w:tab/>
        <w:t>advies geven over de verspreiding van de resultaten.</w:t>
      </w:r>
    </w:p>
    <w:p>
      <w:pPr>
        <w:pStyle w:val="ManualNumPar1"/>
        <w:rPr>
          <w:noProof/>
        </w:rPr>
      </w:pPr>
      <w:r>
        <w:t>4.</w:t>
      </w:r>
      <w:r>
        <w:tab/>
      </w:r>
      <w:r>
        <w:rPr>
          <w:noProof/>
        </w:rPr>
        <w:t>Het reglement van orde van de raadgevende comités wordt aangenomen door de raad van bestuur. De coördinatoren van de in artikel 4, lid 5, vermelde groepen zien toe op de benoeming en de deelname van de leden van de raadgevende comités in overeenstemming met bovengenoemd reglement van orde.</w:t>
      </w:r>
    </w:p>
    <w:p>
      <w:pPr>
        <w:pStyle w:val="ManualNumPar1"/>
        <w:rPr>
          <w:noProof/>
        </w:rPr>
      </w:pPr>
      <w:r>
        <w:t>5.</w:t>
      </w:r>
      <w:r>
        <w:tab/>
      </w:r>
      <w:r>
        <w:rPr>
          <w:noProof/>
        </w:rPr>
        <w:t>De raad van bestuur beslist over de ontbinding van raadgevende comités in overeenstemming met de in de programmeringsdocumenten van het Agentschap vastgestelde prioriteiten.</w:t>
      </w:r>
    </w:p>
    <w:p>
      <w:pPr>
        <w:pStyle w:val="ChapterTitle"/>
        <w:rPr>
          <w:noProof/>
          <w:color w:val="000000" w:themeColor="text1"/>
        </w:rPr>
      </w:pPr>
      <w:r>
        <w:rPr>
          <w:noProof/>
          <w:color w:val="000000" w:themeColor="text1"/>
        </w:rPr>
        <w:t xml:space="preserve">Hoofdstuk III </w:t>
      </w:r>
      <w:r>
        <w:rPr>
          <w:noProof/>
          <w:color w:val="000000" w:themeColor="text1"/>
        </w:rPr>
        <w:br/>
        <w:t>Financiële bepalingen</w:t>
      </w:r>
    </w:p>
    <w:p>
      <w:pPr>
        <w:pStyle w:val="Titrearticle"/>
        <w:rPr>
          <w:noProof/>
          <w:color w:val="000000" w:themeColor="text1"/>
        </w:rPr>
      </w:pPr>
      <w:r>
        <w:rPr>
          <w:noProof/>
          <w:color w:val="000000" w:themeColor="text1"/>
        </w:rPr>
        <w:t>Artikel 13 — Begroting</w:t>
      </w:r>
    </w:p>
    <w:p>
      <w:pPr>
        <w:pStyle w:val="ManualNumPar1"/>
        <w:rPr>
          <w:noProof/>
        </w:rPr>
      </w:pPr>
      <w:r>
        <w:t>1.</w:t>
      </w:r>
      <w:r>
        <w:tab/>
      </w:r>
      <w:r>
        <w:rPr>
          <w:noProof/>
        </w:rPr>
        <w:t>Voor elk begrotingsjaar, dat samenvalt met het kalenderjaar, worden alle ontvangsten en uitgaven van het Agentschap geraamd en vervolgens in de begroting van het Agentschap opgenomen.</w:t>
      </w:r>
    </w:p>
    <w:p>
      <w:pPr>
        <w:pStyle w:val="ManualNumPar1"/>
        <w:rPr>
          <w:noProof/>
        </w:rPr>
      </w:pPr>
      <w:r>
        <w:t>2.</w:t>
      </w:r>
      <w:r>
        <w:tab/>
      </w:r>
      <w:r>
        <w:rPr>
          <w:noProof/>
        </w:rPr>
        <w:t>De ontvangsten en uitgaven van het Agentschap moeten in evenwicht zijn.</w:t>
      </w:r>
    </w:p>
    <w:p>
      <w:pPr>
        <w:pStyle w:val="ManualNumPar1"/>
        <w:rPr>
          <w:noProof/>
        </w:rPr>
      </w:pPr>
      <w:r>
        <w:t>3.</w:t>
      </w:r>
      <w:r>
        <w:tab/>
      </w:r>
      <w:r>
        <w:rPr>
          <w:noProof/>
        </w:rPr>
        <w:t>Onverminderd andere middelen bestaan de ontvangsten van het Agentschap uit:</w:t>
      </w:r>
    </w:p>
    <w:p>
      <w:pPr>
        <w:pStyle w:val="Point1"/>
        <w:rPr>
          <w:noProof/>
        </w:rPr>
      </w:pPr>
      <w:r>
        <w:rPr>
          <w:noProof/>
        </w:rPr>
        <w:t>a)</w:t>
      </w:r>
      <w:r>
        <w:rPr>
          <w:noProof/>
        </w:rPr>
        <w:tab/>
        <w:t>een in de algemene begroting van de Europese Unie opgenomen bijdrage van de Unie;</w:t>
      </w:r>
    </w:p>
    <w:p>
      <w:pPr>
        <w:pStyle w:val="Point1"/>
        <w:rPr>
          <w:noProof/>
        </w:rPr>
      </w:pPr>
      <w:r>
        <w:rPr>
          <w:noProof/>
        </w:rPr>
        <w:t>b)</w:t>
      </w:r>
      <w:r>
        <w:rPr>
          <w:noProof/>
        </w:rPr>
        <w:tab/>
        <w:t>eventuele vrijwillige financiële bijdragen van de lidstaten;</w:t>
      </w:r>
    </w:p>
    <w:p>
      <w:pPr>
        <w:pStyle w:val="Point1"/>
        <w:rPr>
          <w:noProof/>
        </w:rPr>
      </w:pPr>
      <w:r>
        <w:rPr>
          <w:noProof/>
        </w:rPr>
        <w:t>c)</w:t>
      </w:r>
      <w:r>
        <w:rPr>
          <w:noProof/>
        </w:rPr>
        <w:tab/>
        <w:t>vergoedingen voor publicaties en andere door het Agentschap verrichte diensten;</w:t>
      </w:r>
    </w:p>
    <w:p>
      <w:pPr>
        <w:pStyle w:val="Point1"/>
        <w:rPr>
          <w:noProof/>
        </w:rPr>
      </w:pPr>
      <w:r>
        <w:rPr>
          <w:noProof/>
        </w:rPr>
        <w:t>d)</w:t>
      </w:r>
      <w:r>
        <w:rPr>
          <w:noProof/>
        </w:rPr>
        <w:tab/>
        <w:t>eventuele bijdragen van derde landen die aan de werkzaamheden van het Agentschap deelnemen op grond van artikel 30.</w:t>
      </w:r>
    </w:p>
    <w:p>
      <w:pPr>
        <w:pStyle w:val="ManualNumPar1"/>
        <w:rPr>
          <w:noProof/>
        </w:rPr>
      </w:pPr>
      <w:r>
        <w:t>4.</w:t>
      </w:r>
      <w:r>
        <w:tab/>
      </w:r>
      <w:r>
        <w:rPr>
          <w:noProof/>
        </w:rPr>
        <w:t>De uitgaven van het Agentschap omvatten de bezoldiging van het personeel, uitgaven voor administratie en infrastructuur en werkingskosten.</w:t>
      </w:r>
    </w:p>
    <w:p>
      <w:pPr>
        <w:pStyle w:val="Titrearticle"/>
        <w:rPr>
          <w:noProof/>
          <w:color w:val="000000" w:themeColor="text1"/>
        </w:rPr>
      </w:pPr>
      <w:r>
        <w:rPr>
          <w:noProof/>
          <w:color w:val="000000" w:themeColor="text1"/>
        </w:rPr>
        <w:t>Artikel 14 — Vaststelling van de begroting</w:t>
      </w:r>
    </w:p>
    <w:p>
      <w:pPr>
        <w:pStyle w:val="ManualNumPar1"/>
        <w:rPr>
          <w:noProof/>
        </w:rPr>
      </w:pPr>
      <w:r>
        <w:t>1.</w:t>
      </w:r>
      <w:r>
        <w:tab/>
      </w:r>
      <w:r>
        <w:rPr>
          <w:noProof/>
        </w:rPr>
        <w:t>Elk jaar stelt de uitvoerend directeur een voorlopige ontwerpraming op van de ontvangsten en uitgaven van het Agentschap voor het volgende begrotingsjaar, waarin de personeelsformatie is opgenomen, en zendt hij deze naar de raad van bestuur.</w:t>
      </w:r>
    </w:p>
    <w:p>
      <w:pPr>
        <w:pStyle w:val="ManualNumPar1"/>
        <w:rPr>
          <w:noProof/>
        </w:rPr>
      </w:pPr>
      <w:r>
        <w:t>2.</w:t>
      </w:r>
      <w:r>
        <w:tab/>
      </w:r>
      <w:r>
        <w:rPr>
          <w:noProof/>
        </w:rPr>
        <w:t>Op basis van dit voorlopig ontwerp stelt de raad van bestuur een ontwerpraming vast van de ontvangsten en uitgaven van het Agentschap voor het volgende begrotingsjaar.</w:t>
      </w:r>
    </w:p>
    <w:p>
      <w:pPr>
        <w:pStyle w:val="ManualNumPar1"/>
        <w:rPr>
          <w:noProof/>
        </w:rPr>
      </w:pPr>
      <w:r>
        <w:t>3.</w:t>
      </w:r>
      <w:r>
        <w:tab/>
      </w:r>
      <w:r>
        <w:rPr>
          <w:noProof/>
        </w:rPr>
        <w:t xml:space="preserve">De ontwerpraming van de ontvangsten en uitgaven van het Agentschap wordt elk jaar uiterlijk op 31 januari aan de Commissie toegezonden. </w:t>
      </w:r>
    </w:p>
    <w:p>
      <w:pPr>
        <w:pStyle w:val="ManualNumPar1"/>
        <w:rPr>
          <w:noProof/>
        </w:rPr>
      </w:pPr>
      <w:r>
        <w:t>4.</w:t>
      </w:r>
      <w:r>
        <w:tab/>
      </w:r>
      <w:r>
        <w:rPr>
          <w:noProof/>
        </w:rPr>
        <w:t>De Commissie zendt de ontwerpraming, samen met het ontwerp van algemene begroting van de Unie, toe aan de begrotingsautoriteit.</w:t>
      </w:r>
    </w:p>
    <w:p>
      <w:pPr>
        <w:pStyle w:val="ManualNumPar1"/>
        <w:rPr>
          <w:noProof/>
        </w:rPr>
      </w:pPr>
      <w:r>
        <w:t>5.</w:t>
      </w:r>
      <w:r>
        <w:tab/>
      </w:r>
      <w:r>
        <w:rPr>
          <w:noProof/>
        </w:rPr>
        <w:t>Op basis van de ontwerpraming neemt de Commissie de geraamde bedragen die zij nodig acht voor de personeelsformatie en de bijdrage ten laste van de algemene begroting, op in het ontwerp van algemene begroting van de Unie, dat zij overeenkomstig de artikelen 313 en 314 van het Verdrag voorlegt aan de begrotingsautoriteit.</w:t>
      </w:r>
    </w:p>
    <w:p>
      <w:pPr>
        <w:pStyle w:val="ManualNumPar1"/>
        <w:rPr>
          <w:noProof/>
        </w:rPr>
      </w:pPr>
      <w:r>
        <w:t>6.</w:t>
      </w:r>
      <w:r>
        <w:tab/>
      </w:r>
      <w:r>
        <w:rPr>
          <w:noProof/>
        </w:rPr>
        <w:t>De begrotingsautoriteit keurt de kredieten goed voor de bijdrage aan het Agentschap.</w:t>
      </w:r>
    </w:p>
    <w:p>
      <w:pPr>
        <w:pStyle w:val="ManualNumPar1"/>
        <w:rPr>
          <w:noProof/>
        </w:rPr>
      </w:pPr>
      <w:r>
        <w:t>7.</w:t>
      </w:r>
      <w:r>
        <w:tab/>
      </w:r>
      <w:r>
        <w:rPr>
          <w:noProof/>
        </w:rPr>
        <w:t>Zij stelt de personeelsformatie voor het Agentschap vast.</w:t>
      </w:r>
    </w:p>
    <w:p>
      <w:pPr>
        <w:pStyle w:val="ManualNumPar1"/>
        <w:rPr>
          <w:noProof/>
        </w:rPr>
      </w:pPr>
      <w:r>
        <w:t>8.</w:t>
      </w:r>
      <w:r>
        <w:tab/>
      </w:r>
      <w:r>
        <w:rPr>
          <w:noProof/>
        </w:rPr>
        <w:t>De begroting van het Agentschap wordt door de raad van bestuur vastgesteld. De begroting wordt definitief na de definitieve vaststelling van de algemene begroting van de Unie. Indien nodig wordt de begroting dienovereenkomstig aangepast.</w:t>
      </w:r>
    </w:p>
    <w:p>
      <w:pPr>
        <w:pStyle w:val="ManualNumPar1"/>
        <w:rPr>
          <w:noProof/>
        </w:rPr>
      </w:pPr>
      <w:r>
        <w:t>9.</w:t>
      </w:r>
      <w:r>
        <w:tab/>
      </w:r>
      <w:r>
        <w:rPr>
          <w:noProof/>
        </w:rPr>
        <w:t>Op bouwprojecten die significante gevolgen kunnen hebben voor de begroting van het Agentschap, zijn de bepalingen van Gedelegeerde Verordening (EU) nr. 1271/2013 van de Commissie van toepassing.</w:t>
      </w:r>
    </w:p>
    <w:p>
      <w:pPr>
        <w:pStyle w:val="Titrearticle"/>
        <w:rPr>
          <w:noProof/>
          <w:color w:val="000000" w:themeColor="text1"/>
        </w:rPr>
      </w:pPr>
      <w:r>
        <w:rPr>
          <w:noProof/>
          <w:color w:val="000000" w:themeColor="text1"/>
        </w:rPr>
        <w:t>Artikel 15 — Uitvoering van de begroting</w:t>
      </w:r>
    </w:p>
    <w:p>
      <w:pPr>
        <w:pStyle w:val="ManualNumPar1"/>
        <w:rPr>
          <w:noProof/>
        </w:rPr>
      </w:pPr>
      <w:r>
        <w:t>1.</w:t>
      </w:r>
      <w:r>
        <w:tab/>
      </w:r>
      <w:r>
        <w:rPr>
          <w:noProof/>
        </w:rPr>
        <w:t>De uitvoerend directeur voert de begroting van het Agentschap uit.</w:t>
      </w:r>
    </w:p>
    <w:p>
      <w:pPr>
        <w:pStyle w:val="ManualNumPar1"/>
        <w:rPr>
          <w:noProof/>
        </w:rPr>
      </w:pPr>
      <w:r>
        <w:t>2.</w:t>
      </w:r>
      <w:r>
        <w:tab/>
      </w:r>
      <w:r>
        <w:rPr>
          <w:noProof/>
        </w:rPr>
        <w:t>De uitvoerend directeur zendt de begrotingsautoriteit jaarlijks alle relevante informatie over de resultaten van de evaluatieprocedures toe.</w:t>
      </w:r>
    </w:p>
    <w:p>
      <w:pPr>
        <w:pStyle w:val="Titrearticle"/>
        <w:rPr>
          <w:noProof/>
          <w:color w:val="000000" w:themeColor="text1"/>
        </w:rPr>
      </w:pPr>
      <w:r>
        <w:rPr>
          <w:noProof/>
          <w:color w:val="000000" w:themeColor="text1"/>
        </w:rPr>
        <w:t>Artikel 16 — Indiening van de rekeningen en kwijting</w:t>
      </w:r>
    </w:p>
    <w:p>
      <w:pPr>
        <w:pStyle w:val="ManualNumPar1"/>
        <w:rPr>
          <w:noProof/>
        </w:rPr>
      </w:pPr>
      <w:r>
        <w:t>1.</w:t>
      </w:r>
      <w:r>
        <w:tab/>
      </w:r>
      <w:r>
        <w:rPr>
          <w:noProof/>
        </w:rPr>
        <w:t>Uiterlijk op 1 maart van het volgende begrotingsjaar zendt de rekenplichtige van het Agentschap de voorlopige rekeningen toe aan de rekenplichtige van de Commissie en aan de Europese Rekenkamer.</w:t>
      </w:r>
    </w:p>
    <w:p>
      <w:pPr>
        <w:pStyle w:val="ManualNumPar1"/>
        <w:rPr>
          <w:noProof/>
        </w:rPr>
      </w:pPr>
      <w:r>
        <w:t>2.</w:t>
      </w:r>
      <w:r>
        <w:tab/>
      </w:r>
      <w:r>
        <w:rPr>
          <w:noProof/>
        </w:rPr>
        <w:t>Uiterlijk op 31 maart van het volgende begrotingsjaar zendt het Agentschap het verslag over het budgettair en financieel beheer toe aan het Europees Parlement, de Raad en de Europese Rekenkamer.</w:t>
      </w:r>
    </w:p>
    <w:p>
      <w:pPr>
        <w:pStyle w:val="Text1"/>
        <w:rPr>
          <w:noProof/>
          <w:color w:val="000000" w:themeColor="text1"/>
        </w:rPr>
      </w:pPr>
      <w:r>
        <w:rPr>
          <w:noProof/>
          <w:color w:val="000000" w:themeColor="text1"/>
        </w:rPr>
        <w:t>Uiterlijk op 31 maart van het volgende begrotingsjaar zendt de rekenplichtige van de Commissie de voorlopige rekeningen van het Agentschap die met de rekeningen van de Commissie zijn geconsolideerd, toe aan de Europese Rekenkamer.</w:t>
      </w:r>
    </w:p>
    <w:p>
      <w:pPr>
        <w:pStyle w:val="ManualNumPar1"/>
        <w:rPr>
          <w:noProof/>
        </w:rPr>
      </w:pPr>
      <w:r>
        <w:t>3.</w:t>
      </w:r>
      <w:r>
        <w:tab/>
      </w:r>
      <w:r>
        <w:rPr>
          <w:noProof/>
        </w:rPr>
        <w:t>Na ontvangst van de opmerkingen van de Europese Rekenkamer over de voorlopige rekeningen van het Agentschap krachtens artikel 148 van het Financieel Reglement maakt de uitvoerend directeur van het Agentschap onder zijn eigen verantwoordelijkheid de definitieve rekeningen op en legt hij deze voor advies voor aan de raad van bestuur.</w:t>
      </w:r>
    </w:p>
    <w:p>
      <w:pPr>
        <w:pStyle w:val="ManualNumPar1"/>
        <w:rPr>
          <w:noProof/>
        </w:rPr>
      </w:pPr>
      <w:r>
        <w:t>4.</w:t>
      </w:r>
      <w:r>
        <w:tab/>
      </w:r>
      <w:r>
        <w:rPr>
          <w:noProof/>
        </w:rPr>
        <w:t>De raad van bestuur brengt advies uit over de definitieve rekeningen van het Agentschap.</w:t>
      </w:r>
    </w:p>
    <w:p>
      <w:pPr>
        <w:pStyle w:val="ManualNumPar1"/>
        <w:rPr>
          <w:noProof/>
        </w:rPr>
      </w:pPr>
      <w:r>
        <w:t>5.</w:t>
      </w:r>
      <w:r>
        <w:tab/>
      </w:r>
      <w:r>
        <w:rPr>
          <w:noProof/>
        </w:rPr>
        <w:t>Uiterlijk op 1 juli van het jaar dat volgt op elk begrotingsjaar dient de rekenplichtige de definitieve rekeningen en het advies van de raad van bestuur in bij het Europees Parlement, de Raad, de Commissie en de Rekenkamer.</w:t>
      </w:r>
    </w:p>
    <w:p>
      <w:pPr>
        <w:pStyle w:val="ManualNumPar1"/>
        <w:rPr>
          <w:noProof/>
        </w:rPr>
      </w:pPr>
      <w:r>
        <w:t>6.</w:t>
      </w:r>
      <w:r>
        <w:tab/>
      </w:r>
      <w:r>
        <w:rPr>
          <w:noProof/>
        </w:rPr>
        <w:t xml:space="preserve">De definitieve rekeningen worden uiterlijk op 15 november van het volgende jaar bekendgemaakt in het </w:t>
      </w:r>
      <w:r>
        <w:rPr>
          <w:i/>
          <w:noProof/>
        </w:rPr>
        <w:t>Publicatieblad van de Europese Unie</w:t>
      </w:r>
      <w:r>
        <w:rPr>
          <w:noProof/>
        </w:rPr>
        <w:t>.</w:t>
      </w:r>
    </w:p>
    <w:p>
      <w:pPr>
        <w:pStyle w:val="ManualNumPar1"/>
        <w:rPr>
          <w:noProof/>
        </w:rPr>
      </w:pPr>
      <w:r>
        <w:t>7.</w:t>
      </w:r>
      <w:r>
        <w:tab/>
      </w:r>
      <w:r>
        <w:rPr>
          <w:noProof/>
        </w:rPr>
        <w:t>De uitvoerend directeur geeft de Europese Rekenkamer uiterlijk op 30 september antwoord op haar opmerkingen. De uitvoerend directeur zendt dit antwoord tevens toe aan de raad van bestuur.</w:t>
      </w:r>
    </w:p>
    <w:p>
      <w:pPr>
        <w:pStyle w:val="ManualNumPar1"/>
        <w:rPr>
          <w:noProof/>
        </w:rPr>
      </w:pPr>
      <w:r>
        <w:t>8.</w:t>
      </w:r>
      <w:r>
        <w:tab/>
      </w:r>
      <w:r>
        <w:rPr>
          <w:noProof/>
        </w:rPr>
        <w:t>De uitvoerend directeur verstrekt het Europees Parlement op zijn verzoek, overeenkomstig artikel 165, lid 3, van het Financieel Reglement, alle inlichtingen die nodig zijn voor het goede verloop van de kwijtingsprocedure voor het betrokken begrotingsjaar.</w:t>
      </w:r>
    </w:p>
    <w:p>
      <w:pPr>
        <w:pStyle w:val="ManualNumPar1"/>
        <w:rPr>
          <w:noProof/>
        </w:rPr>
      </w:pPr>
      <w:r>
        <w:t>9.</w:t>
      </w:r>
      <w:r>
        <w:tab/>
      </w:r>
      <w:r>
        <w:rPr>
          <w:noProof/>
        </w:rPr>
        <w:t>Vóór 15 mei van het jaar N+2 verleent het Europees Parlement op aanbeveling van de Raad, die met gekwalificeerde meerderheid van stemmen besluit, de uitvoerend directeur kwijting voor de uitvoering van de begroting van het begrotingsjaar N.</w:t>
      </w:r>
    </w:p>
    <w:p>
      <w:pPr>
        <w:pStyle w:val="Titrearticle"/>
        <w:rPr>
          <w:noProof/>
          <w:color w:val="000000" w:themeColor="text1"/>
        </w:rPr>
      </w:pPr>
      <w:r>
        <w:rPr>
          <w:noProof/>
          <w:color w:val="000000" w:themeColor="text1"/>
        </w:rPr>
        <w:t>Artikel 17 — Financiële regels</w:t>
      </w:r>
    </w:p>
    <w:p>
      <w:pPr>
        <w:rPr>
          <w:noProof/>
          <w:color w:val="000000" w:themeColor="text1"/>
        </w:rPr>
      </w:pPr>
      <w:r>
        <w:rPr>
          <w:noProof/>
          <w:color w:val="000000" w:themeColor="text1"/>
        </w:rPr>
        <w:t>De financiële regels die van toepassing zijn op het Agentschap worden vastgesteld door de raad van bestuur, na raadpleging van de Commissie. Deze regels wijken niet af van Gedelegeerde Verordening (EU) nr. 1271/2013 tenzij dit in verband met de werking van het Agentschap specifiek vereist is en de Commissie vooraf toestemming heeft verleend.</w:t>
      </w:r>
    </w:p>
    <w:p>
      <w:pPr>
        <w:rPr>
          <w:noProof/>
          <w:color w:val="000000" w:themeColor="text1"/>
        </w:rPr>
      </w:pPr>
    </w:p>
    <w:p>
      <w:pPr>
        <w:pStyle w:val="ChapterTitle"/>
        <w:rPr>
          <w:noProof/>
          <w:color w:val="000000" w:themeColor="text1"/>
        </w:rPr>
      </w:pPr>
      <w:r>
        <w:rPr>
          <w:noProof/>
          <w:color w:val="000000" w:themeColor="text1"/>
        </w:rPr>
        <w:t>Hoofdstuk IV</w:t>
      </w:r>
      <w:r>
        <w:rPr>
          <w:noProof/>
          <w:color w:val="000000" w:themeColor="text1"/>
        </w:rPr>
        <w:br/>
        <w:t>Personeel</w:t>
      </w:r>
    </w:p>
    <w:p>
      <w:pPr>
        <w:pStyle w:val="Titrearticle"/>
        <w:rPr>
          <w:noProof/>
          <w:color w:val="000000" w:themeColor="text1"/>
        </w:rPr>
      </w:pPr>
      <w:r>
        <w:rPr>
          <w:noProof/>
          <w:color w:val="000000" w:themeColor="text1"/>
        </w:rPr>
        <w:t>Artikel 18 – Algemene bepalingen</w:t>
      </w:r>
    </w:p>
    <w:p>
      <w:pPr>
        <w:ind w:left="720" w:hanging="720"/>
        <w:rPr>
          <w:noProof/>
          <w:color w:val="000000" w:themeColor="text1"/>
        </w:rPr>
      </w:pPr>
      <w:r>
        <w:rPr>
          <w:noProof/>
          <w:color w:val="000000" w:themeColor="text1"/>
        </w:rPr>
        <w:t xml:space="preserve">1. </w:t>
      </w:r>
      <w:r>
        <w:rPr>
          <w:noProof/>
        </w:rPr>
        <w:tab/>
      </w:r>
      <w:r>
        <w:rPr>
          <w:noProof/>
          <w:color w:val="000000" w:themeColor="text1"/>
        </w:rPr>
        <w:t xml:space="preserve">Het statuut, de regeling welke van toepassing is op de andere personeelsleden en de voorschriften die in onderling overleg zijn vastgesteld door de instellingen van de Unie ter uitvoering van dit statuut en de regeling welke van toepassing is op de andere personeelsleden, zijn van toepassing op het personeel van het Agentschap. </w:t>
      </w:r>
    </w:p>
    <w:p>
      <w:pPr>
        <w:autoSpaceDE w:val="0"/>
        <w:autoSpaceDN w:val="0"/>
        <w:adjustRightInd w:val="0"/>
        <w:spacing w:before="0" w:after="0"/>
        <w:ind w:left="720" w:hanging="720"/>
        <w:rPr>
          <w:rFonts w:eastAsia="Calibri"/>
          <w:noProof/>
          <w:color w:val="000000" w:themeColor="text1"/>
          <w:sz w:val="22"/>
        </w:rPr>
      </w:pPr>
      <w:r>
        <w:rPr>
          <w:noProof/>
          <w:color w:val="000000" w:themeColor="text1"/>
        </w:rPr>
        <w:t xml:space="preserve">2. </w:t>
      </w:r>
      <w:r>
        <w:rPr>
          <w:noProof/>
        </w:rPr>
        <w:tab/>
      </w:r>
      <w:r>
        <w:rPr>
          <w:noProof/>
          <w:color w:val="000000" w:themeColor="text1"/>
        </w:rPr>
        <w:t>Overeenkomstig artikel 110 van het statuut stelt de raad van bestuur passende bepalingen vast voor de uitvoering van het statuut en de regeling welke van toepassing is op de andere personeelsleden.</w:t>
      </w:r>
    </w:p>
    <w:p>
      <w:pPr>
        <w:rPr>
          <w:noProof/>
          <w:color w:val="000000" w:themeColor="text1"/>
        </w:rPr>
      </w:pPr>
    </w:p>
    <w:p>
      <w:pPr>
        <w:pStyle w:val="Titrearticle"/>
        <w:rPr>
          <w:noProof/>
          <w:color w:val="000000" w:themeColor="text1"/>
        </w:rPr>
      </w:pPr>
      <w:r>
        <w:rPr>
          <w:noProof/>
          <w:color w:val="000000" w:themeColor="text1"/>
        </w:rPr>
        <w:t>Artikel 19 — Uitvoerend directeur</w:t>
      </w:r>
    </w:p>
    <w:p>
      <w:pPr>
        <w:pStyle w:val="ManualNumPar1"/>
        <w:rPr>
          <w:noProof/>
        </w:rPr>
      </w:pPr>
      <w:r>
        <w:t>1.</w:t>
      </w:r>
      <w:r>
        <w:tab/>
      </w:r>
      <w:r>
        <w:rPr>
          <w:noProof/>
        </w:rPr>
        <w:t>De uitvoerend directeur is een personeelslid en wordt aangeworven als tijdelijk functionaris van het Agentschap uit hoofde van artikel 2, onder a), van de regeling welke van toepassing is op de andere personeelsleden.</w:t>
      </w:r>
    </w:p>
    <w:p>
      <w:pPr>
        <w:pStyle w:val="ManualNumPar1"/>
        <w:rPr>
          <w:noProof/>
        </w:rPr>
      </w:pPr>
      <w:r>
        <w:t>2.</w:t>
      </w:r>
      <w:r>
        <w:tab/>
      </w:r>
      <w:r>
        <w:rPr>
          <w:noProof/>
        </w:rPr>
        <w:t xml:space="preserve">De uitvoerend directeur wordt na een open en transparante selectieprocedure door de raad van bestuur benoemd uit een lijst van door de Commissie voorgestelde kandidaten. </w:t>
      </w:r>
    </w:p>
    <w:p>
      <w:pPr>
        <w:pStyle w:val="Text1"/>
        <w:rPr>
          <w:noProof/>
          <w:color w:val="000000" w:themeColor="text1"/>
        </w:rPr>
      </w:pPr>
      <w:r>
        <w:rPr>
          <w:noProof/>
          <w:color w:val="000000" w:themeColor="text1"/>
        </w:rPr>
        <w:t xml:space="preserve">Voor het sluiten van de arbeidsovereenkomst met de uitvoerend directeur wordt het Agentschap vertegenwoordigd door de voorzitter van de raad van bestuur. </w:t>
      </w:r>
    </w:p>
    <w:p>
      <w:pPr>
        <w:pStyle w:val="ManualNumPar1"/>
        <w:rPr>
          <w:noProof/>
        </w:rPr>
      </w:pPr>
      <w:r>
        <w:t>3.</w:t>
      </w:r>
      <w:r>
        <w:tab/>
      </w:r>
      <w:r>
        <w:rPr>
          <w:noProof/>
        </w:rPr>
        <w:t>De ambtstermijn van de uitvoerend directeur bedraagt vijf jaar. Aan het einde van die termijn stelt de Commissie een beoordeling op waarin rekening wordt gehouden met de evaluatie van de door de uitvoerend directeur bereikte resultaten en de toekomstige taken en uitdagingen van het Agentschap.</w:t>
      </w:r>
    </w:p>
    <w:p>
      <w:pPr>
        <w:pStyle w:val="ManualNumPar1"/>
        <w:rPr>
          <w:noProof/>
        </w:rPr>
      </w:pPr>
      <w:r>
        <w:t>4.</w:t>
      </w:r>
      <w:r>
        <w:tab/>
      </w:r>
      <w:r>
        <w:rPr>
          <w:noProof/>
        </w:rPr>
        <w:t xml:space="preserve">Op grond van een voorstel van de Commissie, waarin rekening wordt gehouden met de in lid 3 bedoelde beoordeling, kan de raad van bestuur de ambtstermijn van de uitvoerend directeur eenmaal verlengen met ten hoogste vijf jaar. </w:t>
      </w:r>
    </w:p>
    <w:p>
      <w:pPr>
        <w:pStyle w:val="ManualNumPar1"/>
        <w:rPr>
          <w:noProof/>
        </w:rPr>
      </w:pPr>
      <w:r>
        <w:t>5.</w:t>
      </w:r>
      <w:r>
        <w:tab/>
      </w:r>
      <w:r>
        <w:rPr>
          <w:noProof/>
        </w:rPr>
        <w:t xml:space="preserve">Een uitvoerend directeur wiens ambtstermijn is verlengd, kan na afloop van de volledige termijn niet deelnemen aan een nieuwe selectieprocedure voor hetzelfde ambt. </w:t>
      </w:r>
    </w:p>
    <w:p>
      <w:pPr>
        <w:pStyle w:val="ManualNumPar1"/>
        <w:rPr>
          <w:noProof/>
        </w:rPr>
      </w:pPr>
      <w:r>
        <w:t>6.</w:t>
      </w:r>
      <w:r>
        <w:tab/>
      </w:r>
      <w:r>
        <w:rPr>
          <w:noProof/>
        </w:rPr>
        <w:t>De uitvoerend directeur kan uitsluitend uit zijn functie worden ontheven bij besluit van de raad van bestuur op voorstel van de Commissie.</w:t>
      </w:r>
    </w:p>
    <w:p>
      <w:pPr>
        <w:pStyle w:val="ManualNumPar1"/>
        <w:rPr>
          <w:noProof/>
        </w:rPr>
      </w:pPr>
      <w:r>
        <w:t>7.</w:t>
      </w:r>
      <w:r>
        <w:tab/>
      </w:r>
      <w:r>
        <w:rPr>
          <w:noProof/>
        </w:rPr>
        <w:t>De raad van bestuur neemt besluiten over de benoeming van de uitvoerend directeur, de verlenging van diens ambtstermijn en de ontheffing van de uitvoerend directeur uit zijn functie met een tweederdemeerderheid van zijn stemgerechtigde leden.</w:t>
      </w:r>
    </w:p>
    <w:p>
      <w:pPr>
        <w:pStyle w:val="Titrearticle"/>
        <w:rPr>
          <w:noProof/>
          <w:color w:val="000000" w:themeColor="text1"/>
        </w:rPr>
      </w:pPr>
      <w:r>
        <w:rPr>
          <w:noProof/>
          <w:color w:val="000000" w:themeColor="text1"/>
        </w:rPr>
        <w:t xml:space="preserve">Artikel 20 – Gedetacheerde nationale deskundigen en andere personeelsleden </w:t>
      </w:r>
    </w:p>
    <w:p>
      <w:pPr>
        <w:pStyle w:val="ManualNumPar1"/>
        <w:rPr>
          <w:noProof/>
        </w:rPr>
      </w:pPr>
      <w:r>
        <w:t>1.</w:t>
      </w:r>
      <w:r>
        <w:tab/>
      </w:r>
      <w:r>
        <w:rPr>
          <w:noProof/>
        </w:rPr>
        <w:t xml:space="preserve">Het Agentschap kan gebruikmaken van gedetacheerde nationale deskundigen of ander personeel dat niet in dienst is van het Agentschap. </w:t>
      </w:r>
    </w:p>
    <w:p>
      <w:pPr>
        <w:pStyle w:val="ManualNumPar1"/>
        <w:rPr>
          <w:noProof/>
        </w:rPr>
      </w:pPr>
      <w:r>
        <w:t>2.</w:t>
      </w:r>
      <w:r>
        <w:tab/>
      </w:r>
      <w:r>
        <w:rPr>
          <w:noProof/>
        </w:rPr>
        <w:t xml:space="preserve">Bij besluit van de raad van bestuur worden de voorschriften vastgesteld voor de detachering van nationale deskundigen bij het Agentschap. </w:t>
      </w:r>
    </w:p>
    <w:p>
      <w:pPr>
        <w:pStyle w:val="ChapterTitle"/>
        <w:rPr>
          <w:noProof/>
          <w:color w:val="000000" w:themeColor="text1"/>
        </w:rPr>
      </w:pPr>
      <w:r>
        <w:rPr>
          <w:noProof/>
          <w:color w:val="000000" w:themeColor="text1"/>
        </w:rPr>
        <w:t>Hoofdstuk V</w:t>
      </w:r>
      <w:r>
        <w:rPr>
          <w:noProof/>
          <w:color w:val="000000" w:themeColor="text1"/>
        </w:rPr>
        <w:br/>
        <w:t>Algemene bepalingen</w:t>
      </w:r>
    </w:p>
    <w:p>
      <w:pPr>
        <w:pStyle w:val="Titrearticle"/>
        <w:rPr>
          <w:noProof/>
          <w:color w:val="000000" w:themeColor="text1"/>
        </w:rPr>
      </w:pPr>
      <w:r>
        <w:rPr>
          <w:noProof/>
          <w:color w:val="000000" w:themeColor="text1"/>
        </w:rPr>
        <w:t>Artikel 21 — Rechtspositie</w:t>
      </w:r>
    </w:p>
    <w:p>
      <w:pPr>
        <w:pStyle w:val="ManualNumPar1"/>
        <w:rPr>
          <w:noProof/>
        </w:rPr>
      </w:pPr>
      <w:r>
        <w:t>1.</w:t>
      </w:r>
      <w:r>
        <w:tab/>
      </w:r>
      <w:r>
        <w:rPr>
          <w:noProof/>
        </w:rPr>
        <w:t>Het Agentschap is een orgaan van de Unie. Het heeft rechtspersoonlijkheid.</w:t>
      </w:r>
    </w:p>
    <w:p>
      <w:pPr>
        <w:pStyle w:val="ManualNumPar1"/>
        <w:rPr>
          <w:noProof/>
        </w:rPr>
      </w:pPr>
      <w:r>
        <w:t>2.</w:t>
      </w:r>
      <w:r>
        <w:tab/>
      </w:r>
      <w:r>
        <w:rPr>
          <w:noProof/>
        </w:rPr>
        <w:t>Het Agentschap beschikt in alle lidstaten over de ruimste handelingsbevoegdheid die volgens de geldende wetgeving aan rechtspersonen wordt verleend. Het kan met name roerende en onroerende goederen verkrijgen of vervreemden en in rechte optreden.</w:t>
      </w:r>
    </w:p>
    <w:p>
      <w:pPr>
        <w:pStyle w:val="ManualNumPar1"/>
        <w:rPr>
          <w:noProof/>
        </w:rPr>
      </w:pPr>
      <w:r>
        <w:t>3.</w:t>
      </w:r>
      <w:r>
        <w:tab/>
      </w:r>
      <w:r>
        <w:rPr>
          <w:noProof/>
        </w:rPr>
        <w:t>Het Agentschap heeft zijn zetel in Dublin, Ierland.</w:t>
      </w:r>
    </w:p>
    <w:p>
      <w:pPr>
        <w:pStyle w:val="ManualNumPar1"/>
        <w:rPr>
          <w:noProof/>
        </w:rPr>
      </w:pPr>
      <w:r>
        <w:t>4.</w:t>
      </w:r>
      <w:r>
        <w:tab/>
      </w:r>
      <w:r>
        <w:rPr>
          <w:noProof/>
        </w:rPr>
        <w:t>Het Agentschap kan in één of meerdere lidstaten plaatselijke kantoren oprichten voor zover de lidstaten hiermee instemmen en in overeenstemming met artikel 11, lid 6.</w:t>
      </w:r>
      <w:r>
        <w:rPr>
          <w:noProof/>
        </w:rPr>
        <w:tab/>
      </w:r>
    </w:p>
    <w:p>
      <w:pPr>
        <w:pStyle w:val="Titrearticle"/>
        <w:rPr>
          <w:noProof/>
          <w:color w:val="000000" w:themeColor="text1"/>
        </w:rPr>
      </w:pPr>
      <w:r>
        <w:rPr>
          <w:noProof/>
          <w:color w:val="000000" w:themeColor="text1"/>
        </w:rPr>
        <w:t>Artikel 22 — Voorrechten en immuniteiten</w:t>
      </w:r>
    </w:p>
    <w:p>
      <w:pPr>
        <w:rPr>
          <w:noProof/>
          <w:color w:val="000000" w:themeColor="text1"/>
        </w:rPr>
      </w:pPr>
      <w:r>
        <w:rPr>
          <w:noProof/>
          <w:color w:val="000000" w:themeColor="text1"/>
        </w:rPr>
        <w:t>Het Protocol betreffende de voorrechten en immuniteiten van de Europese Unie is van toepassing op het Agentschap en zijn personeel.</w:t>
      </w:r>
    </w:p>
    <w:p>
      <w:pPr>
        <w:pStyle w:val="Titrearticle"/>
        <w:rPr>
          <w:noProof/>
          <w:color w:val="000000" w:themeColor="text1"/>
        </w:rPr>
      </w:pPr>
      <w:r>
        <w:rPr>
          <w:noProof/>
          <w:color w:val="000000" w:themeColor="text1"/>
        </w:rPr>
        <w:t>Artikel 23 — Talenregeling</w:t>
      </w:r>
    </w:p>
    <w:p>
      <w:pPr>
        <w:pStyle w:val="ManualNumPar1"/>
        <w:rPr>
          <w:noProof/>
        </w:rPr>
      </w:pPr>
      <w:r>
        <w:t>1.</w:t>
      </w:r>
      <w:r>
        <w:tab/>
      </w:r>
      <w:r>
        <w:rPr>
          <w:noProof/>
        </w:rPr>
        <w:t>De bepalingen van Verordening nr. 1 zijn van toepassing op het Agentschap.</w:t>
      </w:r>
    </w:p>
    <w:p>
      <w:pPr>
        <w:pStyle w:val="ManualNumPar1"/>
        <w:rPr>
          <w:noProof/>
        </w:rPr>
      </w:pPr>
      <w:r>
        <w:t>2.</w:t>
      </w:r>
      <w:r>
        <w:tab/>
      </w:r>
      <w:r>
        <w:rPr>
          <w:noProof/>
        </w:rPr>
        <w:t>De raad van bestuur kan beslissen over de talen die het Agentschap voor zijn interne werking gebruikt.</w:t>
      </w:r>
    </w:p>
    <w:p>
      <w:pPr>
        <w:pStyle w:val="ManualNumPar1"/>
        <w:rPr>
          <w:noProof/>
        </w:rPr>
      </w:pPr>
      <w:r>
        <w:t>3.</w:t>
      </w:r>
      <w:r>
        <w:tab/>
      </w:r>
      <w:r>
        <w:rPr>
          <w:noProof/>
        </w:rPr>
        <w:t>De voor het functioneren van het Agentschap vereiste vertaaldiensten worden geleverd door het Vertaalbureau voor de organen van de Europese Unie.</w:t>
      </w:r>
    </w:p>
    <w:p>
      <w:pPr>
        <w:pStyle w:val="Titrearticle"/>
        <w:rPr>
          <w:noProof/>
          <w:color w:val="000000" w:themeColor="text1"/>
        </w:rPr>
      </w:pPr>
      <w:r>
        <w:rPr>
          <w:noProof/>
          <w:color w:val="000000" w:themeColor="text1"/>
        </w:rPr>
        <w:t xml:space="preserve">Artikel 24 — Transparantie </w:t>
      </w:r>
    </w:p>
    <w:p>
      <w:pPr>
        <w:pStyle w:val="ManualNumPar1"/>
        <w:rPr>
          <w:noProof/>
        </w:rPr>
      </w:pPr>
      <w:r>
        <w:t>1.</w:t>
      </w:r>
      <w:r>
        <w:tab/>
      </w:r>
      <w:r>
        <w:rPr>
          <w:noProof/>
        </w:rPr>
        <w:t>Verordening (EG) nr. 1049/2001 van het Europees Parlement en de Raad</w:t>
      </w:r>
      <w:r>
        <w:rPr>
          <w:rStyle w:val="FootnoteReference"/>
          <w:noProof/>
          <w:color w:val="000000" w:themeColor="text1"/>
        </w:rPr>
        <w:footnoteReference w:id="9"/>
      </w:r>
      <w:r>
        <w:rPr>
          <w:noProof/>
        </w:rPr>
        <w:t xml:space="preserve"> is van toepassing op de documenten die in het bezit zijn van het Agentschap. De raad van bestuur stelt binnen zes maanden na de datum van zijn eerste vergadering de gedetailleerde regels ter uitvoering van Verordening (EG) nr. 1049/2001 vast. </w:t>
      </w:r>
    </w:p>
    <w:p>
      <w:pPr>
        <w:pStyle w:val="ManualNumPar1"/>
        <w:rPr>
          <w:noProof/>
        </w:rPr>
      </w:pPr>
      <w:r>
        <w:t>2.</w:t>
      </w:r>
      <w:r>
        <w:tab/>
      </w:r>
      <w:r>
        <w:rPr>
          <w:noProof/>
        </w:rPr>
        <w:t xml:space="preserve">Op de verwerking van persoonsgegevens door het Agentschap is Verordening (EG) nr. 45/2001 van toepassing. De raad van bestuur stelt binnen zes maanden na de eerste vergadering maatregelen vast voor de toepassing van Verordening (EG) nr. 45/2001 door het Agentschap, onder meer betreffende de benoeming van de functionaris voor gegevensbescherming van het Agentschap. Deze maatregelen worden vastgesteld na raadpleging van de Europese Toezichthouder voor gegevensbescherming. </w:t>
      </w:r>
    </w:p>
    <w:p>
      <w:pPr>
        <w:pStyle w:val="Titrearticle"/>
        <w:rPr>
          <w:noProof/>
          <w:color w:val="000000" w:themeColor="text1"/>
        </w:rPr>
      </w:pPr>
      <w:r>
        <w:rPr>
          <w:noProof/>
          <w:color w:val="000000" w:themeColor="text1"/>
        </w:rPr>
        <w:t xml:space="preserve">Artikel 25 — Fraudebestrijding </w:t>
      </w:r>
    </w:p>
    <w:p>
      <w:pPr>
        <w:pStyle w:val="ManualNumPar1"/>
        <w:rPr>
          <w:noProof/>
        </w:rPr>
      </w:pPr>
      <w:r>
        <w:t>1.</w:t>
      </w:r>
      <w:r>
        <w:tab/>
      </w:r>
      <w:r>
        <w:rPr>
          <w:noProof/>
        </w:rPr>
        <w:t>Om de bestrijding van fraude, corruptie en andere onwettige activiteiten krachtens Verordening (EG) nr. 1073/1999 van het Europees Parlement en de Raad</w:t>
      </w:r>
      <w:r>
        <w:rPr>
          <w:rStyle w:val="FootnoteReference"/>
          <w:noProof/>
          <w:color w:val="000000" w:themeColor="text1"/>
        </w:rPr>
        <w:footnoteReference w:id="10"/>
      </w:r>
      <w:r>
        <w:rPr>
          <w:noProof/>
        </w:rPr>
        <w:t xml:space="preserve"> te vereenvoudigen, treedt het Agentschap binnen zes maanden na de inwerkingtreding van deze verordening toe tot het Interinstitutioneel akkoord van 25 mei 1999 betreffende de interne onderzoeken verricht door het Europees Bureau voor Fraudebestrijding (OLAF) en stelt het op basis van het model in de bijlage bij dat akkoord passende voorschriften vast voor alle werknemers van het Agentschap. </w:t>
      </w:r>
    </w:p>
    <w:p>
      <w:pPr>
        <w:pStyle w:val="ManualNumPar1"/>
        <w:rPr>
          <w:noProof/>
        </w:rPr>
      </w:pPr>
      <w:r>
        <w:t>2.</w:t>
      </w:r>
      <w:r>
        <w:tab/>
      </w:r>
      <w:r>
        <w:rPr>
          <w:noProof/>
        </w:rPr>
        <w:t>De Europese Rekenkamer is bevoegd om bij alle begunstigden van subsidies, contractanten en subcontractanten die van het Agentschap Uniemiddelen hebben ontvangen, audits te verrichten, zowel op basis van documenten als ter plaatse.</w:t>
      </w:r>
    </w:p>
    <w:p>
      <w:pPr>
        <w:pStyle w:val="ManualNumPar1"/>
        <w:rPr>
          <w:noProof/>
        </w:rPr>
      </w:pPr>
      <w:r>
        <w:t>3.</w:t>
      </w:r>
      <w:r>
        <w:tab/>
      </w:r>
      <w:r>
        <w:rPr>
          <w:noProof/>
        </w:rPr>
        <w:t>OLAF kan overeenkomstig de bepalingen en procedures van Verordening (EG) nr. 1073/1999 en Verordening (EG, Euratom) nr. 2185/96 onderzoeken verrichten, waaronder controles en inspecties ter plaatse, om vast te stellen of er sprake is van fraude, corruptie of andere onwettige activiteiten waardoor de financiële belangen van de Unie worden geschaad in verband met een subsidie of een door het Agentschap gefinancierde overeenkomst.</w:t>
      </w:r>
    </w:p>
    <w:p>
      <w:pPr>
        <w:pStyle w:val="ManualNumPar1"/>
        <w:rPr>
          <w:noProof/>
        </w:rPr>
      </w:pPr>
      <w:r>
        <w:t>4.</w:t>
      </w:r>
      <w:r>
        <w:tab/>
      </w:r>
      <w:r>
        <w:rPr>
          <w:noProof/>
        </w:rPr>
        <w:t>Onverminderd de leden 1, 2 en 3 omvatten de samenwerkingsovereenkomsten met derde landen en internationale organisaties, contracten, subsidieovereenkomsten en subsidiebesluiten van het Agentschap bepalingen die de Europese Rekenkamer en OLAF uitdrukkelijk de bevoegdheid verlenen dergelijke controles en onderzoeken te verrichten overeenkomstig hun respectieve bevoegdheden.</w:t>
      </w:r>
    </w:p>
    <w:p>
      <w:pPr>
        <w:pStyle w:val="Titrearticle"/>
        <w:rPr>
          <w:noProof/>
          <w:color w:val="000000" w:themeColor="text1"/>
        </w:rPr>
      </w:pPr>
      <w:r>
        <w:rPr>
          <w:noProof/>
          <w:color w:val="000000" w:themeColor="text1"/>
        </w:rPr>
        <w:t xml:space="preserve">Artikel 26 — Beveiligingsvoorschriften voor de bescherming van gerubriceerde informatie en gevoelige niet-gerubriceerde informatie </w:t>
      </w:r>
    </w:p>
    <w:p>
      <w:pPr>
        <w:rPr>
          <w:noProof/>
          <w:color w:val="000000" w:themeColor="text1"/>
        </w:rPr>
      </w:pPr>
      <w:r>
        <w:rPr>
          <w:noProof/>
          <w:color w:val="000000" w:themeColor="text1"/>
        </w:rPr>
        <w:t>Indien nodig stelt het Agentschap zijn eigen beveiligingsvoorschriften vast die gelijkwaardig zijn aan de beveiligingsvoorschriften van de Commissie voor de bescherming van gerubriceerde EU-informatie (EUCI) en gevoelige niet-gerubriceerde informatie, als vermeld in Besluit (EU, Euratom) 2015/443</w:t>
      </w:r>
      <w:r>
        <w:rPr>
          <w:rStyle w:val="FootnoteReference"/>
          <w:noProof/>
          <w:color w:val="000000" w:themeColor="text1"/>
        </w:rPr>
        <w:footnoteReference w:id="11"/>
      </w:r>
      <w:r>
        <w:rPr>
          <w:noProof/>
          <w:color w:val="000000" w:themeColor="text1"/>
        </w:rPr>
        <w:t xml:space="preserve"> en Besluit (EU, Euratom) 2015/444 van de Commissie</w:t>
      </w:r>
      <w:r>
        <w:rPr>
          <w:rStyle w:val="FootnoteReference"/>
          <w:noProof/>
          <w:color w:val="000000" w:themeColor="text1"/>
        </w:rPr>
        <w:footnoteReference w:id="12"/>
      </w:r>
      <w:r>
        <w:rPr>
          <w:noProof/>
          <w:color w:val="000000" w:themeColor="text1"/>
        </w:rPr>
        <w:t>. De beveiligingsvoorschriften van het Agentschap hebben onder andere en indien nodig betrekking op bepalingen voor de uitwisseling, verwerking en opslag van dergelijke informatie.</w:t>
      </w:r>
    </w:p>
    <w:p>
      <w:pPr>
        <w:pStyle w:val="Titrearticle"/>
        <w:rPr>
          <w:noProof/>
          <w:color w:val="000000" w:themeColor="text1"/>
        </w:rPr>
      </w:pPr>
      <w:r>
        <w:rPr>
          <w:noProof/>
          <w:color w:val="000000" w:themeColor="text1"/>
        </w:rPr>
        <w:t>Artikel 27 — Aansprakelijkheid</w:t>
      </w:r>
    </w:p>
    <w:p>
      <w:pPr>
        <w:pStyle w:val="ManualNumPar1"/>
        <w:rPr>
          <w:noProof/>
        </w:rPr>
      </w:pPr>
      <w:r>
        <w:t>1.</w:t>
      </w:r>
      <w:r>
        <w:tab/>
      </w:r>
      <w:r>
        <w:rPr>
          <w:noProof/>
        </w:rPr>
        <w:t>De contractuele aansprakelijkheid van het Agentschap wordt beheerst door de wet die op het betrokken contract van toepassing is.</w:t>
      </w:r>
    </w:p>
    <w:p>
      <w:pPr>
        <w:pStyle w:val="ManualNumPar1"/>
        <w:rPr>
          <w:noProof/>
        </w:rPr>
      </w:pPr>
      <w:r>
        <w:t>2.</w:t>
      </w:r>
      <w:r>
        <w:tab/>
      </w:r>
      <w:r>
        <w:rPr>
          <w:noProof/>
        </w:rPr>
        <w:t>Het Hof van Justitie van de Europese Unie is bevoegd uitspraak te doen krachtens arbitrageclausules in door het Agentschap gesloten overeenkomsten.</w:t>
      </w:r>
    </w:p>
    <w:p>
      <w:pPr>
        <w:pStyle w:val="ManualNumPar1"/>
        <w:rPr>
          <w:noProof/>
        </w:rPr>
      </w:pPr>
      <w:r>
        <w:t>3.</w:t>
      </w:r>
      <w:r>
        <w:tab/>
      </w:r>
      <w:r>
        <w:rPr>
          <w:noProof/>
        </w:rPr>
        <w:t>In geval van niet-contractuele aansprakelijkheid vergoedt het Agentschap in overeenstemming met de algemene beginselen die de rechtsstelsels van de lidstaten gemeen hebben, alle door zijn diensten of door zijn personeelsleden bij de uitoefening van hun werkzaamheden veroorzaakte schade.</w:t>
      </w:r>
    </w:p>
    <w:p>
      <w:pPr>
        <w:pStyle w:val="ManualNumPar1"/>
        <w:rPr>
          <w:noProof/>
        </w:rPr>
      </w:pPr>
      <w:r>
        <w:t>4.</w:t>
      </w:r>
      <w:r>
        <w:tab/>
      </w:r>
      <w:r>
        <w:rPr>
          <w:noProof/>
        </w:rPr>
        <w:t>Het Hof van Justitie van de Europese Unie is bevoegd voor geschillen over de vergoeding van de in lid 3 bedoelde schade.</w:t>
      </w:r>
    </w:p>
    <w:p>
      <w:pPr>
        <w:pStyle w:val="ManualNumPar1"/>
        <w:rPr>
          <w:noProof/>
        </w:rPr>
      </w:pPr>
      <w:r>
        <w:t>5.</w:t>
      </w:r>
      <w:r>
        <w:tab/>
      </w:r>
      <w:r>
        <w:rPr>
          <w:noProof/>
        </w:rPr>
        <w:t>Op de persoonlijke aansprakelijkheid van zijn personeelsleden jegens het Agentschap zijn de bepalingen van toepassing van het statuut of van de regeling waaronder zij vallen.</w:t>
      </w:r>
    </w:p>
    <w:p>
      <w:pPr>
        <w:pStyle w:val="Titrearticle"/>
        <w:rPr>
          <w:noProof/>
          <w:color w:val="000000" w:themeColor="text1"/>
        </w:rPr>
      </w:pPr>
      <w:r>
        <w:rPr>
          <w:noProof/>
          <w:color w:val="000000" w:themeColor="text1"/>
        </w:rPr>
        <w:t xml:space="preserve">Artikel 28 — Evaluatie </w:t>
      </w:r>
    </w:p>
    <w:p>
      <w:pPr>
        <w:pStyle w:val="ManualNumPar1"/>
        <w:rPr>
          <w:noProof/>
        </w:rPr>
      </w:pPr>
      <w:r>
        <w:t>1.</w:t>
      </w:r>
      <w:r>
        <w:tab/>
      </w:r>
      <w:r>
        <w:rPr>
          <w:noProof/>
        </w:rPr>
        <w:t xml:space="preserve">Uiterlijk vijf jaar na de in artikel 37 bedoelde datum en daarna om de vijf jaar voert de Commissie een evaluatie uit in overeenstemming met de richtsnoeren van de Commissie om de prestaties van het Agentschap te toetsen aan zijn doelstellingen, mandaat en taken. Deze evaluatie richt zich in het bijzonder op de vraag of het mandaat van het Agentschap moet worden gewijzigd en op de financiële gevolgen van dergelijke wijzigingen. </w:t>
      </w:r>
    </w:p>
    <w:p>
      <w:pPr>
        <w:pStyle w:val="ManualNumPar1"/>
        <w:rPr>
          <w:noProof/>
        </w:rPr>
      </w:pPr>
      <w:r>
        <w:t>2.</w:t>
      </w:r>
      <w:r>
        <w:tab/>
      </w:r>
      <w:r>
        <w:rPr>
          <w:noProof/>
        </w:rPr>
        <w:t>Als de Commissie van oordeel is dat het voortbestaan van het Agentschap niet langer gerechtvaardigd is in het licht van zijn doelstellingen, mandaat en taken, kan zij voorstellen om deze verordening dienovereenkomstig te wijzigen of in te trekken.</w:t>
      </w:r>
    </w:p>
    <w:p>
      <w:pPr>
        <w:pStyle w:val="ManualNumPar1"/>
        <w:rPr>
          <w:noProof/>
        </w:rPr>
      </w:pPr>
      <w:r>
        <w:t>3.</w:t>
      </w:r>
      <w:r>
        <w:tab/>
      </w:r>
      <w:r>
        <w:rPr>
          <w:noProof/>
        </w:rPr>
        <w:t>De Commissie brengt bij het Europees Parlement, de Raad en de raad van bestuur verslag uit van haar evaluatiebevindingen. De bevindingen van de evaluatie worden openbaar gemaakt.</w:t>
      </w:r>
    </w:p>
    <w:p>
      <w:pPr>
        <w:pStyle w:val="Titrearticle"/>
        <w:rPr>
          <w:noProof/>
          <w:color w:val="000000" w:themeColor="text1"/>
        </w:rPr>
      </w:pPr>
      <w:r>
        <w:rPr>
          <w:noProof/>
          <w:color w:val="000000" w:themeColor="text1"/>
        </w:rPr>
        <w:t xml:space="preserve">Artikel 29 — Administratieve onderzoeken </w:t>
      </w:r>
    </w:p>
    <w:p>
      <w:pPr>
        <w:rPr>
          <w:noProof/>
          <w:color w:val="000000" w:themeColor="text1"/>
        </w:rPr>
      </w:pPr>
      <w:r>
        <w:rPr>
          <w:noProof/>
          <w:color w:val="000000" w:themeColor="text1"/>
        </w:rPr>
        <w:t>Overeenkomstig artikel 228 van het Verdrag zijn de activiteiten van het Agentschap onderworpen aan onderzoeken door de Europese Ombudsman.</w:t>
      </w:r>
    </w:p>
    <w:p>
      <w:pPr>
        <w:pStyle w:val="Titrearticle"/>
        <w:rPr>
          <w:noProof/>
          <w:color w:val="000000" w:themeColor="text1"/>
        </w:rPr>
      </w:pPr>
      <w:r>
        <w:rPr>
          <w:noProof/>
          <w:color w:val="000000" w:themeColor="text1"/>
        </w:rPr>
        <w:t>Artikel 30 — Samenwerking met derde landen en internationale organisaties</w:t>
      </w:r>
    </w:p>
    <w:p>
      <w:pPr>
        <w:pStyle w:val="ManualNumPar1"/>
        <w:rPr>
          <w:noProof/>
        </w:rPr>
      </w:pPr>
      <w:r>
        <w:t>1.</w:t>
      </w:r>
      <w:r>
        <w:tab/>
      </w:r>
      <w:r>
        <w:rPr>
          <w:noProof/>
        </w:rPr>
        <w:t xml:space="preserve">Voor zover noodzakelijk voor de verwezenlijking van de doelstellingen van deze verordening en onverminderd de respectieve bevoegdheden van de lidstaten en de instellingen van de Unie, kan het Agentschap samenwerken met de bevoegde autoriteiten van derde landen en/of met internationale organisaties. </w:t>
      </w:r>
    </w:p>
    <w:p>
      <w:pPr>
        <w:pStyle w:val="Text1"/>
        <w:rPr>
          <w:noProof/>
        </w:rPr>
      </w:pPr>
      <w:r>
        <w:rPr>
          <w:noProof/>
        </w:rPr>
        <w:t>Daartoe mag het Agentschap, onder voorbehoud van voorafgaande goedkeuring door de Commissie, werkregelingen treffen met die autoriteiten en internationale organisaties. Deze regelingen scheppen geen wettelijke verplichtingen voor de Unie en haar lidstaten.</w:t>
      </w:r>
    </w:p>
    <w:p>
      <w:pPr>
        <w:pStyle w:val="ManualNumPar1"/>
        <w:rPr>
          <w:noProof/>
        </w:rPr>
      </w:pPr>
      <w:r>
        <w:t>2.</w:t>
      </w:r>
      <w:r>
        <w:tab/>
      </w:r>
      <w:r>
        <w:rPr>
          <w:noProof/>
        </w:rPr>
        <w:t xml:space="preserve">Het Agentschap staat open voor deelname van derde landen die met de Unie overeenkomsten in die zin hebben gesloten. </w:t>
      </w:r>
    </w:p>
    <w:p>
      <w:pPr>
        <w:pStyle w:val="Text1"/>
        <w:rPr>
          <w:noProof/>
        </w:rPr>
      </w:pPr>
      <w:r>
        <w:rPr>
          <w:noProof/>
        </w:rPr>
        <w:t>Krachtens de desbetreffende bepalingen van de in lid 1 bedoelde overeenkomsten worden regelingen uitgewerkt voor met name de aard, de omvang en de werkwijze van de deelname van de betrokken derde landen aan de werkzaamheden van het Agentschap, met inbegrip van bepalingen betreffende de deelname aan initiatieven van het Agentschap, de financiële bijdragen en het personeel. Wat personeelszaken betreft, voldoen deze regelingen in elk geval aan het statuut.</w:t>
      </w:r>
    </w:p>
    <w:p>
      <w:pPr>
        <w:pStyle w:val="ManualNumPar1"/>
        <w:rPr>
          <w:noProof/>
        </w:rPr>
      </w:pPr>
      <w:r>
        <w:t>3.</w:t>
      </w:r>
      <w:r>
        <w:tab/>
      </w:r>
      <w:r>
        <w:rPr>
          <w:noProof/>
        </w:rPr>
        <w:t>De raad van bestuur stelt een strategie op voor de betrekkingen met derde landen en internationale organisaties inzake aangelegenheden waarvoor het Agentschap bevoegd is.</w:t>
      </w:r>
    </w:p>
    <w:p>
      <w:pPr>
        <w:pStyle w:val="Text1"/>
        <w:rPr>
          <w:noProof/>
          <w:color w:val="000000" w:themeColor="text1"/>
        </w:rPr>
      </w:pPr>
    </w:p>
    <w:p>
      <w:pPr>
        <w:pStyle w:val="Titrearticle"/>
        <w:rPr>
          <w:noProof/>
          <w:color w:val="000000" w:themeColor="text1"/>
        </w:rPr>
      </w:pPr>
      <w:r>
        <w:rPr>
          <w:noProof/>
          <w:color w:val="000000" w:themeColor="text1"/>
        </w:rPr>
        <w:t>Artikel 31 — Zetelovereenkomst en voorwaarden voor de werking</w:t>
      </w:r>
    </w:p>
    <w:p>
      <w:pPr>
        <w:pStyle w:val="ManualNumPar1"/>
        <w:rPr>
          <w:noProof/>
        </w:rPr>
      </w:pPr>
      <w:r>
        <w:t>1.</w:t>
      </w:r>
      <w:r>
        <w:tab/>
      </w:r>
      <w:r>
        <w:rPr>
          <w:noProof/>
        </w:rPr>
        <w:t>De regelingen betreffende de huisvesting van het Agentschap in de lidstaat van vestiging en de voorzieningen die deze lidstaat moet treffen, alsmede de bijzondere regels die in de lidstaat van vestiging van toepassing zijn op de uitvoerend directeur, de leden van de raad van bestuur, de werknemers van het Agentschap en hun gezinsleden, worden vastgelegd in een zetelovereenkomst tussen het Agentschap en de lidstaat waar de zetel is gevestigd.</w:t>
      </w:r>
    </w:p>
    <w:p>
      <w:pPr>
        <w:pStyle w:val="ManualNumPar1"/>
        <w:rPr>
          <w:noProof/>
        </w:rPr>
      </w:pPr>
      <w:r>
        <w:t>2.</w:t>
      </w:r>
      <w:r>
        <w:tab/>
      </w:r>
      <w:r>
        <w:rPr>
          <w:noProof/>
        </w:rPr>
        <w:t xml:space="preserve">De lidstaat van vestiging biedt de gunstigst mogelijke voorwaarden voor de werking van het Agentschap, waaronder meertalig, Europees gericht onderwijs en passende vervoersverbindingen. </w:t>
      </w:r>
    </w:p>
    <w:p>
      <w:pPr>
        <w:pStyle w:val="ChapterTitle"/>
        <w:rPr>
          <w:noProof/>
          <w:color w:val="000000" w:themeColor="text1"/>
        </w:rPr>
      </w:pPr>
      <w:r>
        <w:rPr>
          <w:noProof/>
          <w:color w:val="000000" w:themeColor="text1"/>
        </w:rPr>
        <w:t>Hoofdstuk VI</w:t>
      </w:r>
      <w:r>
        <w:rPr>
          <w:noProof/>
          <w:color w:val="000000" w:themeColor="text1"/>
        </w:rPr>
        <w:br/>
        <w:t>Overgangsbepalingen</w:t>
      </w:r>
    </w:p>
    <w:p>
      <w:pPr>
        <w:pStyle w:val="Titrearticle"/>
        <w:rPr>
          <w:noProof/>
          <w:color w:val="000000" w:themeColor="text1"/>
        </w:rPr>
      </w:pPr>
      <w:r>
        <w:rPr>
          <w:noProof/>
          <w:color w:val="000000" w:themeColor="text1"/>
        </w:rPr>
        <w:t>Artikel 32 — Overgangsbepalingen in verband met de raad van bestuur</w:t>
      </w:r>
    </w:p>
    <w:p>
      <w:pPr>
        <w:pStyle w:val="ManualNumPar1"/>
        <w:rPr>
          <w:noProof/>
        </w:rPr>
      </w:pPr>
      <w:r>
        <w:t>1.</w:t>
      </w:r>
      <w:r>
        <w:tab/>
      </w:r>
      <w:r>
        <w:rPr>
          <w:noProof/>
        </w:rPr>
        <w:t xml:space="preserve">De ambtstermijn van de leden van de raad van bestuur van het Agentschap zoals aangesteld op grond van artikel 6 van Verordening (EEG) nr. 1365/75 van de Raad loopt af op ... [date of entry into force of this Regulation]. </w:t>
      </w:r>
    </w:p>
    <w:p>
      <w:pPr>
        <w:pStyle w:val="ManualNumPar1"/>
        <w:rPr>
          <w:noProof/>
        </w:rPr>
      </w:pPr>
      <w:r>
        <w:t>2.</w:t>
      </w:r>
      <w:r>
        <w:tab/>
      </w:r>
      <w:r>
        <w:rPr>
          <w:noProof/>
        </w:rPr>
        <w:t>De op grond van artikel 6 van Verordening (EEG) nr. 1365/75 van de Raad opgerichte raad van bestuur oefent tijdens de periode van ...[date of entry into force of this Regulation] tot … [date of application of this Regulation] de functies van de in artikel 5 van deze verordening bedoelde raad van bestuur uit.</w:t>
      </w:r>
    </w:p>
    <w:p>
      <w:pPr>
        <w:pStyle w:val="Titrearticle"/>
        <w:rPr>
          <w:noProof/>
          <w:color w:val="000000" w:themeColor="text1"/>
        </w:rPr>
      </w:pPr>
      <w:r>
        <w:rPr>
          <w:noProof/>
          <w:color w:val="000000" w:themeColor="text1"/>
        </w:rPr>
        <w:t>Artikel 33 — Overgangsbepalingen in verband met het personeel</w:t>
      </w:r>
    </w:p>
    <w:p>
      <w:pPr>
        <w:pStyle w:val="ManualNumPar1"/>
        <w:rPr>
          <w:noProof/>
        </w:rPr>
      </w:pPr>
      <w:r>
        <w:t>1.</w:t>
      </w:r>
      <w:r>
        <w:tab/>
      </w:r>
      <w:r>
        <w:rPr>
          <w:noProof/>
        </w:rPr>
        <w:t xml:space="preserve">De directeur van het Agentschap die is benoemd op grond van artikel 8 van Verordening (EEG) nr. 1365/75 van de Raad vervult voor de resterende duur van zijn ambtstermijn de taken van de uitvoerend directeur als bepaald in artikel 11 van deze verordening. De andere voorwaarden in zijn arbeidsovereenkomst blijven ongewijzigd. </w:t>
      </w:r>
    </w:p>
    <w:p>
      <w:pPr>
        <w:pStyle w:val="ManualNumPar1"/>
        <w:rPr>
          <w:noProof/>
        </w:rPr>
      </w:pPr>
      <w:r>
        <w:t>2.</w:t>
      </w:r>
      <w:r>
        <w:tab/>
      </w:r>
      <w:r>
        <w:rPr>
          <w:noProof/>
        </w:rPr>
        <w:t xml:space="preserve">De adjunct-directeur van het Agentschap die is benoemd op grond van artikel 8 van Verordening (EEG) nr. 1365/75 van de Raad staat voor de resterende duur van zijn ambtstermijn de directeur of de uitvoerend directeur bij. </w:t>
      </w:r>
    </w:p>
    <w:p>
      <w:pPr>
        <w:pStyle w:val="ManualNumPar1"/>
        <w:rPr>
          <w:noProof/>
        </w:rPr>
      </w:pPr>
      <w:r>
        <w:t>3.</w:t>
      </w:r>
      <w:r>
        <w:tab/>
      </w:r>
      <w:r>
        <w:rPr>
          <w:noProof/>
        </w:rPr>
        <w:t xml:space="preserve">Deze verordening heeft geen gevolgen voor de rechten en verplichtingen van personeel dat op grond van Verordening (EEG) nr. 1365/75 van de Raad in dienst is genomen. </w:t>
      </w:r>
    </w:p>
    <w:p>
      <w:pPr>
        <w:pStyle w:val="Titrearticle"/>
        <w:rPr>
          <w:noProof/>
          <w:color w:val="000000" w:themeColor="text1"/>
        </w:rPr>
      </w:pPr>
      <w:r>
        <w:rPr>
          <w:noProof/>
          <w:color w:val="000000" w:themeColor="text1"/>
        </w:rPr>
        <w:t>Artikel 34 — Overgangsbepalingen inzake de begroting</w:t>
      </w:r>
    </w:p>
    <w:p>
      <w:pPr>
        <w:rPr>
          <w:noProof/>
          <w:color w:val="000000" w:themeColor="text1"/>
        </w:rPr>
      </w:pPr>
      <w:r>
        <w:rPr>
          <w:noProof/>
          <w:color w:val="000000" w:themeColor="text1"/>
        </w:rPr>
        <w:t>De kwijtingsprocedure met betrekking tot de begrotingen die zijn goedgekeurd op grond van artikel 16 van Verordening (EEG) nr. 1365/75 wordt uitgevoerd overeenkomstig de bij die verordening vastgestelde voorschriften.</w:t>
      </w:r>
    </w:p>
    <w:p>
      <w:pPr>
        <w:pStyle w:val="ChapterTitle"/>
        <w:rPr>
          <w:noProof/>
          <w:color w:val="000000" w:themeColor="text1"/>
        </w:rPr>
      </w:pPr>
      <w:r>
        <w:rPr>
          <w:noProof/>
          <w:color w:val="000000" w:themeColor="text1"/>
        </w:rPr>
        <w:t>Hoofdstuk VII</w:t>
      </w:r>
      <w:r>
        <w:rPr>
          <w:noProof/>
          <w:color w:val="000000" w:themeColor="text1"/>
        </w:rPr>
        <w:br/>
        <w:t xml:space="preserve">Slotbepalingen </w:t>
      </w:r>
    </w:p>
    <w:p>
      <w:pPr>
        <w:pStyle w:val="Titrearticle"/>
        <w:rPr>
          <w:noProof/>
          <w:color w:val="000000" w:themeColor="text1"/>
        </w:rPr>
      </w:pPr>
      <w:r>
        <w:rPr>
          <w:noProof/>
          <w:color w:val="000000" w:themeColor="text1"/>
        </w:rPr>
        <w:t xml:space="preserve">Artikel 35 - Intrekking </w:t>
      </w:r>
    </w:p>
    <w:p>
      <w:pPr>
        <w:rPr>
          <w:noProof/>
          <w:color w:val="000000" w:themeColor="text1"/>
        </w:rPr>
      </w:pPr>
      <w:r>
        <w:rPr>
          <w:noProof/>
          <w:color w:val="000000" w:themeColor="text1"/>
        </w:rPr>
        <w:t xml:space="preserve">Verordening (EEG) nr. 1365/75 wordt met ingang van [date of application of this Regulation] ingetrokken en alle verwijzingen naar de ingetrokken verordening worden beschouwd als verwijzingen naar deze verordening.  </w:t>
      </w:r>
    </w:p>
    <w:p>
      <w:pPr>
        <w:pStyle w:val="Titrearticle"/>
        <w:rPr>
          <w:noProof/>
          <w:color w:val="000000" w:themeColor="text1"/>
        </w:rPr>
      </w:pPr>
      <w:r>
        <w:rPr>
          <w:noProof/>
          <w:color w:val="000000" w:themeColor="text1"/>
        </w:rPr>
        <w:t xml:space="preserve">Artikel 36 — Het van kracht blijven van door het Agentschap vastgestelde interne voorschriften </w:t>
      </w:r>
    </w:p>
    <w:p>
      <w:pPr>
        <w:rPr>
          <w:noProof/>
          <w:color w:val="000000" w:themeColor="text1"/>
        </w:rPr>
      </w:pPr>
      <w:r>
        <w:rPr>
          <w:noProof/>
          <w:color w:val="000000" w:themeColor="text1"/>
        </w:rPr>
        <w:t xml:space="preserve">De door de raad van bestuur op grond van Verordening (EEG) 1365/75 vastgestelde interne voorschriften blijven van kracht na [date of application of this Regulation], tenzij de raad van bestuur bij de uitvoering van deze verordening anders bepaalt. </w:t>
      </w:r>
    </w:p>
    <w:p>
      <w:pPr>
        <w:pStyle w:val="Titrearticle"/>
        <w:rPr>
          <w:noProof/>
          <w:color w:val="000000" w:themeColor="text1"/>
        </w:rPr>
      </w:pPr>
      <w:r>
        <w:rPr>
          <w:noProof/>
          <w:color w:val="000000" w:themeColor="text1"/>
        </w:rPr>
        <w:t>Artikel 37 – Inwerkingtreding</w:t>
      </w:r>
    </w:p>
    <w:p>
      <w:pPr>
        <w:pStyle w:val="ManualNumPar1"/>
        <w:rPr>
          <w:noProof/>
        </w:rPr>
      </w:pPr>
      <w:r>
        <w:t>1.</w:t>
      </w:r>
      <w:r>
        <w:tab/>
      </w:r>
      <w:r>
        <w:rPr>
          <w:noProof/>
        </w:rPr>
        <w:t xml:space="preserve">Deze verordening treedt in werking op de twintigste dag na die van de bekendmaking ervan in het </w:t>
      </w:r>
      <w:r>
        <w:rPr>
          <w:i/>
          <w:noProof/>
        </w:rPr>
        <w:t>Publicatieblad van de Europese Unie</w:t>
      </w:r>
      <w:r>
        <w:rPr>
          <w:noProof/>
        </w:rPr>
        <w:t>.</w:t>
      </w:r>
    </w:p>
    <w:p>
      <w:pPr>
        <w:pStyle w:val="ManualNumPar1"/>
        <w:rPr>
          <w:noProof/>
        </w:rPr>
      </w:pPr>
      <w:r>
        <w:t>2.</w:t>
      </w:r>
      <w:r>
        <w:tab/>
      </w:r>
      <w:r>
        <w:rPr>
          <w:noProof/>
        </w:rPr>
        <w:t>Zij is van toepassing met ingang van [date of application].</w:t>
      </w:r>
    </w:p>
    <w:p>
      <w:pPr>
        <w:pStyle w:val="ManualNumPar1"/>
        <w:rPr>
          <w:noProof/>
        </w:rPr>
      </w:pPr>
      <w:r>
        <w:t>3.</w:t>
      </w:r>
      <w:r>
        <w:tab/>
      </w:r>
      <w:r>
        <w:rPr>
          <w:noProof/>
        </w:rPr>
        <w:t>De artikelen 32, 33 en 34 zijn echter van toepassing vanaf [the date of entry into force of this Regulation].</w:t>
      </w:r>
    </w:p>
    <w:p>
      <w:pPr>
        <w:pStyle w:val="ManualNumPar1"/>
        <w:rPr>
          <w:noProof/>
        </w:rPr>
      </w:pPr>
      <w:r>
        <w:t>4.</w:t>
      </w:r>
      <w:r>
        <w:tab/>
      </w:r>
      <w:r>
        <w:rPr>
          <w:noProof/>
        </w:rPr>
        <w:t>Deze verordening is verbindend in al haar onderdelen en is rechtstreeks toepasselijk in de lidstaten overeenkomstig de Verdragen.</w:t>
      </w:r>
    </w:p>
    <w:p>
      <w:pPr>
        <w:pStyle w:val="Fait"/>
        <w:rPr>
          <w:noProof/>
        </w:rPr>
      </w:pPr>
      <w:r>
        <w:rPr>
          <w:noProof/>
        </w:rP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Geraamde gevolgen voor de personele middelen van Eurofound</w:t>
      </w:r>
    </w:p>
    <w:p>
      <w:pPr>
        <w:pStyle w:val="ManualHeading3"/>
        <w:rPr>
          <w:noProof/>
        </w:rPr>
      </w:pPr>
      <w:r>
        <w:rPr>
          <w:noProof/>
        </w:rPr>
        <w:tab/>
        <w:t>3.2.3.</w:t>
      </w:r>
      <w:r>
        <w:rPr>
          <w:noProof/>
        </w:rPr>
        <w:tab/>
        <w:t>Verenigbaarheid met het huidige meerjarige financiële kader</w:t>
      </w:r>
    </w:p>
    <w:p>
      <w:pPr>
        <w:pStyle w:val="ManualHeading3"/>
        <w:rPr>
          <w:noProof/>
        </w:rPr>
      </w:pPr>
      <w:r>
        <w:rPr>
          <w:noProof/>
        </w:rPr>
        <w:tab/>
        <w:t>3.2.4.</w:t>
      </w:r>
      <w:r>
        <w:rPr>
          <w:noProof/>
        </w:rPr>
        <w:tab/>
        <w:t xml:space="preserve">Bijdragen van derden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pPr>
        <w:jc w:val="center"/>
        <w:rPr>
          <w:noProof/>
        </w:rPr>
      </w:pPr>
      <w:r>
        <w:rPr>
          <w:b/>
          <w:noProof/>
          <w:u w:val="single"/>
        </w:rPr>
        <w:t>FINANCIEEL MEMORANDUM</w:t>
      </w:r>
    </w:p>
    <w:p>
      <w:pPr>
        <w:pStyle w:val="ManualHeading1"/>
        <w:rPr>
          <w:bCs/>
          <w:noProof/>
          <w:szCs w:val="24"/>
        </w:rPr>
      </w:pPr>
      <w:r>
        <w:t>1.</w:t>
      </w:r>
      <w:r>
        <w:tab/>
      </w:r>
      <w:r>
        <w:rPr>
          <w:noProof/>
        </w:rPr>
        <w:t xml:space="preserve">KADER VAN HET VOORSTEL/INITIATIEF </w:t>
      </w:r>
    </w:p>
    <w:p>
      <w:pPr>
        <w:pStyle w:val="ManualHeading2"/>
        <w:rPr>
          <w:bCs/>
          <w:noProof/>
          <w:szCs w:val="24"/>
        </w:rPr>
      </w:pPr>
      <w:r>
        <w:t>1.1.</w:t>
      </w:r>
      <w:r>
        <w:tab/>
      </w:r>
      <w:r>
        <w:rPr>
          <w:noProof/>
        </w:rPr>
        <w:t xml:space="preserve">Benaming van het voorstel/initiatief </w:t>
      </w:r>
    </w:p>
    <w:p>
      <w:pPr>
        <w:pStyle w:val="Text1"/>
        <w:pBdr>
          <w:top w:val="single" w:sz="4" w:space="1" w:color="auto"/>
          <w:left w:val="single" w:sz="4" w:space="4" w:color="auto"/>
          <w:bottom w:val="single" w:sz="4" w:space="1" w:color="auto"/>
          <w:right w:val="single" w:sz="4" w:space="4" w:color="auto"/>
        </w:pBdr>
      </w:pPr>
      <w:r>
        <w:t>Voorstel voor een Verordening van het Europees Parlement en de Raad tot oprichting van de Europese Stichting tot verbetering van de levens- en arbeidsomstandigheden (Eurofound)</w:t>
      </w:r>
    </w:p>
    <w:p>
      <w:pPr>
        <w:pStyle w:val="ManualHeading2"/>
        <w:rPr>
          <w:bCs/>
          <w:noProof/>
          <w:szCs w:val="24"/>
        </w:rPr>
      </w:pPr>
      <w:r>
        <w:t>1.2.</w:t>
      </w:r>
      <w:r>
        <w:tab/>
      </w:r>
      <w:r>
        <w:rPr>
          <w:noProof/>
        </w:rPr>
        <w:t>Betrokken beleidsterrein(en) in de ABM/ABB-structuur</w:t>
      </w:r>
      <w:r>
        <w:rPr>
          <w:rStyle w:val="FootnoteReference"/>
          <w:noProof/>
        </w:rPr>
        <w:footnoteReference w:id="13"/>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04: Werkgelegenheid, sociale zaken en inclusie</w:t>
      </w:r>
    </w:p>
    <w:p>
      <w:pPr>
        <w:pBdr>
          <w:top w:val="single" w:sz="4" w:space="1" w:color="auto"/>
          <w:left w:val="single" w:sz="4" w:space="4" w:color="auto"/>
          <w:bottom w:val="single" w:sz="4" w:space="1" w:color="auto"/>
          <w:right w:val="single" w:sz="4" w:space="4" w:color="auto"/>
        </w:pBdr>
        <w:ind w:left="850"/>
        <w:rPr>
          <w:noProof/>
        </w:rPr>
      </w:pPr>
      <w:r>
        <w:rPr>
          <w:noProof/>
        </w:rPr>
        <w:t>04.03: Werkgelegenheid, sociale zaken en inclusie</w:t>
      </w:r>
    </w:p>
    <w:p>
      <w:pPr>
        <w:pBdr>
          <w:top w:val="single" w:sz="4" w:space="1" w:color="auto"/>
          <w:left w:val="single" w:sz="4" w:space="4" w:color="auto"/>
          <w:bottom w:val="single" w:sz="4" w:space="1" w:color="auto"/>
          <w:right w:val="single" w:sz="4" w:space="4" w:color="auto"/>
        </w:pBdr>
        <w:ind w:left="850"/>
        <w:rPr>
          <w:noProof/>
        </w:rPr>
      </w:pPr>
      <w:r>
        <w:rPr>
          <w:noProof/>
        </w:rPr>
        <w:t>04 03 11: Europese Stichting tot verbetering van de levens- en arbeidsomstandigheden</w:t>
      </w:r>
    </w:p>
    <w:p>
      <w:pPr>
        <w:pStyle w:val="ManualHeading2"/>
        <w:rPr>
          <w:bCs/>
          <w:noProof/>
          <w:szCs w:val="24"/>
        </w:rPr>
      </w:pPr>
      <w:r>
        <w:t>1.3.</w:t>
      </w:r>
      <w:r>
        <w:tab/>
      </w:r>
      <w:r>
        <w:rPr>
          <w:noProof/>
        </w:rPr>
        <w:t xml:space="preserve">Aard van het voorstel/initiatief </w:t>
      </w:r>
    </w:p>
    <w:p>
      <w:pPr>
        <w:pStyle w:val="Text1"/>
        <w:rPr>
          <w:b/>
          <w:noProof/>
        </w:rPr>
      </w:pPr>
      <w:r>
        <w:rPr>
          <w:noProof/>
        </w:rPr>
        <w:sym w:font="Wingdings" w:char="F0A8"/>
      </w:r>
      <w:r>
        <w:rPr>
          <w:b/>
          <w:i/>
          <w:noProof/>
        </w:rPr>
        <w:t xml:space="preserve"> </w:t>
      </w:r>
      <w:r>
        <w:rPr>
          <w:noProof/>
        </w:rPr>
        <w:t xml:space="preserve">Het voorstel/initiatief betreft </w:t>
      </w:r>
      <w:r>
        <w:rPr>
          <w:b/>
          <w:noProof/>
        </w:rPr>
        <w:t xml:space="preserve">een nieuwe actie </w:t>
      </w:r>
    </w:p>
    <w:p>
      <w:pPr>
        <w:pStyle w:val="Text1"/>
        <w:rPr>
          <w:noProof/>
          <w:sz w:val="22"/>
        </w:rPr>
      </w:pPr>
      <w:r>
        <w:rPr>
          <w:noProof/>
        </w:rPr>
        <w:sym w:font="Wingdings" w:char="F0A8"/>
      </w:r>
      <w:r>
        <w:rPr>
          <w:i/>
          <w:noProof/>
        </w:rPr>
        <w:t xml:space="preserve"> </w:t>
      </w:r>
      <w:r>
        <w:rPr>
          <w:noProof/>
        </w:rPr>
        <w:t xml:space="preserve">Het voorstel/initiatief betreft </w:t>
      </w:r>
      <w:r>
        <w:rPr>
          <w:b/>
          <w:noProof/>
        </w:rPr>
        <w:t>een nieuwe actie na een proefproject/een voorbereidende actie</w:t>
      </w:r>
      <w:r>
        <w:rPr>
          <w:rStyle w:val="FootnoteReference"/>
          <w:b/>
          <w:noProof/>
        </w:rPr>
        <w:footnoteReference w:id="14"/>
      </w:r>
      <w:r>
        <w:rPr>
          <w:noProof/>
          <w:sz w:val="22"/>
        </w:rPr>
        <w:t xml:space="preserve"> </w:t>
      </w:r>
    </w:p>
    <w:p>
      <w:pPr>
        <w:pStyle w:val="Text1"/>
        <w:rPr>
          <w:noProof/>
        </w:rPr>
      </w:pPr>
      <w:r>
        <w:rPr>
          <w:noProof/>
        </w:rPr>
        <w:sym w:font="Wingdings" w:char="F078"/>
      </w:r>
      <w:r>
        <w:rPr>
          <w:i/>
          <w:noProof/>
        </w:rPr>
        <w:t xml:space="preserve"> </w:t>
      </w:r>
      <w:r>
        <w:rPr>
          <w:noProof/>
        </w:rPr>
        <w:t xml:space="preserve">Het voorstel/initiatief betreft </w:t>
      </w:r>
      <w:r>
        <w:rPr>
          <w:b/>
          <w:noProof/>
        </w:rPr>
        <w:t>de verlenging van een bestaande actie</w:t>
      </w:r>
      <w:r>
        <w:rPr>
          <w:noProof/>
        </w:rPr>
        <w:t xml:space="preserve"> </w:t>
      </w:r>
    </w:p>
    <w:p>
      <w:pPr>
        <w:pStyle w:val="Text1"/>
        <w:rPr>
          <w:noProof/>
        </w:rPr>
      </w:pPr>
      <w:r>
        <w:rPr>
          <w:noProof/>
        </w:rPr>
        <w:sym w:font="Wingdings" w:char="F0A8"/>
      </w:r>
      <w:r>
        <w:rPr>
          <w:i/>
          <w:noProof/>
        </w:rPr>
        <w:t xml:space="preserve"> </w:t>
      </w:r>
      <w:r>
        <w:rPr>
          <w:noProof/>
        </w:rPr>
        <w:t xml:space="preserve">Het voorstel/initiatief betreft </w:t>
      </w:r>
      <w:r>
        <w:rPr>
          <w:b/>
          <w:noProof/>
        </w:rPr>
        <w:t>een actie die wordt omgebogen naar een nieuwe actie</w:t>
      </w:r>
      <w:r>
        <w:rPr>
          <w:noProof/>
        </w:rPr>
        <w:t xml:space="preserve"> </w:t>
      </w:r>
    </w:p>
    <w:p>
      <w:pPr>
        <w:pStyle w:val="ManualHeading2"/>
        <w:rPr>
          <w:bCs/>
          <w:noProof/>
          <w:szCs w:val="24"/>
        </w:rPr>
      </w:pPr>
      <w:r>
        <w:t>1.4.</w:t>
      </w:r>
      <w:r>
        <w:tab/>
      </w:r>
      <w:r>
        <w:rPr>
          <w:noProof/>
        </w:rPr>
        <w:t>Doelstelling(en)</w:t>
      </w:r>
    </w:p>
    <w:p>
      <w:pPr>
        <w:pStyle w:val="ManualHeading3"/>
        <w:rPr>
          <w:bCs/>
          <w:noProof/>
          <w:szCs w:val="24"/>
        </w:rPr>
      </w:pPr>
      <w:r>
        <w:t>1.4.1.</w:t>
      </w:r>
      <w:r>
        <w:tab/>
      </w:r>
      <w:r>
        <w:rPr>
          <w:noProof/>
        </w:rPr>
        <w:t xml:space="preserve">De met het voorstel/initiatief beoogde strategische meerjarendoelstelling(en) van de Commissie </w:t>
      </w:r>
    </w:p>
    <w:p>
      <w:pPr>
        <w:pBdr>
          <w:top w:val="single" w:sz="4" w:space="1" w:color="auto"/>
          <w:left w:val="single" w:sz="4" w:space="4" w:color="auto"/>
          <w:bottom w:val="single" w:sz="4" w:space="1" w:color="auto"/>
          <w:right w:val="single" w:sz="4" w:space="4" w:color="auto"/>
        </w:pBdr>
        <w:ind w:left="850"/>
        <w:rPr>
          <w:noProof/>
        </w:rPr>
      </w:pPr>
      <w:r>
        <w:rPr>
          <w:noProof/>
        </w:rPr>
        <w:t>Doelstellingen/toegevoegde waarde voor de EU overeenkomstig de Europa 2020-strategie</w:t>
      </w:r>
    </w:p>
    <w:p>
      <w:pPr>
        <w:pBdr>
          <w:top w:val="single" w:sz="4" w:space="1" w:color="auto"/>
          <w:left w:val="single" w:sz="4" w:space="4" w:color="auto"/>
          <w:bottom w:val="single" w:sz="4" w:space="1" w:color="auto"/>
          <w:right w:val="single" w:sz="4" w:space="4" w:color="auto"/>
        </w:pBdr>
        <w:ind w:left="850"/>
        <w:rPr>
          <w:noProof/>
        </w:rPr>
      </w:pPr>
      <w:r>
        <w:rPr>
          <w:noProof/>
        </w:rPr>
        <w:t>Een nieuwe stimulans voor banen, groei en investeringen</w:t>
      </w:r>
    </w:p>
    <w:p>
      <w:pPr>
        <w:pBdr>
          <w:top w:val="single" w:sz="4" w:space="1" w:color="auto"/>
          <w:left w:val="single" w:sz="4" w:space="4" w:color="auto"/>
          <w:bottom w:val="single" w:sz="4" w:space="1" w:color="auto"/>
          <w:right w:val="single" w:sz="4" w:space="4" w:color="auto"/>
        </w:pBdr>
        <w:ind w:left="850"/>
        <w:rPr>
          <w:noProof/>
        </w:rPr>
      </w:pPr>
      <w:r>
        <w:rPr>
          <w:noProof/>
        </w:rPr>
        <w:t>Een diepere en billijkere economische en monetaire unie</w:t>
      </w:r>
    </w:p>
    <w:p>
      <w:pPr>
        <w:pStyle w:val="ManualHeading3"/>
        <w:rPr>
          <w:bCs/>
          <w:noProof/>
          <w:szCs w:val="24"/>
        </w:rPr>
      </w:pPr>
      <w:r>
        <w:t>1.4.2.</w:t>
      </w:r>
      <w:r>
        <w:tab/>
      </w:r>
      <w:r>
        <w:rPr>
          <w:noProof/>
        </w:rPr>
        <w:t xml:space="preserve">Specifieke doelstelling(en) en betrokken ABM/ABB-activiteit(en) </w:t>
      </w:r>
    </w:p>
    <w:p>
      <w:pPr>
        <w:pStyle w:val="Text1"/>
        <w:pBdr>
          <w:top w:val="single" w:sz="4" w:space="1" w:color="auto"/>
          <w:left w:val="single" w:sz="4" w:space="4" w:color="auto"/>
          <w:bottom w:val="single" w:sz="4" w:space="1" w:color="auto"/>
          <w:right w:val="single" w:sz="4" w:space="4" w:color="auto"/>
        </w:pBdr>
        <w:rPr>
          <w:noProof/>
        </w:rPr>
      </w:pPr>
      <w:r>
        <w:rPr>
          <w:noProof/>
          <w:u w:val="single"/>
        </w:rPr>
        <w:t>Specifieke doelstelling nr.</w:t>
      </w:r>
    </w:p>
    <w:p>
      <w:pPr>
        <w:pBdr>
          <w:top w:val="single" w:sz="4" w:space="1" w:color="auto"/>
          <w:left w:val="single" w:sz="4" w:space="4" w:color="auto"/>
          <w:bottom w:val="single" w:sz="4" w:space="1" w:color="auto"/>
          <w:right w:val="single" w:sz="4" w:space="4" w:color="auto"/>
        </w:pBdr>
        <w:ind w:left="850"/>
        <w:rPr>
          <w:noProof/>
        </w:rPr>
      </w:pPr>
      <w:r>
        <w:rPr>
          <w:noProof/>
        </w:rPr>
        <w:t xml:space="preserve">Ontwikkeling en verspreiding van kennis om de Commissie, andere EU-instellingen en -organen, de lidstaten en de sociale partners bij te staan bij de ontwikkeling en de uitvoering van hun beleid dat erop is gericht de levens- en arbeidsomstandigheden te verbeteren, bij de ondersteuning van het werkgelegenheidsbeleid en bij het bevorderen van de dialoog tussen werkgevers en werknemers.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Betrokken AMB/ABB-activiteit(en)</w:t>
      </w:r>
    </w:p>
    <w:p>
      <w:pPr>
        <w:pBdr>
          <w:top w:val="single" w:sz="4" w:space="1" w:color="auto"/>
          <w:left w:val="single" w:sz="4" w:space="4" w:color="auto"/>
          <w:bottom w:val="single" w:sz="4" w:space="1" w:color="auto"/>
          <w:right w:val="single" w:sz="4" w:space="4" w:color="auto"/>
        </w:pBdr>
        <w:ind w:left="850"/>
        <w:rPr>
          <w:noProof/>
        </w:rPr>
      </w:pPr>
      <w:r>
        <w:rPr>
          <w:noProof/>
        </w:rPr>
        <w:t>040311 — Europese Stichting tot verbetering van de levens- en arbeidsomstandigheden — Bijdrage onder de titels 1, 2 en 3.</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rPr>
          <w:noProof/>
        </w:rPr>
        <w:br w:type="page"/>
      </w:r>
      <w:r>
        <w:t>1.4.3.</w:t>
      </w:r>
      <w:r>
        <w:tab/>
      </w:r>
      <w:r>
        <w:rPr>
          <w:noProof/>
        </w:rPr>
        <w:t>Verwacht(e) resulta(a)t(en) en gevolg(en)</w:t>
      </w:r>
    </w:p>
    <w:p>
      <w:pPr>
        <w:pStyle w:val="Text1"/>
        <w:rPr>
          <w:i/>
          <w:noProof/>
          <w:sz w:val="20"/>
        </w:rPr>
      </w:pPr>
      <w:r>
        <w:rPr>
          <w:i/>
          <w:noProof/>
          <w:sz w:val="20"/>
        </w:rPr>
        <w:t>Vermeld de gevolgen die het voorstel/initiatief zou moeten hebben op de begunstigden/doelgroepen.</w:t>
      </w:r>
    </w:p>
    <w:p>
      <w:pPr>
        <w:pBdr>
          <w:top w:val="single" w:sz="4" w:space="1" w:color="auto"/>
          <w:left w:val="single" w:sz="4" w:space="4" w:color="auto"/>
          <w:bottom w:val="single" w:sz="4" w:space="1" w:color="auto"/>
          <w:right w:val="single" w:sz="4" w:space="4" w:color="auto"/>
        </w:pBdr>
        <w:ind w:left="850"/>
        <w:rPr>
          <w:noProof/>
        </w:rPr>
      </w:pPr>
      <w:r>
        <w:rPr>
          <w:noProof/>
        </w:rPr>
        <w:t>De missie van Eurofound is kennis te bieden om bij te dragen aan de ontwikkeling van sociaal en arbeidsgerelateerd beleid.</w:t>
      </w:r>
    </w:p>
    <w:p>
      <w:pPr>
        <w:pBdr>
          <w:top w:val="single" w:sz="4" w:space="1" w:color="auto"/>
          <w:left w:val="single" w:sz="4" w:space="4" w:color="auto"/>
          <w:bottom w:val="single" w:sz="4" w:space="1" w:color="auto"/>
          <w:right w:val="single" w:sz="4" w:space="4" w:color="auto"/>
        </w:pBdr>
        <w:ind w:left="850"/>
        <w:rPr>
          <w:noProof/>
        </w:rPr>
      </w:pPr>
      <w:r>
        <w:rPr>
          <w:noProof/>
        </w:rPr>
        <w:t>Eurofound adviseert de Europese instellingen en verstrekt informatie aan beleidsmakers bij regeringen, vakbonden en werkgeversorganisaties. Die tripartiete aanpak wordt weerspiegeld in de structuur van zijn raad van bestuur en vormt een duidelijke meerwaarde. Die aanpak vormt het fundament voor het belang van de werkzaamheden van Eurofound en voor de geloofwaardigheid van de aan beleidsmakers verstrekte inbreng.</w:t>
      </w:r>
    </w:p>
    <w:p>
      <w:pPr>
        <w:pBdr>
          <w:top w:val="single" w:sz="4" w:space="1" w:color="auto"/>
          <w:left w:val="single" w:sz="4" w:space="4" w:color="auto"/>
          <w:bottom w:val="single" w:sz="4" w:space="1" w:color="auto"/>
          <w:right w:val="single" w:sz="4" w:space="4" w:color="auto"/>
        </w:pBdr>
        <w:ind w:left="850"/>
        <w:rPr>
          <w:noProof/>
        </w:rPr>
      </w:pPr>
      <w:r>
        <w:rPr>
          <w:noProof/>
        </w:rPr>
        <w:t>De belangrijkste doelgroepen van Eurofound bestaan uit overheden, sociale partners en personen die betrokken zijn bij de vorming van het sociaal beleid op EU-niveau. Door onderzoek te koppelen aan beleidsoverwegingen beoogt Eurofound relevante informatie te bieden voor personen die het beleid ontwerpen en uitvoeren. Eurofound deelt zijn bevindingen ook mee aan de Europese burger via zijn website www.eurofound.europa.eu.</w:t>
      </w:r>
    </w:p>
    <w:p>
      <w:pPr>
        <w:pBdr>
          <w:top w:val="single" w:sz="4" w:space="1" w:color="auto"/>
          <w:left w:val="single" w:sz="4" w:space="4" w:color="auto"/>
          <w:bottom w:val="single" w:sz="4" w:space="1" w:color="auto"/>
          <w:right w:val="single" w:sz="4" w:space="4" w:color="auto"/>
        </w:pBdr>
        <w:ind w:left="850"/>
        <w:rPr>
          <w:noProof/>
        </w:rPr>
      </w:pPr>
      <w:r>
        <w:rPr>
          <w:noProof/>
        </w:rPr>
        <w:t>Eurofound draagt bij door voort te bouwen op de kerngebieden van deskundigheid die het heeft ontwikkeld. Het Agentschap staat bekend voor zijn solide kennisbasis op het gebied van arbeidsomstandigheden. Het is ook het eerste aanspreekpunt voor vergelijkende informatie in verband met arbeidsverhoudingen en sociale dialoog in de EU en staat bekend voor zijn grondige kennis van problemen in verband met levensomstandigheden en levenskwaliteit. Naar aanleiding van de conclusies van de Europese Raad van Nice werkt Eurofound sinds 2001 ook aan de ontwikkeling van een ander deskundigheidsgebied, namelijk structurele veranderingen en herstructurering.</w:t>
      </w:r>
    </w:p>
    <w:p>
      <w:pPr>
        <w:pBdr>
          <w:top w:val="single" w:sz="4" w:space="1" w:color="auto"/>
          <w:left w:val="single" w:sz="4" w:space="4" w:color="auto"/>
          <w:bottom w:val="single" w:sz="4" w:space="1" w:color="auto"/>
          <w:right w:val="single" w:sz="4" w:space="4" w:color="auto"/>
        </w:pBdr>
        <w:ind w:left="850"/>
        <w:rPr>
          <w:noProof/>
        </w:rPr>
      </w:pPr>
      <w:r>
        <w:rPr>
          <w:noProof/>
        </w:rPr>
        <w:t>Het Agentschap streeft ernaar wetenschappelijk verantwoorde en objectieve informatie van de hoogst mogelijke kwaliteit te bieden op zijn deskundigheidsgebieden. Het idee van Eurofound is dat die kennis wordt benut voor de ontwikkeling van doeltreffend beleid dat leidt tot de verbetering van de levens- en arbeidskwaliteit in een concurrerend en billijk Europa.</w:t>
      </w:r>
    </w:p>
    <w:p>
      <w:pPr>
        <w:pStyle w:val="ManualHeading3"/>
        <w:rPr>
          <w:bCs/>
          <w:noProof/>
          <w:szCs w:val="24"/>
        </w:rPr>
      </w:pPr>
      <w:r>
        <w:t>1.4.4.</w:t>
      </w:r>
      <w:r>
        <w:tab/>
      </w:r>
      <w:r>
        <w:rPr>
          <w:noProof/>
        </w:rPr>
        <w:t xml:space="preserve">Resultaat- en effectindicatoren </w:t>
      </w:r>
    </w:p>
    <w:p>
      <w:pPr>
        <w:pStyle w:val="Text1"/>
        <w:rPr>
          <w:i/>
          <w:noProof/>
          <w:sz w:val="20"/>
        </w:rPr>
      </w:pPr>
      <w:r>
        <w:rPr>
          <w:i/>
          <w:noProof/>
          <w:sz w:val="20"/>
        </w:rPr>
        <w:t>Vermeld de indicatoren aan de hand waarvan kan worden nagegaan in hoeverre het voorstel/initiatief is uitgevoerd.</w:t>
      </w:r>
    </w:p>
    <w:p>
      <w:pPr>
        <w:pBdr>
          <w:top w:val="single" w:sz="4" w:space="1" w:color="auto"/>
          <w:left w:val="single" w:sz="4" w:space="4" w:color="auto"/>
          <w:bottom w:val="single" w:sz="4" w:space="1" w:color="auto"/>
          <w:right w:val="single" w:sz="4" w:space="4" w:color="auto"/>
        </w:pBdr>
        <w:ind w:left="850"/>
        <w:rPr>
          <w:noProof/>
        </w:rPr>
      </w:pPr>
      <w:r>
        <w:rPr>
          <w:noProof/>
        </w:rPr>
        <w:t xml:space="preserve">Er is al een alomvattend systeem voorhanden voor toezicht en evaluatie van de meerjarenwerkprogramma's, zowel vooraf als achteraf. Dat zal worden aangevuld met de evaluatie en toetsing die om de vijf jaar door de Commissie wordt uitgevoerd. </w:t>
      </w:r>
    </w:p>
    <w:p>
      <w:pPr>
        <w:pStyle w:val="ManualHeading2"/>
        <w:rPr>
          <w:bCs/>
          <w:noProof/>
          <w:szCs w:val="24"/>
        </w:rPr>
      </w:pPr>
      <w:r>
        <w:t>1.5.</w:t>
      </w:r>
      <w:r>
        <w:tab/>
      </w:r>
      <w:r>
        <w:rPr>
          <w:noProof/>
        </w:rPr>
        <w:t xml:space="preserve">Motivering van het voorstel/initiatief </w:t>
      </w:r>
    </w:p>
    <w:p>
      <w:pPr>
        <w:pStyle w:val="ManualHeading3"/>
        <w:rPr>
          <w:bCs/>
          <w:noProof/>
          <w:szCs w:val="24"/>
        </w:rPr>
      </w:pPr>
      <w:r>
        <w:t>1.5.1.</w:t>
      </w:r>
      <w:r>
        <w:tab/>
      </w:r>
      <w:r>
        <w:rPr>
          <w:noProof/>
        </w:rPr>
        <w:t xml:space="preserve">Behoefte(n) waarin op korte of lange termijn moet worden voorzien </w:t>
      </w:r>
    </w:p>
    <w:p>
      <w:pPr>
        <w:pBdr>
          <w:top w:val="single" w:sz="4" w:space="1" w:color="auto"/>
          <w:left w:val="single" w:sz="4" w:space="4" w:color="auto"/>
          <w:bottom w:val="single" w:sz="4" w:space="1" w:color="auto"/>
          <w:right w:val="single" w:sz="4" w:space="4" w:color="auto"/>
        </w:pBdr>
        <w:ind w:left="850"/>
        <w:rPr>
          <w:noProof/>
        </w:rPr>
      </w:pPr>
      <w:r>
        <w:rPr>
          <w:noProof/>
        </w:rPr>
        <w:t>Artikel 151 VWEU: "De Unie [..] stellen zich [..] ten doel de bevordering van de werkgelegenheid, de gestage verbetering van de levensomstandigheden en de arbeidsvoorwaarden...."</w:t>
      </w:r>
    </w:p>
    <w:p>
      <w:pPr>
        <w:pBdr>
          <w:top w:val="single" w:sz="4" w:space="1" w:color="auto"/>
          <w:left w:val="single" w:sz="4" w:space="4" w:color="auto"/>
          <w:bottom w:val="single" w:sz="4" w:space="1" w:color="auto"/>
          <w:right w:val="single" w:sz="4" w:space="4" w:color="auto"/>
        </w:pBdr>
        <w:ind w:left="850"/>
        <w:rPr>
          <w:noProof/>
        </w:rPr>
      </w:pPr>
      <w:r>
        <w:rPr>
          <w:noProof/>
        </w:rPr>
        <w:t>De oprichtingsverordening van Eurofound definieert de rol en doelstellingen als volgt: "De Stichting heeft als opdracht betere levens - en arbeidsomstandigheden uit te werken en te verwezenlijken door middel van een actie ter ontwikkeling en verspreiding van de kennis die deze evolutie kan bevorderen. Met het oog daarop heeft de Stichting tot taak om, op basis van de praktische ervaring, studies over de verbetering van het leefklimaat en de arbeidsomstandigheden op middellange en lange termijn te ontwikkelen en uit te diepen, en de factoren die veranderingen kunnen bewerkstelligen op te sporen."</w:t>
      </w:r>
    </w:p>
    <w:p>
      <w:pPr>
        <w:pBdr>
          <w:top w:val="single" w:sz="4" w:space="1" w:color="auto"/>
          <w:left w:val="single" w:sz="4" w:space="4" w:color="auto"/>
          <w:bottom w:val="single" w:sz="4" w:space="1" w:color="auto"/>
          <w:right w:val="single" w:sz="4" w:space="4" w:color="auto"/>
        </w:pBdr>
        <w:ind w:left="850"/>
        <w:rPr>
          <w:noProof/>
        </w:rPr>
      </w:pPr>
      <w:r>
        <w:rPr>
          <w:noProof/>
        </w:rPr>
        <w:t>Eurofound ondersteunt het werk van de Commissie op het gebied van werkgelegenheid, sociale zaken en inclusie door onderzoek en beleidsanalyses uit te voeren op deze gebieden.  Het Agentschap voorziet in een langetermijnanalyse van problemen en beleidsinitiatieven om in kaart te brengen "wat werkt en wat niet".  De enquêtes van het Agentschap voorzien in langetermijnanalysen en informatie over de onderliggende tendensen en ontwikkelingen op het gebied van arbeidsomstandigheden, levenskwaliteit en bedrijfspraktijken; de waarnemingsposten van Eurofound voorzien in een register van beschrijvende analysen en geactualiseerde informatie over arbeidsverhoudingen en arbeidsomstandigheden, herstructurering en veranderingsbeheer.</w:t>
      </w:r>
    </w:p>
    <w:p>
      <w:pPr>
        <w:pBdr>
          <w:top w:val="single" w:sz="4" w:space="1" w:color="auto"/>
          <w:left w:val="single" w:sz="4" w:space="4" w:color="auto"/>
          <w:bottom w:val="single" w:sz="4" w:space="1" w:color="auto"/>
          <w:right w:val="single" w:sz="4" w:space="4" w:color="auto"/>
        </w:pBdr>
        <w:ind w:left="850"/>
      </w:pPr>
      <w:r>
        <w:rPr>
          <w:noProof/>
        </w:rPr>
        <w:t>Eurofound voert ook werkzaamheden uit ter ondersteuning van de Europese sociale dialoog (artikelen 154 en 155 VWEU) in de vorm van representativiteitsstudies van de Europese sociale partners, waarmee het Agentschap voorziet in een onafhankelijk onderzoek naar hun bevoegdheid om deel te nemen aan de Europese sociale dialoog en overeenkomsten te sluiten.</w:t>
      </w:r>
    </w:p>
    <w:p>
      <w:pPr>
        <w:pStyle w:val="ManualHeading3"/>
        <w:rPr>
          <w:bCs/>
          <w:noProof/>
          <w:szCs w:val="24"/>
        </w:rPr>
      </w:pPr>
      <w:r>
        <w:t>1.5.2.</w:t>
      </w:r>
      <w:r>
        <w:tab/>
      </w:r>
      <w:r>
        <w:rPr>
          <w:noProof/>
        </w:rPr>
        <w:t>Toegevoegde waarde van de deelname van de EU</w:t>
      </w:r>
    </w:p>
    <w:p>
      <w:pPr>
        <w:pBdr>
          <w:top w:val="single" w:sz="4" w:space="1" w:color="auto"/>
          <w:left w:val="single" w:sz="4" w:space="4" w:color="auto"/>
          <w:bottom w:val="single" w:sz="4" w:space="1" w:color="auto"/>
          <w:right w:val="single" w:sz="4" w:space="4" w:color="auto"/>
        </w:pBdr>
        <w:ind w:left="850"/>
      </w:pPr>
      <w:r>
        <w:rPr>
          <w:noProof/>
        </w:rPr>
        <w:t xml:space="preserve">Eurofound adviseert de Europese instellingen en verstrekt informatie aan beleidsmakers bij regeringen, vakbonden en werkgeversorganisaties. Die tripartiete aanpak wordt weerspiegeld in de structuur van zijn raad van bestuur en vormt een duidelijke meerwaarde. Die aanpak vormt het fundament voor het belang van het werk van Eurofound en voor de geloofwaardigheid van de aan beleidsmakers verstrekte inbreng. De waarnemingsposten en enquêtes van Eurofound vormen een unieke bron van onafhankelijke informatie over ontwikkelingen in heel Europa die nergens anders beschikbaar is. Er bestaan slechts weinig soortgelijke nationale instituten in de lidstaten en zeker geen die vergelijkende informatie over alle lidstaten leveren. </w:t>
      </w:r>
      <w:r>
        <w:t xml:space="preserve"> </w:t>
      </w:r>
    </w:p>
    <w:p>
      <w:pPr>
        <w:pStyle w:val="ManualHeading3"/>
        <w:rPr>
          <w:bCs/>
          <w:noProof/>
          <w:szCs w:val="24"/>
        </w:rPr>
      </w:pPr>
      <w:r>
        <w:t>1.5.3.</w:t>
      </w:r>
      <w:r>
        <w:tab/>
      </w:r>
      <w:r>
        <w:rPr>
          <w:noProof/>
        </w:rPr>
        <w:t>Nuttige ervaring die bij soortgelijke activiteiten in het verleden is opgedaan</w:t>
      </w:r>
    </w:p>
    <w:p>
      <w:pPr>
        <w:pBdr>
          <w:top w:val="single" w:sz="4" w:space="1" w:color="auto"/>
          <w:left w:val="single" w:sz="4" w:space="4" w:color="auto"/>
          <w:bottom w:val="single" w:sz="4" w:space="1" w:color="auto"/>
          <w:right w:val="single" w:sz="4" w:space="4" w:color="auto"/>
        </w:pBdr>
        <w:ind w:left="850"/>
        <w:rPr>
          <w:noProof/>
        </w:rPr>
      </w:pPr>
      <w:r>
        <w:rPr>
          <w:noProof/>
        </w:rPr>
        <w:t>Eurofound voert sinds 1975 onderzoek, observaties en enquêtes uit.  Eurofound kan het beste bijdragen door voort te bouwen op de kerngebieden van deskundigheid die het heeft ontwikkeld. Het Agentschap staat bekend voor zijn solide kennisbasis op het gebied van arbeidsomstandigheden. Het is ook het eerste aanspreekpunt voor vergelijkende informatie in verband met arbeidsverhoudingen en sociale dialoog in de EU en staat bekend voor zijn grondige kennis van problemen in verband met levensomstandigheden en levenskwaliteit.</w:t>
      </w:r>
    </w:p>
    <w:p>
      <w:pPr>
        <w:pBdr>
          <w:top w:val="single" w:sz="4" w:space="1" w:color="auto"/>
          <w:left w:val="single" w:sz="4" w:space="4" w:color="auto"/>
          <w:bottom w:val="single" w:sz="4" w:space="1" w:color="auto"/>
          <w:right w:val="single" w:sz="4" w:space="4" w:color="auto"/>
        </w:pBdr>
        <w:ind w:left="850"/>
      </w:pPr>
      <w:r>
        <w:rPr>
          <w:noProof/>
        </w:rPr>
        <w:t>Het Agentschap streeft ernaar wetenschappelijk verantwoorde en objectieve informatie van de hoogst mogelijke kwaliteit te bieden op zijn deskundigheidsgebieden. Het idee van Eurofound is dat die kennis wordt benut voor de ontwikkeling van doeltreffend beleid dat leidt tot de verbetering van de levens- en arbeidskwaliteit in een concurrerend en billijk Europa.</w:t>
      </w:r>
    </w:p>
    <w:p>
      <w:pPr>
        <w:pStyle w:val="ManualHeading3"/>
        <w:rPr>
          <w:bCs/>
          <w:noProof/>
          <w:szCs w:val="24"/>
        </w:rPr>
      </w:pPr>
      <w:r>
        <w:t>1.5.4.</w:t>
      </w:r>
      <w:r>
        <w:tab/>
      </w:r>
      <w:r>
        <w:rPr>
          <w:noProof/>
        </w:rPr>
        <w:t>Verenigbaarheid en eventuele synergie met andere passende instrumenten</w:t>
      </w:r>
    </w:p>
    <w:p>
      <w:pPr>
        <w:pBdr>
          <w:top w:val="single" w:sz="4" w:space="1" w:color="auto"/>
          <w:left w:val="single" w:sz="4" w:space="4" w:color="auto"/>
          <w:bottom w:val="single" w:sz="4" w:space="1" w:color="auto"/>
          <w:right w:val="single" w:sz="4" w:space="4" w:color="auto"/>
        </w:pBdr>
        <w:ind w:left="850"/>
      </w:pPr>
      <w:r>
        <w:rPr>
          <w:noProof/>
        </w:rPr>
        <w:t xml:space="preserve">Eurofound werkt samen met andere EU-agentschappen die in aanverwante domeinen actief zijn. Er bestaan samenwerkingsovereenkomsten met het Europees Agentschap voor veiligheid en gezondheid op het werk (EU-OSHA), het Europees Centrum voor de ontwikkeling van de beroepsopleiding (Cedefop), de Europese Stichting voor opleiding (ETF), het Europees instituut voor gendergelijkheid (EIGE) en het Bureau van de Europese Unie voor de grondrechten (FRA). Die overeenkomsten voorzien voornamelijk in vroegtijdig overleg over de ontwikkeling van het werkprogramma en worden aangevuld met de jaarlijkse actieplannen waarin aanvullende uitwisseling en, waar nodig, gezamenlijke activiteiten worden overeengekomen. Op die manier vullen de activiteiten elkaar aan en wordt het mogelijk synergieën te bereiken. </w:t>
      </w:r>
    </w:p>
    <w:p>
      <w:pPr>
        <w:pStyle w:val="ManualHeading2"/>
        <w:rPr>
          <w:bCs/>
          <w:noProof/>
          <w:szCs w:val="24"/>
        </w:rPr>
      </w:pPr>
      <w:r>
        <w:rPr>
          <w:noProof/>
        </w:rPr>
        <w:br w:type="page"/>
      </w:r>
      <w:r>
        <w:t>1.6.</w:t>
      </w:r>
      <w:r>
        <w:tab/>
      </w:r>
      <w:r>
        <w:rPr>
          <w:noProof/>
        </w:rPr>
        <w:t xml:space="preserve">Duur en financiële gevolgen </w:t>
      </w:r>
    </w:p>
    <w:p>
      <w:pPr>
        <w:pStyle w:val="Text1"/>
        <w:rPr>
          <w:noProof/>
        </w:rPr>
      </w:pPr>
      <w:r>
        <w:rPr>
          <w:noProof/>
        </w:rPr>
        <w:sym w:font="Wingdings" w:char="F0A8"/>
      </w:r>
      <w:r>
        <w:rPr>
          <w:b/>
          <w:i/>
          <w:noProof/>
        </w:rPr>
        <w:t xml:space="preserve"> </w:t>
      </w:r>
      <w:r>
        <w:rPr>
          <w:noProof/>
        </w:rPr>
        <w:t xml:space="preserve">Voorstel/initiatief met een </w:t>
      </w:r>
      <w:r>
        <w:rPr>
          <w:b/>
          <w:noProof/>
        </w:rPr>
        <w:t xml:space="preserve">beperkte geldigheidsduur </w:t>
      </w:r>
    </w:p>
    <w:p>
      <w:pPr>
        <w:pStyle w:val="ListDash2"/>
        <w:numPr>
          <w:ilvl w:val="0"/>
          <w:numId w:val="44"/>
        </w:numPr>
        <w:rPr>
          <w:noProof/>
        </w:rPr>
      </w:pPr>
      <w:r>
        <w:rPr>
          <w:noProof/>
        </w:rPr>
        <w:sym w:font="Wingdings" w:char="F0A8"/>
      </w:r>
      <w:r>
        <w:rPr>
          <w:noProof/>
        </w:rPr>
        <w:tab/>
        <w:t xml:space="preserve">Voorstel/initiatief is van kracht vanaf [DD/MM]JJJJ tot en met [DD/MM]JJJJ </w:t>
      </w:r>
    </w:p>
    <w:p>
      <w:pPr>
        <w:pStyle w:val="ListDash2"/>
        <w:numPr>
          <w:ilvl w:val="0"/>
          <w:numId w:val="44"/>
        </w:numPr>
        <w:rPr>
          <w:noProof/>
        </w:rPr>
      </w:pPr>
      <w:r>
        <w:rPr>
          <w:noProof/>
        </w:rPr>
        <w:sym w:font="Wingdings" w:char="F0A8"/>
      </w:r>
      <w:r>
        <w:rPr>
          <w:noProof/>
        </w:rPr>
        <w:tab/>
        <w:t>Financiële gevolgen vanaf JJJJ tot en met JJJJ</w:t>
      </w:r>
    </w:p>
    <w:p>
      <w:pPr>
        <w:pStyle w:val="Text1"/>
        <w:rPr>
          <w:noProof/>
        </w:rPr>
      </w:pPr>
      <w:r>
        <w:rPr>
          <w:noProof/>
        </w:rPr>
        <w:sym w:font="Wingdings" w:char="F078"/>
      </w:r>
      <w:r>
        <w:rPr>
          <w:b/>
          <w:i/>
          <w:noProof/>
        </w:rPr>
        <w:t xml:space="preserve"> </w:t>
      </w:r>
      <w:r>
        <w:rPr>
          <w:noProof/>
        </w:rPr>
        <w:t xml:space="preserve">Voorstel/initiatief met een </w:t>
      </w:r>
      <w:r>
        <w:rPr>
          <w:b/>
          <w:noProof/>
        </w:rPr>
        <w:t>onbeperkte geldigheidsduur</w:t>
      </w:r>
    </w:p>
    <w:p>
      <w:pPr>
        <w:pStyle w:val="ListDash1"/>
        <w:numPr>
          <w:ilvl w:val="0"/>
          <w:numId w:val="43"/>
        </w:numPr>
        <w:rPr>
          <w:noProof/>
        </w:rPr>
      </w:pPr>
      <w:r>
        <w:rPr>
          <w:noProof/>
        </w:rPr>
        <w:t>Uitvoering met een opstartperiode vanaf JJJJ tot en met JJJJ,</w:t>
      </w:r>
    </w:p>
    <w:p>
      <w:pPr>
        <w:pStyle w:val="ListDash1"/>
        <w:numPr>
          <w:ilvl w:val="0"/>
          <w:numId w:val="43"/>
        </w:numPr>
        <w:rPr>
          <w:noProof/>
        </w:rPr>
      </w:pPr>
      <w:r>
        <w:rPr>
          <w:noProof/>
        </w:rPr>
        <w:t>gevolgd door een volledige uitvoering.</w:t>
      </w:r>
    </w:p>
    <w:p>
      <w:pPr>
        <w:pStyle w:val="ManualHeading2"/>
        <w:rPr>
          <w:bCs/>
          <w:noProof/>
          <w:szCs w:val="24"/>
        </w:rPr>
      </w:pPr>
      <w:r>
        <w:t>1.7.</w:t>
      </w:r>
      <w:r>
        <w:tab/>
      </w:r>
      <w:r>
        <w:rPr>
          <w:noProof/>
        </w:rPr>
        <w:t>Beheersvorm(en)</w:t>
      </w:r>
      <w:r>
        <w:rPr>
          <w:rStyle w:val="FootnoteReference"/>
          <w:noProof/>
        </w:rPr>
        <w:t xml:space="preserve"> </w:t>
      </w:r>
    </w:p>
    <w:p>
      <w:pPr>
        <w:pStyle w:val="Text1"/>
        <w:rPr>
          <w:noProof/>
        </w:rPr>
      </w:pPr>
      <w:r>
        <w:rPr>
          <w:noProof/>
        </w:rPr>
        <w:sym w:font="Wingdings" w:char="F0A8"/>
      </w:r>
      <w:r>
        <w:rPr>
          <w:i/>
          <w:noProof/>
        </w:rPr>
        <w:t xml:space="preserve"> </w:t>
      </w:r>
      <w:r>
        <w:rPr>
          <w:b/>
          <w:noProof/>
        </w:rPr>
        <w:t>Direct beheer</w:t>
      </w:r>
      <w:r>
        <w:rPr>
          <w:noProof/>
        </w:rPr>
        <w:t xml:space="preserve"> door de Commissie via</w:t>
      </w:r>
    </w:p>
    <w:p>
      <w:pPr>
        <w:pStyle w:val="ListDash2"/>
        <w:numPr>
          <w:ilvl w:val="0"/>
          <w:numId w:val="44"/>
        </w:numPr>
        <w:rPr>
          <w:noProof/>
        </w:rPr>
      </w:pPr>
      <w:r>
        <w:rPr>
          <w:noProof/>
        </w:rPr>
        <w:sym w:font="Wingdings" w:char="F0A8"/>
      </w:r>
      <w:r>
        <w:rPr>
          <w:noProof/>
        </w:rPr>
        <w:tab/>
        <w:t xml:space="preserve">uitvoerende agentschappen </w:t>
      </w:r>
    </w:p>
    <w:p>
      <w:pPr>
        <w:pStyle w:val="Text1"/>
        <w:rPr>
          <w:noProof/>
        </w:rPr>
      </w:pPr>
      <w:r>
        <w:rPr>
          <w:noProof/>
        </w:rPr>
        <w:sym w:font="Wingdings" w:char="F0A8"/>
      </w:r>
      <w:r>
        <w:rPr>
          <w:b/>
          <w:i/>
          <w:noProof/>
        </w:rPr>
        <w:t xml:space="preserve"> </w:t>
      </w:r>
      <w:r>
        <w:rPr>
          <w:b/>
          <w:noProof/>
        </w:rPr>
        <w:t>Gedeeld beheer</w:t>
      </w:r>
      <w:r>
        <w:rPr>
          <w:noProof/>
        </w:rPr>
        <w:t xml:space="preserve"> met de lidstaten </w:t>
      </w:r>
    </w:p>
    <w:p>
      <w:pPr>
        <w:pStyle w:val="Text1"/>
        <w:rPr>
          <w:noProof/>
        </w:rPr>
      </w:pPr>
      <w:r>
        <w:rPr>
          <w:noProof/>
        </w:rPr>
        <w:sym w:font="Wingdings" w:char="F078"/>
      </w:r>
      <w:r>
        <w:rPr>
          <w:i/>
          <w:noProof/>
        </w:rPr>
        <w:t xml:space="preserve"> </w:t>
      </w:r>
      <w:r>
        <w:rPr>
          <w:b/>
          <w:noProof/>
        </w:rPr>
        <w:t>Indirect beheer</w:t>
      </w:r>
      <w:r>
        <w:rPr>
          <w:noProof/>
        </w:rPr>
        <w:t xml:space="preserve"> door begrotingsuitvoeringstaken te delegeren aan:</w:t>
      </w:r>
    </w:p>
    <w:p>
      <w:pPr>
        <w:pStyle w:val="Text1"/>
        <w:rPr>
          <w:noProof/>
        </w:rPr>
      </w:pPr>
      <w:r>
        <w:rPr>
          <w:noProof/>
        </w:rPr>
        <w:sym w:font="Wingdings" w:char="F0A8"/>
      </w:r>
      <w:r>
        <w:rPr>
          <w:noProof/>
        </w:rPr>
        <w:t xml:space="preserve"> internationale organisaties en hun agentschappen (geef aan welke);</w:t>
      </w:r>
    </w:p>
    <w:p>
      <w:pPr>
        <w:pStyle w:val="Text1"/>
        <w:rPr>
          <w:noProof/>
        </w:rPr>
      </w:pPr>
      <w:r>
        <w:rPr>
          <w:noProof/>
        </w:rPr>
        <w:sym w:font="Wingdings" w:char="F0A8"/>
      </w:r>
      <w:r>
        <w:rPr>
          <w:noProof/>
        </w:rPr>
        <w:t xml:space="preserve"> de EIB en het Europees Investeringsfonds;</w:t>
      </w:r>
    </w:p>
    <w:p>
      <w:pPr>
        <w:pStyle w:val="Text1"/>
        <w:rPr>
          <w:noProof/>
        </w:rPr>
      </w:pPr>
      <w:r>
        <w:rPr>
          <w:noProof/>
        </w:rPr>
        <w:sym w:font="Wingdings" w:char="F078"/>
      </w:r>
      <w:r>
        <w:rPr>
          <w:noProof/>
        </w:rPr>
        <w:t xml:space="preserve"> de in de artikelen 208 en 209 bedoelde organen;</w:t>
      </w:r>
    </w:p>
    <w:p>
      <w:pPr>
        <w:pStyle w:val="Text1"/>
        <w:rPr>
          <w:noProof/>
        </w:rPr>
      </w:pPr>
      <w:r>
        <w:rPr>
          <w:noProof/>
        </w:rPr>
        <w:sym w:font="Wingdings" w:char="F0A8"/>
      </w:r>
      <w:r>
        <w:rPr>
          <w:noProof/>
        </w:rPr>
        <w:t xml:space="preserve"> publiekrechtelijke organen;</w:t>
      </w:r>
    </w:p>
    <w:p>
      <w:pPr>
        <w:pStyle w:val="Text1"/>
        <w:rPr>
          <w:noProof/>
        </w:rPr>
      </w:pPr>
      <w:r>
        <w:rPr>
          <w:noProof/>
        </w:rPr>
        <w:sym w:font="Wingdings" w:char="F0A8"/>
      </w:r>
      <w:r>
        <w:rPr>
          <w:noProof/>
        </w:rPr>
        <w:t xml:space="preserve"> privaatrechtelijke organen met een openbaredienstverleningstaak, voor zover zij voldoende financiële garanties bieden;</w:t>
      </w:r>
    </w:p>
    <w:p>
      <w:pPr>
        <w:pStyle w:val="Text1"/>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Text1"/>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pPr>
      <w:r>
        <w:t>n.v.t.</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p>
    <w:p>
      <w:pPr>
        <w:pStyle w:val="ManualHeading1"/>
        <w:rPr>
          <w:bCs/>
          <w:noProof/>
          <w:szCs w:val="24"/>
        </w:rPr>
      </w:pPr>
      <w:r>
        <w:t>2.</w:t>
      </w:r>
      <w:r>
        <w:tab/>
      </w:r>
      <w:r>
        <w:rPr>
          <w:noProof/>
        </w:rPr>
        <w:t xml:space="preserve">BEHEERSMAATREGELEN </w:t>
      </w:r>
    </w:p>
    <w:p>
      <w:pPr>
        <w:pStyle w:val="ManualHeading2"/>
        <w:rPr>
          <w:bCs/>
          <w:noProof/>
          <w:szCs w:val="24"/>
        </w:rPr>
      </w:pPr>
      <w:r>
        <w:t>2.1.</w:t>
      </w:r>
      <w:r>
        <w:tab/>
      </w:r>
      <w:r>
        <w:rPr>
          <w:noProof/>
        </w:rPr>
        <w:t xml:space="preserve">Regels inzake het toezicht en de verslagen </w:t>
      </w:r>
    </w:p>
    <w:p>
      <w:pPr>
        <w:pStyle w:val="Text1"/>
        <w:rPr>
          <w:i/>
          <w:noProof/>
          <w:sz w:val="20"/>
        </w:rPr>
      </w:pPr>
      <w:r>
        <w:rPr>
          <w:i/>
          <w:noProof/>
          <w:sz w:val="20"/>
        </w:rPr>
        <w:t>Vermeld frequentie en voorwaarden.</w:t>
      </w:r>
    </w:p>
    <w:p>
      <w:pPr>
        <w:pBdr>
          <w:top w:val="single" w:sz="4" w:space="1" w:color="auto"/>
          <w:left w:val="single" w:sz="4" w:space="4" w:color="auto"/>
          <w:bottom w:val="single" w:sz="4" w:space="1" w:color="auto"/>
          <w:right w:val="single" w:sz="4" w:space="4" w:color="auto"/>
        </w:pBdr>
        <w:ind w:left="850"/>
      </w:pPr>
      <w:r>
        <w:rPr>
          <w:noProof/>
        </w:rPr>
        <w:t>Alle agentschappen van de EU werken onder een strikt controlesysteem met een interne controlecoördinator, de dienst Interne Audit van de Commissie, de raad van bestuur, de Commissie, de Rekenkamer en de begrotingsautoriteit.  Het stelsel als omschreven in de oprichtingsverordening van Eurofound blijft van toepassing.</w:t>
      </w:r>
    </w:p>
    <w:p>
      <w:pPr>
        <w:pStyle w:val="ManualHeading2"/>
        <w:rPr>
          <w:bCs/>
          <w:noProof/>
          <w:szCs w:val="24"/>
        </w:rPr>
      </w:pPr>
      <w:r>
        <w:t>2.2.</w:t>
      </w:r>
      <w:r>
        <w:tab/>
      </w:r>
      <w:r>
        <w:rPr>
          <w:noProof/>
        </w:rPr>
        <w:t xml:space="preserve">Beheers- en controlesysteem </w:t>
      </w:r>
    </w:p>
    <w:p>
      <w:pPr>
        <w:pStyle w:val="ManualHeading3"/>
        <w:rPr>
          <w:bCs/>
          <w:noProof/>
          <w:szCs w:val="24"/>
        </w:rPr>
      </w:pPr>
      <w:r>
        <w:t>2.2.1.</w:t>
      </w:r>
      <w:r>
        <w:tab/>
      </w:r>
      <w:r>
        <w:rPr>
          <w:noProof/>
        </w:rPr>
        <w:t xml:space="preserve">Mogelijke risico's </w:t>
      </w:r>
    </w:p>
    <w:p>
      <w:pPr>
        <w:pStyle w:val="Text1"/>
        <w:pBdr>
          <w:top w:val="single" w:sz="4" w:space="1" w:color="auto"/>
          <w:left w:val="single" w:sz="4" w:space="4" w:color="auto"/>
          <w:bottom w:val="single" w:sz="4" w:space="1" w:color="auto"/>
          <w:right w:val="single" w:sz="4" w:space="4" w:color="auto"/>
        </w:pBdr>
      </w:pPr>
      <w:r>
        <w:t>geen</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2.2.2.</w:t>
      </w:r>
      <w:r>
        <w:tab/>
      </w:r>
      <w:r>
        <w:rPr>
          <w:noProof/>
        </w:rPr>
        <w:t xml:space="preserve">Controlemiddel(en) </w:t>
      </w:r>
    </w:p>
    <w:p>
      <w:pPr>
        <w:pStyle w:val="Text1"/>
        <w:pBdr>
          <w:top w:val="single" w:sz="4" w:space="1" w:color="auto"/>
          <w:left w:val="single" w:sz="4" w:space="4" w:color="auto"/>
          <w:bottom w:val="single" w:sz="4" w:space="1" w:color="auto"/>
          <w:right w:val="single" w:sz="4" w:space="4" w:color="auto"/>
        </w:pBdr>
      </w:pPr>
      <w:r>
        <w:t>n.v.t.</w:t>
      </w:r>
    </w:p>
    <w:p>
      <w:pPr>
        <w:pStyle w:val="Text1"/>
        <w:pBdr>
          <w:top w:val="single" w:sz="4" w:space="1" w:color="auto"/>
          <w:left w:val="single" w:sz="4" w:space="4" w:color="auto"/>
          <w:bottom w:val="single" w:sz="4" w:space="1" w:color="auto"/>
          <w:right w:val="single" w:sz="4" w:space="4" w:color="auto"/>
        </w:pBdr>
      </w:pPr>
    </w:p>
    <w:p>
      <w:pPr>
        <w:pStyle w:val="ManualHeading2"/>
        <w:rPr>
          <w:bCs/>
          <w:noProof/>
          <w:szCs w:val="24"/>
        </w:rPr>
      </w:pPr>
      <w:r>
        <w:t>2.3.</w:t>
      </w:r>
      <w:r>
        <w:tab/>
      </w:r>
      <w:r>
        <w:rPr>
          <w:noProof/>
        </w:rPr>
        <w:t xml:space="preserve">Maatregelen ter voorkoming van fraude en onregelmatigheden </w:t>
      </w:r>
    </w:p>
    <w:p>
      <w:pPr>
        <w:pStyle w:val="Text1"/>
        <w:rPr>
          <w:i/>
          <w:noProof/>
          <w:sz w:val="20"/>
        </w:rPr>
      </w:pPr>
      <w:r>
        <w:rPr>
          <w:i/>
          <w:noProof/>
          <w:sz w:val="20"/>
        </w:rPr>
        <w:t>Vermeld de bestaande en geplande preventie- en beschermingsmaatregelen.</w:t>
      </w:r>
    </w:p>
    <w:p>
      <w:pPr>
        <w:pBdr>
          <w:top w:val="single" w:sz="4" w:space="1" w:color="auto"/>
          <w:left w:val="single" w:sz="4" w:space="4" w:color="auto"/>
          <w:bottom w:val="single" w:sz="4" w:space="1" w:color="auto"/>
          <w:right w:val="single" w:sz="4" w:space="4" w:color="auto"/>
        </w:pBdr>
        <w:ind w:left="850"/>
      </w:pPr>
      <w:r>
        <w:rPr>
          <w:noProof/>
        </w:rPr>
        <w:t xml:space="preserve">De huidige oprichtingsverordening van Eurofound voorzag niet uitdrukkelijk in maatregelen ter voorkoming van fraude, maar de directeur en de raad van bestuur hebben passende maatregelen genomen overeenkomstig de internecontrolenormen die in alle EU-instellingen worden toegepast. Overeenkomstig de gemeenschappelijke aanpak heeft het Agentschap in november 2014 een fraudebestrijdingsstrategie vastgesteld. </w:t>
      </w:r>
      <w:r>
        <w:t xml:space="preserve"> </w:t>
      </w:r>
    </w:p>
    <w:p>
      <w:pPr>
        <w:rPr>
          <w:noProof/>
        </w:rPr>
        <w:sectPr>
          <w:pgSz w:w="12240" w:h="15840"/>
          <w:pgMar w:top="794" w:right="907" w:bottom="851" w:left="1361" w:header="510" w:footer="454" w:gutter="0"/>
          <w:cols w:space="720"/>
          <w:docGrid w:linePitch="326"/>
        </w:sectPr>
      </w:pPr>
    </w:p>
    <w:p>
      <w:pPr>
        <w:pStyle w:val="ManualHeading1"/>
        <w:rPr>
          <w:bCs/>
          <w:noProof/>
          <w:szCs w:val="24"/>
        </w:rPr>
      </w:pPr>
      <w:r>
        <w:t>3.</w:t>
      </w:r>
      <w:r>
        <w:tab/>
      </w:r>
      <w:r>
        <w:rPr>
          <w:noProof/>
        </w:rPr>
        <w:t xml:space="preserve">GERAAMDE FINANCIËLE GEVOLGEN VAN HET VOORSTEL/INITIATIEF </w:t>
      </w:r>
    </w:p>
    <w:p>
      <w:pPr>
        <w:pStyle w:val="ManualHeading2"/>
        <w:rPr>
          <w:bCs/>
          <w:noProof/>
          <w:szCs w:val="24"/>
        </w:rPr>
      </w:pPr>
      <w:r>
        <w:t>3.1.</w:t>
      </w:r>
      <w:r>
        <w:tab/>
      </w:r>
      <w:r>
        <w:rPr>
          <w:noProof/>
        </w:rPr>
        <w:t xml:space="preserve">Rubriek(en) van het meerjarige financiële kader en betrokken begrotingsonderde(e)l(en) voor uitgaven </w:t>
      </w:r>
    </w:p>
    <w:p>
      <w:pPr>
        <w:pStyle w:val="ListBullet1"/>
        <w:numPr>
          <w:ilvl w:val="0"/>
          <w:numId w:val="42"/>
        </w:numPr>
        <w:rPr>
          <w:noProof/>
        </w:rPr>
      </w:pPr>
      <w:r>
        <w:rPr>
          <w:noProof/>
        </w:rPr>
        <w:t xml:space="preserve">Bestaande begrotingsonderdelen </w:t>
      </w:r>
    </w:p>
    <w:p>
      <w:pPr>
        <w:pStyle w:val="Text1"/>
        <w:rPr>
          <w:noProof/>
        </w:rPr>
      </w:pPr>
      <w:r>
        <w:rPr>
          <w:noProof/>
          <w:u w:val="single"/>
        </w:rPr>
        <w:t>In volgorde</w:t>
      </w:r>
      <w:r>
        <w:rPr>
          <w:noProof/>
        </w:rPr>
        <w:t xml:space="preserve"> van de rubrieken van het meerjarige financiële kader en de begrotingsonderdelen.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Rubriek van het meerjarige financiële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 xml:space="preserve">Soort </w:t>
            </w:r>
            <w:r>
              <w:rPr>
                <w:noProof/>
                <w:sz w:val="22"/>
              </w:rPr>
              <w:br/>
            </w:r>
            <w:r>
              <w:rPr>
                <w:noProof/>
                <w:sz w:val="18"/>
              </w:rPr>
              <w:t>krediet</w:t>
            </w:r>
          </w:p>
        </w:tc>
        <w:tc>
          <w:tcPr>
            <w:tcW w:w="4556" w:type="dxa"/>
            <w:gridSpan w:val="4"/>
            <w:vAlign w:val="center"/>
          </w:tcPr>
          <w:p>
            <w:pPr>
              <w:spacing w:before="60" w:after="60"/>
              <w:jc w:val="center"/>
              <w:rPr>
                <w:noProof/>
              </w:rPr>
            </w:pPr>
            <w:r>
              <w:rPr>
                <w:noProof/>
                <w:sz w:val="20"/>
              </w:rPr>
              <w:t xml:space="preserve">Bijdrage </w:t>
            </w:r>
          </w:p>
        </w:tc>
      </w:tr>
      <w:tr>
        <w:tc>
          <w:tcPr>
            <w:tcW w:w="1080" w:type="dxa"/>
            <w:vMerge/>
            <w:vAlign w:val="center"/>
          </w:tcPr>
          <w:p>
            <w:pPr>
              <w:rPr>
                <w:noProof/>
                <w:sz w:val="18"/>
              </w:rPr>
            </w:pPr>
          </w:p>
        </w:tc>
        <w:tc>
          <w:tcPr>
            <w:tcW w:w="3960" w:type="dxa"/>
            <w:vAlign w:val="center"/>
          </w:tcPr>
          <w:p>
            <w:pPr>
              <w:rPr>
                <w:noProof/>
              </w:rPr>
            </w:pPr>
            <w:r>
              <w:rPr>
                <w:noProof/>
                <w:sz w:val="20"/>
              </w:rPr>
              <w:t>Rubriek 1A – Concurrentievermogen ter bevordering van groei en werkgelegenheid</w:t>
            </w:r>
          </w:p>
        </w:tc>
        <w:tc>
          <w:tcPr>
            <w:tcW w:w="1080" w:type="dxa"/>
            <w:vAlign w:val="center"/>
          </w:tcPr>
          <w:p>
            <w:pPr>
              <w:jc w:val="center"/>
              <w:rPr>
                <w:noProof/>
              </w:rPr>
            </w:pPr>
            <w:r>
              <w:rPr>
                <w:noProof/>
                <w:sz w:val="18"/>
              </w:rPr>
              <w:t>GK/NGK</w:t>
            </w:r>
            <w:r>
              <w:rPr>
                <w:rStyle w:val="FootnoteReference"/>
                <w:noProof/>
                <w:sz w:val="18"/>
              </w:rPr>
              <w:footnoteReference w:id="15"/>
            </w:r>
          </w:p>
        </w:tc>
        <w:tc>
          <w:tcPr>
            <w:tcW w:w="956" w:type="dxa"/>
            <w:vAlign w:val="center"/>
          </w:tcPr>
          <w:p>
            <w:pPr>
              <w:jc w:val="center"/>
              <w:rPr>
                <w:noProof/>
              </w:rPr>
            </w:pPr>
            <w:r>
              <w:rPr>
                <w:noProof/>
                <w:sz w:val="18"/>
              </w:rPr>
              <w:t>van EVA-landen</w:t>
            </w:r>
            <w:r>
              <w:rPr>
                <w:rStyle w:val="FootnoteReference"/>
                <w:noProof/>
                <w:sz w:val="18"/>
              </w:rPr>
              <w:footnoteReference w:id="16"/>
            </w:r>
          </w:p>
        </w:tc>
        <w:tc>
          <w:tcPr>
            <w:tcW w:w="1080" w:type="dxa"/>
            <w:vAlign w:val="center"/>
          </w:tcPr>
          <w:p>
            <w:pPr>
              <w:jc w:val="center"/>
              <w:rPr>
                <w:noProof/>
                <w:sz w:val="18"/>
              </w:rPr>
            </w:pPr>
            <w:r>
              <w:rPr>
                <w:noProof/>
                <w:sz w:val="18"/>
              </w:rPr>
              <w:t>van kandidaat-lidstaten</w:t>
            </w:r>
            <w:r>
              <w:rPr>
                <w:rStyle w:val="FootnoteReference"/>
                <w:noProof/>
                <w:sz w:val="18"/>
              </w:rPr>
              <w:footnoteReference w:id="17"/>
            </w:r>
          </w:p>
        </w:tc>
        <w:tc>
          <w:tcPr>
            <w:tcW w:w="956" w:type="dxa"/>
            <w:vAlign w:val="center"/>
          </w:tcPr>
          <w:p>
            <w:pPr>
              <w:jc w:val="center"/>
              <w:rPr>
                <w:noProof/>
                <w:sz w:val="18"/>
              </w:rPr>
            </w:pPr>
            <w:r>
              <w:rPr>
                <w:noProof/>
                <w:sz w:val="18"/>
              </w:rPr>
              <w:t>van derde landen</w:t>
            </w:r>
          </w:p>
        </w:tc>
        <w:tc>
          <w:tcPr>
            <w:tcW w:w="1564" w:type="dxa"/>
            <w:vAlign w:val="center"/>
          </w:tcPr>
          <w:p>
            <w:pPr>
              <w:jc w:val="center"/>
              <w:rPr>
                <w:noProof/>
                <w:sz w:val="16"/>
                <w:szCs w:val="16"/>
              </w:rPr>
            </w:pPr>
            <w:r>
              <w:rPr>
                <w:noProof/>
                <w:sz w:val="16"/>
              </w:rPr>
              <w:t xml:space="preserve">in de zin van artikel 21, lid 2, onder b), van het Financieel Reglement </w:t>
            </w:r>
          </w:p>
        </w:tc>
      </w:tr>
      <w:tr>
        <w:tc>
          <w:tcPr>
            <w:tcW w:w="1080" w:type="dxa"/>
            <w:vAlign w:val="center"/>
          </w:tcPr>
          <w:p>
            <w:pPr>
              <w:jc w:val="center"/>
              <w:rPr>
                <w:noProof/>
                <w:color w:val="0000FF"/>
              </w:rPr>
            </w:pPr>
          </w:p>
        </w:tc>
        <w:tc>
          <w:tcPr>
            <w:tcW w:w="3960" w:type="dxa"/>
            <w:vAlign w:val="center"/>
          </w:tcPr>
          <w:p>
            <w:pPr>
              <w:spacing w:after="60"/>
            </w:pPr>
            <w:r>
              <w:rPr>
                <w:noProof/>
                <w:sz w:val="22"/>
              </w:rPr>
              <w:t>04 03 11 Europese Stichting tot verbetering van de levens- en arbeidsomstandigheden (Eurofound)</w:t>
            </w:r>
            <w:r>
              <w:t xml:space="preserve"> </w:t>
            </w:r>
          </w:p>
        </w:tc>
        <w:tc>
          <w:tcPr>
            <w:tcW w:w="1080" w:type="dxa"/>
            <w:vAlign w:val="center"/>
          </w:tcPr>
          <w:p>
            <w:pPr>
              <w:jc w:val="center"/>
              <w:rPr>
                <w:noProof/>
              </w:rPr>
            </w:pPr>
            <w:r>
              <w:rPr>
                <w:noProof/>
                <w:sz w:val="18"/>
              </w:rPr>
              <w:t>GK</w:t>
            </w:r>
          </w:p>
        </w:tc>
        <w:tc>
          <w:tcPr>
            <w:tcW w:w="956" w:type="dxa"/>
            <w:vAlign w:val="center"/>
          </w:tcPr>
          <w:p>
            <w:pPr>
              <w:jc w:val="center"/>
            </w:pPr>
            <w:r>
              <w:t>JA</w:t>
            </w:r>
          </w:p>
        </w:tc>
        <w:tc>
          <w:tcPr>
            <w:tcW w:w="1080" w:type="dxa"/>
            <w:vAlign w:val="center"/>
          </w:tcPr>
          <w:p>
            <w:pPr>
              <w:jc w:val="center"/>
            </w:pPr>
            <w:r>
              <w:t>JA</w:t>
            </w:r>
          </w:p>
        </w:tc>
        <w:tc>
          <w:tcPr>
            <w:tcW w:w="956" w:type="dxa"/>
            <w:vAlign w:val="center"/>
          </w:tcPr>
          <w:p>
            <w:pPr>
              <w:jc w:val="center"/>
            </w:pPr>
            <w:r>
              <w:t>NEE</w:t>
            </w:r>
          </w:p>
        </w:tc>
        <w:tc>
          <w:tcPr>
            <w:tcW w:w="1564" w:type="dxa"/>
            <w:vAlign w:val="center"/>
          </w:tcPr>
          <w:p>
            <w:pPr>
              <w:jc w:val="center"/>
            </w:pPr>
          </w:p>
        </w:tc>
      </w:tr>
    </w:tbl>
    <w:p>
      <w:pPr>
        <w:pStyle w:val="ListBullet1"/>
        <w:numPr>
          <w:ilvl w:val="0"/>
          <w:numId w:val="42"/>
        </w:numPr>
        <w:rPr>
          <w:noProof/>
        </w:rPr>
      </w:pPr>
      <w:r>
        <w:rPr>
          <w:noProof/>
        </w:rPr>
        <w:t>Te creëren nieuwe begrotingsonderdelen: n.v.t.</w:t>
      </w:r>
    </w:p>
    <w:p>
      <w:pPr>
        <w:pStyle w:val="Text1"/>
        <w:rPr>
          <w:i/>
          <w:noProof/>
          <w:sz w:val="20"/>
        </w:rPr>
      </w:pPr>
      <w:r>
        <w:rPr>
          <w:noProof/>
          <w:u w:val="single"/>
        </w:rPr>
        <w:t>In volgorde</w:t>
      </w:r>
      <w:r>
        <w:rPr>
          <w:noProof/>
        </w:rPr>
        <w:t xml:space="preserve"> van de rubrieken van het meerjarige financiële kader en de begrotingsonderdelen.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Rubriek van het meerjarige financiële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 xml:space="preserve">Soort </w:t>
            </w:r>
            <w:r>
              <w:rPr>
                <w:noProof/>
                <w:sz w:val="22"/>
              </w:rPr>
              <w:br/>
            </w:r>
            <w:r>
              <w:rPr>
                <w:noProof/>
                <w:sz w:val="18"/>
              </w:rPr>
              <w:t>krediet</w:t>
            </w:r>
          </w:p>
        </w:tc>
        <w:tc>
          <w:tcPr>
            <w:tcW w:w="4556" w:type="dxa"/>
            <w:gridSpan w:val="4"/>
            <w:vAlign w:val="center"/>
          </w:tcPr>
          <w:p>
            <w:pPr>
              <w:spacing w:before="60" w:after="60"/>
              <w:jc w:val="center"/>
              <w:rPr>
                <w:noProof/>
              </w:rPr>
            </w:pPr>
            <w:r>
              <w:rPr>
                <w:noProof/>
                <w:sz w:val="20"/>
              </w:rPr>
              <w:t xml:space="preserve">Bijdrage </w:t>
            </w:r>
          </w:p>
        </w:tc>
      </w:tr>
      <w:tr>
        <w:tc>
          <w:tcPr>
            <w:tcW w:w="1080" w:type="dxa"/>
            <w:vMerge/>
            <w:vAlign w:val="center"/>
          </w:tcPr>
          <w:p>
            <w:pPr>
              <w:rPr>
                <w:noProof/>
              </w:rPr>
            </w:pPr>
          </w:p>
        </w:tc>
        <w:tc>
          <w:tcPr>
            <w:tcW w:w="3960" w:type="dxa"/>
            <w:vAlign w:val="center"/>
          </w:tcPr>
          <w:p>
            <w:r>
              <w:rPr>
                <w:noProof/>
                <w:sz w:val="20"/>
              </w:rPr>
              <w:t xml:space="preserve">Nummer </w:t>
            </w:r>
            <w:r>
              <w:rPr>
                <w:noProof/>
                <w:sz w:val="22"/>
              </w:rPr>
              <w:br/>
            </w:r>
            <w:r>
              <w:rPr>
                <w:noProof/>
                <w:sz w:val="20"/>
              </w:rPr>
              <w:t>[Rubriek…...….]</w:t>
            </w:r>
          </w:p>
        </w:tc>
        <w:tc>
          <w:tcPr>
            <w:tcW w:w="1080" w:type="dxa"/>
            <w:vAlign w:val="center"/>
          </w:tcPr>
          <w:p>
            <w:pPr>
              <w:jc w:val="center"/>
              <w:rPr>
                <w:noProof/>
              </w:rPr>
            </w:pPr>
            <w:r>
              <w:rPr>
                <w:noProof/>
                <w:sz w:val="18"/>
              </w:rPr>
              <w:t>GK/NGK</w:t>
            </w:r>
          </w:p>
        </w:tc>
        <w:tc>
          <w:tcPr>
            <w:tcW w:w="956" w:type="dxa"/>
            <w:vAlign w:val="center"/>
          </w:tcPr>
          <w:p>
            <w:pPr>
              <w:jc w:val="center"/>
              <w:rPr>
                <w:noProof/>
                <w:sz w:val="18"/>
              </w:rPr>
            </w:pPr>
            <w:r>
              <w:rPr>
                <w:noProof/>
                <w:sz w:val="18"/>
              </w:rPr>
              <w:t>van EVA-landen</w:t>
            </w:r>
          </w:p>
        </w:tc>
        <w:tc>
          <w:tcPr>
            <w:tcW w:w="1080" w:type="dxa"/>
            <w:vAlign w:val="center"/>
          </w:tcPr>
          <w:p>
            <w:pPr>
              <w:jc w:val="center"/>
              <w:rPr>
                <w:noProof/>
                <w:sz w:val="18"/>
              </w:rPr>
            </w:pPr>
            <w:r>
              <w:rPr>
                <w:noProof/>
                <w:sz w:val="18"/>
              </w:rPr>
              <w:t>van kandidaat-lidstaten</w:t>
            </w:r>
          </w:p>
        </w:tc>
        <w:tc>
          <w:tcPr>
            <w:tcW w:w="956" w:type="dxa"/>
            <w:vAlign w:val="center"/>
          </w:tcPr>
          <w:p>
            <w:pPr>
              <w:jc w:val="center"/>
              <w:rPr>
                <w:noProof/>
                <w:sz w:val="18"/>
              </w:rPr>
            </w:pPr>
            <w:r>
              <w:rPr>
                <w:noProof/>
                <w:sz w:val="18"/>
              </w:rPr>
              <w:t>van derde landen</w:t>
            </w:r>
          </w:p>
        </w:tc>
        <w:tc>
          <w:tcPr>
            <w:tcW w:w="1564" w:type="dxa"/>
            <w:vAlign w:val="center"/>
          </w:tcPr>
          <w:p>
            <w:pPr>
              <w:jc w:val="center"/>
              <w:rPr>
                <w:noProof/>
              </w:rPr>
            </w:pPr>
            <w:r>
              <w:rPr>
                <w:noProof/>
                <w:sz w:val="16"/>
              </w:rPr>
              <w:t xml:space="preserve">in de zin van artikel 21, lid 2, onder b), van het Financieel Reglement </w:t>
            </w:r>
          </w:p>
        </w:tc>
      </w:tr>
      <w:tr>
        <w:tc>
          <w:tcPr>
            <w:tcW w:w="1080" w:type="dxa"/>
            <w:vAlign w:val="center"/>
          </w:tcPr>
          <w:p>
            <w:pPr>
              <w:jc w:val="center"/>
              <w:rPr>
                <w:noProof/>
                <w:color w:val="0000FF"/>
              </w:rPr>
            </w:pPr>
          </w:p>
        </w:tc>
        <w:tc>
          <w:tcPr>
            <w:tcW w:w="3960" w:type="dxa"/>
            <w:vAlign w:val="center"/>
          </w:tcPr>
          <w:p>
            <w:pPr>
              <w:spacing w:before="60"/>
            </w:pPr>
            <w: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pPr>
            <w:r>
              <w:t>JA/NEE</w:t>
            </w:r>
          </w:p>
        </w:tc>
        <w:tc>
          <w:tcPr>
            <w:tcW w:w="1080" w:type="dxa"/>
            <w:vAlign w:val="center"/>
          </w:tcPr>
          <w:p>
            <w:pPr>
              <w:jc w:val="center"/>
              <w:rPr>
                <w:noProof/>
                <w:color w:val="0000FF"/>
                <w:sz w:val="18"/>
              </w:rPr>
            </w:pPr>
            <w:r>
              <w:t>JA/NEE</w:t>
            </w:r>
          </w:p>
        </w:tc>
        <w:tc>
          <w:tcPr>
            <w:tcW w:w="956" w:type="dxa"/>
            <w:vAlign w:val="center"/>
          </w:tcPr>
          <w:p>
            <w:pPr>
              <w:jc w:val="center"/>
              <w:rPr>
                <w:noProof/>
                <w:color w:val="0000FF"/>
                <w:sz w:val="18"/>
              </w:rPr>
            </w:pPr>
            <w:r>
              <w:t>JA/NEE</w:t>
            </w:r>
          </w:p>
        </w:tc>
        <w:tc>
          <w:tcPr>
            <w:tcW w:w="1564" w:type="dxa"/>
            <w:vAlign w:val="center"/>
          </w:tcPr>
          <w:p>
            <w:pPr>
              <w:jc w:val="center"/>
            </w:pPr>
            <w:r>
              <w:t>JA/NEE</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 xml:space="preserve">Geraamde gevolgen voor de uitgaven </w:t>
      </w:r>
    </w:p>
    <w:p>
      <w:pPr>
        <w:pStyle w:val="Text1"/>
        <w:rPr>
          <w:noProof/>
        </w:rPr>
      </w:pPr>
      <w:r>
        <w:rPr>
          <w:noProof/>
        </w:rPr>
        <w:t>De hieronder vermelde gevolgen voor de uitgaven stroken met Mededeling (2013) 519 van de Commissie.</w:t>
      </w:r>
    </w:p>
    <w:p>
      <w:pPr>
        <w:pStyle w:val="ManualHeading3"/>
        <w:rPr>
          <w:bCs/>
          <w:noProof/>
          <w:szCs w:val="24"/>
        </w:rPr>
      </w:pPr>
      <w:r>
        <w:t>3.2.1.</w:t>
      </w:r>
      <w:r>
        <w:tab/>
      </w:r>
      <w:r>
        <w:rPr>
          <w:noProof/>
        </w:rPr>
        <w:t xml:space="preserve">Samenvatting van de geraamde gevolgen voor de uitgaven </w:t>
      </w:r>
    </w:p>
    <w:p>
      <w:pPr>
        <w:jc w:val="right"/>
        <w:rPr>
          <w:noProof/>
          <w:sz w:val="20"/>
        </w:rPr>
      </w:pPr>
      <w:r>
        <w:rPr>
          <w:noProof/>
          <w:sz w:val="20"/>
        </w:rPr>
        <w:t>in miljoenen euro's (tot op drie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Rubriek van het meerjarige financiële </w:t>
            </w:r>
            <w:r>
              <w:rPr>
                <w:noProof/>
                <w:sz w:val="22"/>
              </w:rPr>
              <w:br/>
            </w:r>
            <w:r>
              <w:rPr>
                <w:b/>
                <w:noProof/>
                <w:sz w:val="22"/>
              </w:rPr>
              <w:t xml:space="preserve">kader: </w:t>
            </w:r>
          </w:p>
        </w:tc>
        <w:tc>
          <w:tcPr>
            <w:tcW w:w="1080" w:type="dxa"/>
            <w:vAlign w:val="center"/>
          </w:tcPr>
          <w:p>
            <w:pPr>
              <w:spacing w:before="60" w:after="60"/>
              <w:jc w:val="center"/>
            </w:pPr>
            <w:r>
              <w:rPr>
                <w:noProof/>
                <w:sz w:val="22"/>
              </w:rPr>
              <w:t>1A</w:t>
            </w:r>
          </w:p>
        </w:tc>
        <w:tc>
          <w:tcPr>
            <w:tcW w:w="7817" w:type="dxa"/>
            <w:vAlign w:val="center"/>
          </w:tcPr>
          <w:p>
            <w:pPr>
              <w:spacing w:before="60" w:after="60"/>
            </w:pPr>
            <w:r>
              <w:t>Concurrentievermogen ter bevordering van groei en werkgelegenheid</w:t>
            </w:r>
          </w:p>
        </w:tc>
      </w:tr>
    </w:tbl>
    <w:p>
      <w:pPr>
        <w:rPr>
          <w:noProof/>
          <w:sz w:val="16"/>
        </w:rPr>
      </w:pP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99"/>
        <w:gridCol w:w="899"/>
        <w:gridCol w:w="1759"/>
      </w:tblGrid>
      <w:tr>
        <w:tc>
          <w:tcPr>
            <w:tcW w:w="3960" w:type="dxa"/>
            <w:vAlign w:val="center"/>
          </w:tcPr>
          <w:p>
            <w:pPr>
              <w:jc w:val="center"/>
              <w:rPr>
                <w:noProof/>
                <w:sz w:val="22"/>
              </w:rPr>
            </w:pPr>
            <w:r>
              <w:rPr>
                <w:noProof/>
                <w:sz w:val="22"/>
              </w:rPr>
              <w:t>Europese Stichting tot verbetering van de levens- en arbeidsomstandigheden (Eurofound)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szCs w:val="20"/>
              </w:rPr>
            </w:pPr>
            <w:r>
              <w:rPr>
                <w:noProof/>
                <w:sz w:val="20"/>
              </w:rPr>
              <w:t>2013</w:t>
            </w:r>
          </w:p>
        </w:tc>
        <w:tc>
          <w:tcPr>
            <w:tcW w:w="868" w:type="dxa"/>
            <w:vAlign w:val="center"/>
          </w:tcPr>
          <w:p>
            <w:pPr>
              <w:jc w:val="center"/>
              <w:rPr>
                <w:noProof/>
                <w:sz w:val="20"/>
                <w:szCs w:val="20"/>
              </w:rPr>
            </w:pPr>
            <w:r>
              <w:rPr>
                <w:noProof/>
                <w:sz w:val="20"/>
              </w:rPr>
              <w:t>2014</w:t>
            </w:r>
          </w:p>
        </w:tc>
        <w:tc>
          <w:tcPr>
            <w:tcW w:w="868" w:type="dxa"/>
            <w:vAlign w:val="center"/>
          </w:tcPr>
          <w:p>
            <w:pPr>
              <w:jc w:val="center"/>
              <w:rPr>
                <w:noProof/>
                <w:sz w:val="20"/>
                <w:szCs w:val="20"/>
              </w:rPr>
            </w:pPr>
            <w:r>
              <w:rPr>
                <w:noProof/>
                <w:sz w:val="20"/>
              </w:rPr>
              <w:t>2015</w:t>
            </w:r>
          </w:p>
        </w:tc>
        <w:tc>
          <w:tcPr>
            <w:tcW w:w="868" w:type="dxa"/>
            <w:vAlign w:val="center"/>
          </w:tcPr>
          <w:p>
            <w:pPr>
              <w:jc w:val="center"/>
              <w:rPr>
                <w:noProof/>
                <w:sz w:val="20"/>
                <w:szCs w:val="20"/>
              </w:rPr>
            </w:pPr>
            <w:r>
              <w:rPr>
                <w:noProof/>
                <w:sz w:val="20"/>
              </w:rPr>
              <w:t>2016</w:t>
            </w:r>
          </w:p>
        </w:tc>
        <w:tc>
          <w:tcPr>
            <w:tcW w:w="868" w:type="dxa"/>
            <w:vAlign w:val="center"/>
          </w:tcPr>
          <w:p>
            <w:pPr>
              <w:jc w:val="center"/>
              <w:rPr>
                <w:noProof/>
                <w:sz w:val="20"/>
                <w:szCs w:val="20"/>
              </w:rPr>
            </w:pPr>
            <w:r>
              <w:rPr>
                <w:noProof/>
                <w:sz w:val="20"/>
              </w:rPr>
              <w:t>2017</w:t>
            </w:r>
          </w:p>
        </w:tc>
        <w:tc>
          <w:tcPr>
            <w:tcW w:w="868" w:type="dxa"/>
            <w:vAlign w:val="center"/>
          </w:tcPr>
          <w:p>
            <w:pPr>
              <w:jc w:val="center"/>
              <w:rPr>
                <w:noProof/>
                <w:sz w:val="20"/>
                <w:szCs w:val="20"/>
              </w:rPr>
            </w:pPr>
            <w:r>
              <w:rPr>
                <w:noProof/>
                <w:sz w:val="20"/>
              </w:rPr>
              <w:t>2018</w:t>
            </w:r>
          </w:p>
        </w:tc>
        <w:tc>
          <w:tcPr>
            <w:tcW w:w="899" w:type="dxa"/>
            <w:vAlign w:val="center"/>
          </w:tcPr>
          <w:p>
            <w:pPr>
              <w:jc w:val="center"/>
              <w:rPr>
                <w:noProof/>
                <w:sz w:val="20"/>
                <w:szCs w:val="20"/>
              </w:rPr>
            </w:pPr>
            <w:r>
              <w:rPr>
                <w:noProof/>
                <w:sz w:val="20"/>
              </w:rPr>
              <w:t>2019</w:t>
            </w:r>
          </w:p>
        </w:tc>
        <w:tc>
          <w:tcPr>
            <w:tcW w:w="899" w:type="dxa"/>
            <w:vAlign w:val="center"/>
          </w:tcPr>
          <w:p>
            <w:pPr>
              <w:jc w:val="center"/>
              <w:rPr>
                <w:noProof/>
                <w:sz w:val="20"/>
                <w:szCs w:val="20"/>
              </w:rPr>
            </w:pPr>
            <w:r>
              <w:rPr>
                <w:noProof/>
                <w:sz w:val="20"/>
              </w:rPr>
              <w:t>2020</w:t>
            </w:r>
          </w:p>
        </w:tc>
        <w:tc>
          <w:tcPr>
            <w:tcW w:w="1759" w:type="dxa"/>
            <w:vAlign w:val="center"/>
          </w:tcPr>
          <w:p>
            <w:pPr>
              <w:jc w:val="center"/>
              <w:rPr>
                <w:b/>
                <w:noProof/>
                <w:sz w:val="20"/>
              </w:rPr>
            </w:pPr>
            <w:r>
              <w:rPr>
                <w:b/>
                <w:noProof/>
                <w:sz w:val="20"/>
              </w:rPr>
              <w:t>TOTAAL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 Beleidskredieten </w:t>
            </w:r>
          </w:p>
        </w:tc>
        <w:tc>
          <w:tcPr>
            <w:tcW w:w="868" w:type="dxa"/>
          </w:tcPr>
          <w:p>
            <w:pPr>
              <w:rPr>
                <w:noProof/>
                <w:sz w:val="20"/>
              </w:rPr>
            </w:pPr>
          </w:p>
        </w:tc>
        <w:tc>
          <w:tcPr>
            <w:tcW w:w="868" w:type="dxa"/>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b/>
                <w:noProof/>
                <w:sz w:val="20"/>
              </w:rPr>
            </w:pPr>
          </w:p>
        </w:tc>
        <w:tc>
          <w:tcPr>
            <w:tcW w:w="899" w:type="dxa"/>
            <w:vAlign w:val="center"/>
          </w:tcPr>
          <w:p>
            <w:pPr>
              <w:rPr>
                <w:b/>
                <w:noProof/>
                <w:sz w:val="20"/>
              </w:rPr>
            </w:pPr>
          </w:p>
        </w:tc>
        <w:tc>
          <w:tcPr>
            <w:tcW w:w="1759"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Nummer begrotingsonderdeel</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99" w:type="dxa"/>
          </w:tcPr>
          <w:p>
            <w:pPr>
              <w:rPr>
                <w:noProof/>
              </w:rPr>
            </w:pPr>
            <w:r>
              <w:rPr>
                <w:noProof/>
                <w:sz w:val="20"/>
              </w:rPr>
              <w:t>20,779</w:t>
            </w:r>
          </w:p>
        </w:tc>
        <w:tc>
          <w:tcPr>
            <w:tcW w:w="899" w:type="dxa"/>
          </w:tcPr>
          <w:p>
            <w:pPr>
              <w:rPr>
                <w:noProof/>
              </w:rPr>
            </w:pPr>
            <w:r>
              <w:rPr>
                <w:noProof/>
                <w:sz w:val="20"/>
              </w:rPr>
              <w:t>21,195</w:t>
            </w:r>
          </w:p>
        </w:tc>
        <w:tc>
          <w:tcPr>
            <w:tcW w:w="1759" w:type="dxa"/>
            <w:vAlign w:val="center"/>
          </w:tcPr>
          <w:p>
            <w:pPr>
              <w:spacing w:before="20" w:after="20"/>
              <w:jc w:val="right"/>
              <w:rPr>
                <w:b/>
                <w:noProof/>
                <w:sz w:val="20"/>
              </w:rPr>
            </w:pPr>
            <w:r>
              <w:rPr>
                <w:b/>
                <w:noProof/>
                <w:sz w:val="20"/>
              </w:rPr>
              <w:t>143,829</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68" w:type="dxa"/>
          </w:tcPr>
          <w:p>
            <w:pPr>
              <w:rPr>
                <w:noProof/>
              </w:rPr>
            </w:pPr>
            <w:r>
              <w:rPr>
                <w:noProof/>
                <w:sz w:val="20"/>
              </w:rPr>
              <w:t>20,371</w:t>
            </w:r>
          </w:p>
        </w:tc>
        <w:tc>
          <w:tcPr>
            <w:tcW w:w="899" w:type="dxa"/>
          </w:tcPr>
          <w:p>
            <w:pPr>
              <w:rPr>
                <w:noProof/>
                <w:sz w:val="20"/>
                <w:szCs w:val="20"/>
              </w:rPr>
            </w:pPr>
            <w:r>
              <w:rPr>
                <w:noProof/>
                <w:sz w:val="20"/>
              </w:rPr>
              <w:t>20,779</w:t>
            </w:r>
          </w:p>
        </w:tc>
        <w:tc>
          <w:tcPr>
            <w:tcW w:w="899" w:type="dxa"/>
          </w:tcPr>
          <w:p>
            <w:pPr>
              <w:rPr>
                <w:noProof/>
                <w:sz w:val="20"/>
                <w:szCs w:val="20"/>
              </w:rPr>
            </w:pPr>
            <w:r>
              <w:rPr>
                <w:noProof/>
                <w:sz w:val="20"/>
              </w:rPr>
              <w:t>21,195</w:t>
            </w:r>
          </w:p>
        </w:tc>
        <w:tc>
          <w:tcPr>
            <w:tcW w:w="1759" w:type="dxa"/>
            <w:vAlign w:val="center"/>
          </w:tcPr>
          <w:p>
            <w:pPr>
              <w:spacing w:before="20" w:after="20"/>
              <w:jc w:val="right"/>
              <w:rPr>
                <w:b/>
                <w:noProof/>
                <w:sz w:val="20"/>
              </w:rPr>
            </w:pPr>
            <w:r>
              <w:rPr>
                <w:b/>
                <w:noProof/>
                <w:sz w:val="20"/>
              </w:rPr>
              <w:t>143,829</w:t>
            </w:r>
          </w:p>
        </w:tc>
      </w:tr>
      <w:tr>
        <w:tc>
          <w:tcPr>
            <w:tcW w:w="3960" w:type="dxa"/>
            <w:vMerge w:val="restart"/>
            <w:vAlign w:val="center"/>
          </w:tcPr>
          <w:p>
            <w:pPr>
              <w:rPr>
                <w:noProof/>
                <w:sz w:val="22"/>
              </w:rPr>
            </w:pPr>
            <w:r>
              <w:rPr>
                <w:noProof/>
                <w:sz w:val="20"/>
              </w:rPr>
              <w:t>Nummer begrotingsonderdeel</w:t>
            </w:r>
          </w:p>
        </w:tc>
        <w:tc>
          <w:tcPr>
            <w:tcW w:w="1440" w:type="dxa"/>
            <w:vAlign w:val="center"/>
          </w:tcPr>
          <w:p>
            <w:pPr>
              <w:spacing w:before="20" w:after="20"/>
              <w:rPr>
                <w:noProof/>
                <w:sz w:val="18"/>
              </w:rPr>
            </w:pPr>
            <w:r>
              <w:rPr>
                <w:noProof/>
                <w:sz w:val="18"/>
              </w:rPr>
              <w:t>Vastleggingen</w:t>
            </w:r>
          </w:p>
        </w:tc>
        <w:tc>
          <w:tcPr>
            <w:tcW w:w="654" w:type="dxa"/>
            <w:gridSpan w:val="2"/>
            <w:vAlign w:val="center"/>
          </w:tcPr>
          <w:p>
            <w:pPr>
              <w:spacing w:before="20" w:after="20"/>
              <w:jc w:val="center"/>
              <w:rPr>
                <w:noProof/>
                <w:sz w:val="14"/>
              </w:rPr>
            </w:pPr>
            <w:r>
              <w:rPr>
                <w:noProof/>
                <w:sz w:val="14"/>
              </w:rPr>
              <w:t>(1a)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759"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Betalingen</w:t>
            </w:r>
          </w:p>
        </w:tc>
        <w:tc>
          <w:tcPr>
            <w:tcW w:w="654" w:type="dxa"/>
            <w:gridSpan w:val="2"/>
            <w:vAlign w:val="center"/>
          </w:tcPr>
          <w:p>
            <w:pPr>
              <w:spacing w:before="20" w:after="20"/>
              <w:jc w:val="center"/>
              <w:rPr>
                <w:noProof/>
                <w:sz w:val="14"/>
              </w:rPr>
            </w:pPr>
            <w:r>
              <w:rPr>
                <w:noProof/>
                <w:sz w:val="14"/>
              </w:rPr>
              <w:t>(2a)</w:t>
            </w: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tcPr>
          <w:p>
            <w:pPr>
              <w:spacing w:before="20" w:after="20"/>
              <w:jc w:val="right"/>
              <w:rPr>
                <w:b/>
                <w:noProof/>
                <w:sz w:val="20"/>
              </w:rPr>
            </w:pPr>
          </w:p>
        </w:tc>
        <w:tc>
          <w:tcPr>
            <w:tcW w:w="899" w:type="dxa"/>
            <w:vAlign w:val="center"/>
          </w:tcPr>
          <w:p>
            <w:pPr>
              <w:spacing w:before="20" w:after="20"/>
              <w:jc w:val="right"/>
              <w:rPr>
                <w:b/>
                <w:noProof/>
                <w:sz w:val="20"/>
              </w:rPr>
            </w:pPr>
          </w:p>
        </w:tc>
        <w:tc>
          <w:tcPr>
            <w:tcW w:w="1759"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Uit het budget van specifieke programma's gefinancierde administratieve kredieten</w:t>
            </w:r>
            <w:r>
              <w:rPr>
                <w:rStyle w:val="FootnoteReference"/>
                <w:noProof/>
              </w:rPr>
              <w:footnoteReference w:id="18"/>
            </w:r>
            <w:r>
              <w:rPr>
                <w:noProof/>
                <w:sz w:val="21"/>
              </w:rPr>
              <w:t xml:space="preserve"> </w:t>
            </w:r>
          </w:p>
          <w:p>
            <w:pPr>
              <w:spacing w:before="0" w:after="0"/>
              <w:rPr>
                <w:noProof/>
                <w:sz w:val="22"/>
              </w:rPr>
            </w:pPr>
          </w:p>
        </w:tc>
        <w:tc>
          <w:tcPr>
            <w:tcW w:w="868" w:type="dxa"/>
          </w:tcPr>
          <w:p>
            <w:pPr>
              <w:rPr>
                <w:b/>
                <w:noProof/>
                <w:sz w:val="20"/>
              </w:rPr>
            </w:pPr>
            <w:r>
              <w:rPr>
                <w:b/>
                <w:noProof/>
                <w:sz w:val="20"/>
              </w:rPr>
              <w:t>n.v.t.</w:t>
            </w:r>
          </w:p>
        </w:tc>
        <w:tc>
          <w:tcPr>
            <w:tcW w:w="868" w:type="dxa"/>
          </w:tcPr>
          <w:p>
            <w:pPr>
              <w:rPr>
                <w:b/>
                <w:noProof/>
                <w:sz w:val="20"/>
              </w:rPr>
            </w:pPr>
            <w:r>
              <w:rPr>
                <w:b/>
                <w:noProof/>
                <w:sz w:val="20"/>
              </w:rPr>
              <w:t>n.v.t.</w:t>
            </w:r>
          </w:p>
        </w:tc>
        <w:tc>
          <w:tcPr>
            <w:tcW w:w="868" w:type="dxa"/>
          </w:tcPr>
          <w:p>
            <w:pPr>
              <w:rPr>
                <w:b/>
                <w:noProof/>
                <w:sz w:val="20"/>
              </w:rPr>
            </w:pPr>
            <w:r>
              <w:rPr>
                <w:b/>
                <w:noProof/>
                <w:sz w:val="20"/>
              </w:rPr>
              <w:t>n.v.t.</w:t>
            </w:r>
          </w:p>
        </w:tc>
        <w:tc>
          <w:tcPr>
            <w:tcW w:w="868" w:type="dxa"/>
          </w:tcPr>
          <w:p>
            <w:pPr>
              <w:rPr>
                <w:b/>
                <w:noProof/>
                <w:sz w:val="20"/>
              </w:rPr>
            </w:pPr>
            <w:r>
              <w:rPr>
                <w:b/>
                <w:noProof/>
                <w:sz w:val="20"/>
              </w:rPr>
              <w:t>n.v.t.</w:t>
            </w:r>
          </w:p>
        </w:tc>
        <w:tc>
          <w:tcPr>
            <w:tcW w:w="868" w:type="dxa"/>
          </w:tcPr>
          <w:p>
            <w:pPr>
              <w:rPr>
                <w:b/>
                <w:noProof/>
                <w:sz w:val="20"/>
              </w:rPr>
            </w:pPr>
            <w:r>
              <w:rPr>
                <w:b/>
                <w:noProof/>
                <w:sz w:val="20"/>
              </w:rPr>
              <w:t>n.v.t.</w:t>
            </w:r>
          </w:p>
        </w:tc>
        <w:tc>
          <w:tcPr>
            <w:tcW w:w="868" w:type="dxa"/>
          </w:tcPr>
          <w:p>
            <w:pPr>
              <w:rPr>
                <w:b/>
                <w:noProof/>
                <w:sz w:val="20"/>
              </w:rPr>
            </w:pPr>
            <w:r>
              <w:rPr>
                <w:b/>
                <w:noProof/>
                <w:sz w:val="20"/>
              </w:rPr>
              <w:t>n.v.t.</w:t>
            </w:r>
          </w:p>
        </w:tc>
        <w:tc>
          <w:tcPr>
            <w:tcW w:w="899" w:type="dxa"/>
          </w:tcPr>
          <w:p>
            <w:pPr>
              <w:rPr>
                <w:b/>
                <w:noProof/>
                <w:sz w:val="20"/>
              </w:rPr>
            </w:pPr>
            <w:r>
              <w:rPr>
                <w:b/>
                <w:noProof/>
                <w:sz w:val="20"/>
              </w:rPr>
              <w:t>n.v.t.</w:t>
            </w:r>
          </w:p>
        </w:tc>
        <w:tc>
          <w:tcPr>
            <w:tcW w:w="899" w:type="dxa"/>
          </w:tcPr>
          <w:p>
            <w:pPr>
              <w:rPr>
                <w:b/>
                <w:noProof/>
                <w:sz w:val="20"/>
              </w:rPr>
            </w:pPr>
            <w:r>
              <w:rPr>
                <w:b/>
                <w:noProof/>
                <w:sz w:val="20"/>
              </w:rPr>
              <w:t>n.v.t.</w:t>
            </w:r>
          </w:p>
        </w:tc>
        <w:tc>
          <w:tcPr>
            <w:tcW w:w="1759"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Nummer begrotingsonderdeel</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tcPr>
          <w:p>
            <w:pPr>
              <w:spacing w:before="40" w:after="40"/>
              <w:jc w:val="right"/>
              <w:rPr>
                <w:b/>
                <w:noProof/>
                <w:sz w:val="20"/>
              </w:rPr>
            </w:pPr>
          </w:p>
        </w:tc>
        <w:tc>
          <w:tcPr>
            <w:tcW w:w="868" w:type="dxa"/>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99" w:type="dxa"/>
          </w:tcPr>
          <w:p>
            <w:pPr>
              <w:spacing w:before="40" w:after="40"/>
              <w:jc w:val="right"/>
              <w:rPr>
                <w:b/>
                <w:noProof/>
                <w:sz w:val="20"/>
              </w:rPr>
            </w:pPr>
          </w:p>
        </w:tc>
        <w:tc>
          <w:tcPr>
            <w:tcW w:w="899" w:type="dxa"/>
            <w:vAlign w:val="center"/>
          </w:tcPr>
          <w:p>
            <w:pPr>
              <w:spacing w:before="40" w:after="40"/>
              <w:jc w:val="right"/>
              <w:rPr>
                <w:b/>
                <w:noProof/>
                <w:sz w:val="20"/>
              </w:rPr>
            </w:pPr>
          </w:p>
        </w:tc>
        <w:tc>
          <w:tcPr>
            <w:tcW w:w="1759"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TOTAAL kredieten</w:t>
            </w:r>
            <w:r>
              <w:rPr>
                <w:noProof/>
                <w:sz w:val="22"/>
              </w:rPr>
              <w:br/>
            </w:r>
            <w:r>
              <w:rPr>
                <w:b/>
                <w:noProof/>
                <w:sz w:val="22"/>
              </w:rPr>
              <w:t xml:space="preserve">voor </w:t>
            </w:r>
            <w:r>
              <w:rPr>
                <w:noProof/>
                <w:sz w:val="22"/>
              </w:rPr>
              <w:t>Europese Stichting tot verbetering van de levens- en arbeidsomstandigheden (Eurofound)</w:t>
            </w:r>
          </w:p>
        </w:tc>
        <w:tc>
          <w:tcPr>
            <w:tcW w:w="1440" w:type="dxa"/>
            <w:vAlign w:val="center"/>
          </w:tcPr>
          <w:p>
            <w:pPr>
              <w:rPr>
                <w:noProof/>
                <w:sz w:val="18"/>
              </w:rPr>
            </w:pPr>
            <w:r>
              <w:rPr>
                <w:noProof/>
                <w:sz w:val="18"/>
              </w:rPr>
              <w:t>Vastleggingen</w:t>
            </w:r>
          </w:p>
        </w:tc>
        <w:tc>
          <w:tcPr>
            <w:tcW w:w="654" w:type="dxa"/>
            <w:gridSpan w:val="2"/>
            <w:vAlign w:val="center"/>
          </w:tcPr>
          <w:p>
            <w:pPr>
              <w:jc w:val="center"/>
              <w:rPr>
                <w:noProof/>
                <w:sz w:val="14"/>
              </w:rPr>
            </w:pPr>
            <w:r>
              <w:rPr>
                <w:noProof/>
                <w:sz w:val="14"/>
              </w:rPr>
              <w:t>=1+1a +3</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99" w:type="dxa"/>
          </w:tcPr>
          <w:p>
            <w:pPr>
              <w:rPr>
                <w:noProof/>
                <w:sz w:val="20"/>
                <w:szCs w:val="20"/>
              </w:rPr>
            </w:pPr>
            <w:r>
              <w:rPr>
                <w:noProof/>
                <w:sz w:val="20"/>
              </w:rPr>
              <w:t>20,779</w:t>
            </w:r>
          </w:p>
        </w:tc>
        <w:tc>
          <w:tcPr>
            <w:tcW w:w="899" w:type="dxa"/>
          </w:tcPr>
          <w:p>
            <w:pPr>
              <w:rPr>
                <w:noProof/>
                <w:sz w:val="20"/>
                <w:szCs w:val="20"/>
              </w:rPr>
            </w:pPr>
            <w:r>
              <w:rPr>
                <w:noProof/>
                <w:sz w:val="20"/>
              </w:rPr>
              <w:t>21,195</w:t>
            </w:r>
          </w:p>
        </w:tc>
        <w:tc>
          <w:tcPr>
            <w:tcW w:w="1759" w:type="dxa"/>
          </w:tcPr>
          <w:p>
            <w:pPr>
              <w:jc w:val="right"/>
              <w:rPr>
                <w:b/>
                <w:noProof/>
                <w:sz w:val="20"/>
                <w:szCs w:val="20"/>
              </w:rPr>
            </w:pPr>
            <w:r>
              <w:rPr>
                <w:b/>
                <w:noProof/>
                <w:sz w:val="20"/>
              </w:rPr>
              <w:t>143,829</w:t>
            </w:r>
          </w:p>
        </w:tc>
      </w:tr>
      <w:tr>
        <w:tc>
          <w:tcPr>
            <w:tcW w:w="3960" w:type="dxa"/>
            <w:vMerge/>
          </w:tcPr>
          <w:p>
            <w:pPr>
              <w:rPr>
                <w:noProof/>
                <w:sz w:val="20"/>
              </w:rPr>
            </w:pPr>
          </w:p>
        </w:tc>
        <w:tc>
          <w:tcPr>
            <w:tcW w:w="1440" w:type="dxa"/>
            <w:vAlign w:val="center"/>
          </w:tcPr>
          <w:p>
            <w:pPr>
              <w:rPr>
                <w:noProof/>
                <w:sz w:val="18"/>
              </w:rPr>
            </w:pPr>
            <w:r>
              <w:rPr>
                <w:noProof/>
                <w:sz w:val="18"/>
              </w:rPr>
              <w:t>Betalingen</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68" w:type="dxa"/>
          </w:tcPr>
          <w:p>
            <w:pPr>
              <w:rPr>
                <w:noProof/>
                <w:sz w:val="20"/>
                <w:szCs w:val="20"/>
              </w:rPr>
            </w:pPr>
            <w:r>
              <w:rPr>
                <w:noProof/>
                <w:sz w:val="20"/>
              </w:rPr>
              <w:t>20,371</w:t>
            </w:r>
          </w:p>
        </w:tc>
        <w:tc>
          <w:tcPr>
            <w:tcW w:w="899" w:type="dxa"/>
          </w:tcPr>
          <w:p>
            <w:pPr>
              <w:rPr>
                <w:noProof/>
                <w:sz w:val="20"/>
                <w:szCs w:val="20"/>
              </w:rPr>
            </w:pPr>
            <w:r>
              <w:rPr>
                <w:noProof/>
                <w:sz w:val="20"/>
              </w:rPr>
              <w:t>20,779</w:t>
            </w:r>
          </w:p>
        </w:tc>
        <w:tc>
          <w:tcPr>
            <w:tcW w:w="899" w:type="dxa"/>
          </w:tcPr>
          <w:p>
            <w:pPr>
              <w:rPr>
                <w:noProof/>
                <w:sz w:val="20"/>
                <w:szCs w:val="20"/>
              </w:rPr>
            </w:pPr>
            <w:r>
              <w:rPr>
                <w:noProof/>
                <w:sz w:val="20"/>
              </w:rPr>
              <w:t>21,195</w:t>
            </w:r>
          </w:p>
        </w:tc>
        <w:tc>
          <w:tcPr>
            <w:tcW w:w="1759" w:type="dxa"/>
          </w:tcPr>
          <w:p>
            <w:pPr>
              <w:jc w:val="right"/>
              <w:rPr>
                <w:b/>
                <w:noProof/>
                <w:sz w:val="20"/>
                <w:szCs w:val="20"/>
              </w:rPr>
            </w:pPr>
            <w:r>
              <w:rPr>
                <w:b/>
                <w:noProof/>
                <w:sz w:val="20"/>
              </w:rPr>
              <w:t>143,829</w:t>
            </w:r>
          </w:p>
        </w:tc>
      </w:tr>
    </w:tbl>
    <w:p>
      <w:pPr>
        <w:rPr>
          <w:noProof/>
        </w:rPr>
      </w:pPr>
      <w:r>
        <w:rPr>
          <w:noProof/>
        </w:rPr>
        <w:br/>
      </w:r>
    </w:p>
    <w:p>
      <w:pPr>
        <w:rPr>
          <w:noProof/>
        </w:rPr>
        <w:sectPr>
          <w:headerReference w:type="default" r:id="rId13"/>
          <w:footerReference w:type="default" r:id="rId14"/>
          <w:headerReference w:type="first" r:id="rId15"/>
          <w:footerReference w:type="first" r:id="rId16"/>
          <w:pgSz w:w="15840" w:h="12240" w:orient="landscape"/>
          <w:pgMar w:top="1134" w:right="1077" w:bottom="902" w:left="1247" w:header="709" w:footer="510" w:gutter="0"/>
          <w:cols w:space="720"/>
          <w:docGrid w:linePitch="326"/>
        </w:sectPr>
      </w:pPr>
      <w:r>
        <w:rPr>
          <w:noProof/>
        </w:rPr>
        <w:br w:type="page"/>
      </w:r>
    </w:p>
    <w:p>
      <w:pPr>
        <w:pStyle w:val="ManualHeading3"/>
        <w:rPr>
          <w:bCs/>
          <w:noProof/>
          <w:szCs w:val="24"/>
        </w:rPr>
      </w:pPr>
      <w:r>
        <w:t>3.2.2.</w:t>
      </w:r>
      <w:r>
        <w:tab/>
      </w:r>
      <w:r>
        <w:rPr>
          <w:noProof/>
        </w:rPr>
        <w:t xml:space="preserve">Geraamde gevolgen voor de personele middelen van Eurofound </w:t>
      </w:r>
    </w:p>
    <w:p>
      <w:pPr>
        <w:pStyle w:val="ManualHeading4"/>
        <w:rPr>
          <w:bCs/>
          <w:noProof/>
          <w:szCs w:val="24"/>
        </w:rPr>
      </w:pPr>
      <w:r>
        <w:t>3.2.2.1.</w:t>
      </w:r>
      <w:r>
        <w:tab/>
      </w:r>
      <w:r>
        <w:rPr>
          <w:noProof/>
        </w:rPr>
        <w:t xml:space="preserve">Samenvatting </w:t>
      </w:r>
    </w:p>
    <w:p>
      <w:pPr>
        <w:pStyle w:val="ListDash1"/>
        <w:numPr>
          <w:ilvl w:val="0"/>
          <w:numId w:val="43"/>
        </w:numPr>
        <w:rPr>
          <w:noProof/>
        </w:rPr>
      </w:pPr>
      <w:r>
        <w:rPr>
          <w:noProof/>
        </w:rPr>
        <w:sym w:font="Wingdings" w:char="F0A8"/>
      </w:r>
      <w:r>
        <w:rPr>
          <w:noProof/>
        </w:rPr>
        <w:tab/>
        <w:t xml:space="preserve">Voor het voorstel/initiatief zijn geen administratieve kredieten nodig </w:t>
      </w:r>
    </w:p>
    <w:p>
      <w:pPr>
        <w:pStyle w:val="ListDash1"/>
        <w:numPr>
          <w:ilvl w:val="0"/>
          <w:numId w:val="43"/>
        </w:numPr>
        <w:rPr>
          <w:noProof/>
        </w:rPr>
      </w:pPr>
      <w:r>
        <w:rPr>
          <w:noProof/>
        </w:rPr>
        <w:sym w:font="Wingdings" w:char="F078"/>
      </w:r>
      <w:r>
        <w:rPr>
          <w:noProof/>
        </w:rPr>
        <w:tab/>
        <w:t>Voor het voorstel/initiatief zijn administratieve kredieten nodig, zoals hieronder nader wordt beschreven:</w:t>
      </w:r>
    </w:p>
    <w:p>
      <w:pPr>
        <w:rPr>
          <w:noProof/>
          <w:sz w:val="20"/>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2016</w:t>
            </w:r>
          </w:p>
        </w:tc>
        <w:tc>
          <w:tcPr>
            <w:tcW w:w="1080" w:type="dxa"/>
            <w:vAlign w:val="center"/>
          </w:tcPr>
          <w:p>
            <w:pPr>
              <w:spacing w:before="60" w:after="60"/>
              <w:jc w:val="center"/>
              <w:rPr>
                <w:noProof/>
                <w:sz w:val="20"/>
              </w:rPr>
            </w:pPr>
            <w:r>
              <w:rPr>
                <w:noProof/>
                <w:sz w:val="20"/>
              </w:rPr>
              <w:t>2017</w:t>
            </w:r>
          </w:p>
        </w:tc>
        <w:tc>
          <w:tcPr>
            <w:tcW w:w="1080" w:type="dxa"/>
            <w:vAlign w:val="center"/>
          </w:tcPr>
          <w:p>
            <w:pPr>
              <w:spacing w:before="60" w:after="60"/>
              <w:jc w:val="center"/>
              <w:rPr>
                <w:noProof/>
                <w:sz w:val="20"/>
              </w:rPr>
            </w:pPr>
            <w:r>
              <w:rPr>
                <w:noProof/>
                <w:sz w:val="20"/>
              </w:rPr>
              <w:t>2018</w:t>
            </w:r>
          </w:p>
        </w:tc>
        <w:tc>
          <w:tcPr>
            <w:tcW w:w="1080" w:type="dxa"/>
            <w:vAlign w:val="center"/>
          </w:tcPr>
          <w:p>
            <w:pPr>
              <w:spacing w:before="60" w:after="60"/>
              <w:jc w:val="center"/>
              <w:rPr>
                <w:noProof/>
                <w:sz w:val="20"/>
              </w:rPr>
            </w:pPr>
            <w:r>
              <w:rPr>
                <w:noProof/>
                <w:sz w:val="20"/>
              </w:rPr>
              <w:t>2019</w:t>
            </w:r>
          </w:p>
        </w:tc>
        <w:tc>
          <w:tcPr>
            <w:tcW w:w="1080" w:type="dxa"/>
            <w:vAlign w:val="center"/>
          </w:tcPr>
          <w:p>
            <w:pPr>
              <w:jc w:val="center"/>
              <w:rPr>
                <w:b/>
                <w:noProof/>
                <w:sz w:val="20"/>
              </w:rPr>
            </w:pPr>
            <w:r>
              <w:rPr>
                <w:noProof/>
                <w:sz w:val="20"/>
              </w:rPr>
              <w:t>2020</w:t>
            </w:r>
          </w:p>
        </w:tc>
        <w:tc>
          <w:tcPr>
            <w:tcW w:w="1080" w:type="dxa"/>
            <w:vAlign w:val="center"/>
          </w:tcPr>
          <w:p>
            <w:pPr>
              <w:jc w:val="center"/>
              <w:rPr>
                <w:b/>
                <w:noProof/>
                <w:sz w:val="20"/>
              </w:rPr>
            </w:pPr>
          </w:p>
        </w:tc>
        <w:tc>
          <w:tcPr>
            <w:tcW w:w="1080" w:type="dxa"/>
            <w:vAlign w:val="center"/>
          </w:tcPr>
          <w:p>
            <w:pPr>
              <w:jc w:val="center"/>
              <w:rPr>
                <w:b/>
                <w:noProof/>
                <w:sz w:val="20"/>
              </w:rPr>
            </w:pPr>
          </w:p>
        </w:tc>
        <w:tc>
          <w:tcPr>
            <w:tcW w:w="1080" w:type="dxa"/>
            <w:vAlign w:val="center"/>
          </w:tcPr>
          <w:p>
            <w:pPr>
              <w:spacing w:before="60" w:after="60"/>
              <w:jc w:val="center"/>
              <w:rPr>
                <w:b/>
                <w:noProof/>
                <w:sz w:val="20"/>
              </w:rPr>
            </w:pPr>
            <w:r>
              <w:rPr>
                <w:b/>
                <w:noProof/>
                <w:sz w:val="20"/>
              </w:rPr>
              <w:t>TOTAAL</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Ambtenaren (AD)</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r>
              <w:rPr>
                <w:noProof/>
                <w:sz w:val="20"/>
              </w:rPr>
              <w:t>8</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Ambtenaren (AST)</w:t>
            </w:r>
          </w:p>
        </w:tc>
        <w:tc>
          <w:tcPr>
            <w:tcW w:w="1080" w:type="dxa"/>
            <w:vAlign w:val="center"/>
          </w:tcPr>
          <w:p>
            <w:pPr>
              <w:spacing w:before="60" w:after="60"/>
              <w:jc w:val="right"/>
              <w:rPr>
                <w:noProof/>
                <w:sz w:val="20"/>
              </w:rPr>
            </w:pPr>
            <w:r>
              <w:rPr>
                <w:noProof/>
                <w:sz w:val="20"/>
              </w:rPr>
              <w:t>10</w:t>
            </w:r>
          </w:p>
        </w:tc>
        <w:tc>
          <w:tcPr>
            <w:tcW w:w="1080" w:type="dxa"/>
            <w:vAlign w:val="center"/>
          </w:tcPr>
          <w:p>
            <w:pPr>
              <w:spacing w:before="60" w:after="60"/>
              <w:jc w:val="right"/>
              <w:rPr>
                <w:noProof/>
                <w:sz w:val="20"/>
              </w:rPr>
            </w:pPr>
            <w:r>
              <w:rPr>
                <w:noProof/>
                <w:sz w:val="20"/>
              </w:rPr>
              <w:t>9</w:t>
            </w:r>
          </w:p>
        </w:tc>
        <w:tc>
          <w:tcPr>
            <w:tcW w:w="1080" w:type="dxa"/>
            <w:vAlign w:val="center"/>
          </w:tcPr>
          <w:p>
            <w:pPr>
              <w:spacing w:before="60" w:after="60"/>
              <w:jc w:val="right"/>
              <w:rPr>
                <w:noProof/>
                <w:sz w:val="20"/>
              </w:rPr>
            </w:pPr>
            <w:r>
              <w:rPr>
                <w:noProof/>
                <w:sz w:val="20"/>
              </w:rPr>
              <w:t>9</w:t>
            </w:r>
          </w:p>
        </w:tc>
        <w:tc>
          <w:tcPr>
            <w:tcW w:w="1080" w:type="dxa"/>
            <w:vAlign w:val="center"/>
          </w:tcPr>
          <w:p>
            <w:pPr>
              <w:spacing w:before="60" w:after="60"/>
              <w:jc w:val="right"/>
              <w:rPr>
                <w:noProof/>
                <w:sz w:val="20"/>
              </w:rPr>
            </w:pPr>
            <w:r>
              <w:rPr>
                <w:noProof/>
                <w:sz w:val="20"/>
              </w:rPr>
              <w:t>9</w:t>
            </w:r>
          </w:p>
        </w:tc>
        <w:tc>
          <w:tcPr>
            <w:tcW w:w="1080" w:type="dxa"/>
            <w:vAlign w:val="center"/>
          </w:tcPr>
          <w:p>
            <w:pPr>
              <w:spacing w:before="60" w:after="60"/>
              <w:jc w:val="right"/>
              <w:rPr>
                <w:noProof/>
                <w:sz w:val="20"/>
              </w:rPr>
            </w:pPr>
            <w:r>
              <w:rPr>
                <w:noProof/>
                <w:sz w:val="20"/>
              </w:rPr>
              <w:t>9</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Arbeidscontractanten</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r>
              <w:rPr>
                <w:noProof/>
                <w:sz w:val="20"/>
              </w:rPr>
              <w:t>14</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Tijdelijke functionarissen </w:t>
            </w:r>
          </w:p>
        </w:tc>
        <w:tc>
          <w:tcPr>
            <w:tcW w:w="1080" w:type="dxa"/>
            <w:vAlign w:val="center"/>
          </w:tcPr>
          <w:p>
            <w:pPr>
              <w:spacing w:before="60" w:after="60"/>
              <w:jc w:val="right"/>
              <w:rPr>
                <w:noProof/>
                <w:sz w:val="20"/>
              </w:rPr>
            </w:pPr>
            <w:r>
              <w:rPr>
                <w:noProof/>
                <w:sz w:val="20"/>
              </w:rPr>
              <w:t>77</w:t>
            </w:r>
          </w:p>
        </w:tc>
        <w:tc>
          <w:tcPr>
            <w:tcW w:w="1080" w:type="dxa"/>
            <w:vAlign w:val="center"/>
          </w:tcPr>
          <w:p>
            <w:pPr>
              <w:spacing w:before="60" w:after="60"/>
              <w:jc w:val="right"/>
              <w:rPr>
                <w:noProof/>
                <w:sz w:val="20"/>
              </w:rPr>
            </w:pPr>
            <w:r>
              <w:rPr>
                <w:noProof/>
                <w:sz w:val="20"/>
              </w:rPr>
              <w:t>76</w:t>
            </w:r>
          </w:p>
        </w:tc>
        <w:tc>
          <w:tcPr>
            <w:tcW w:w="1080" w:type="dxa"/>
            <w:vAlign w:val="center"/>
          </w:tcPr>
          <w:p>
            <w:pPr>
              <w:spacing w:before="60" w:after="60"/>
              <w:jc w:val="right"/>
              <w:rPr>
                <w:noProof/>
                <w:sz w:val="20"/>
              </w:rPr>
            </w:pPr>
            <w:r>
              <w:rPr>
                <w:noProof/>
                <w:sz w:val="20"/>
              </w:rPr>
              <w:t>74</w:t>
            </w:r>
          </w:p>
        </w:tc>
        <w:tc>
          <w:tcPr>
            <w:tcW w:w="1080" w:type="dxa"/>
            <w:vAlign w:val="center"/>
          </w:tcPr>
          <w:p>
            <w:pPr>
              <w:spacing w:before="60" w:after="60"/>
              <w:jc w:val="right"/>
              <w:rPr>
                <w:noProof/>
                <w:sz w:val="20"/>
              </w:rPr>
            </w:pPr>
            <w:r>
              <w:rPr>
                <w:noProof/>
                <w:sz w:val="20"/>
              </w:rPr>
              <w:t>74</w:t>
            </w:r>
          </w:p>
        </w:tc>
        <w:tc>
          <w:tcPr>
            <w:tcW w:w="1080" w:type="dxa"/>
            <w:vAlign w:val="center"/>
          </w:tcPr>
          <w:p>
            <w:pPr>
              <w:spacing w:before="60" w:after="60"/>
              <w:jc w:val="right"/>
              <w:rPr>
                <w:noProof/>
                <w:sz w:val="20"/>
              </w:rPr>
            </w:pPr>
            <w:r>
              <w:rPr>
                <w:noProof/>
                <w:sz w:val="20"/>
              </w:rPr>
              <w:t>74</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Gedetacheerde nationale deskundigen</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r>
              <w:rPr>
                <w:noProof/>
                <w:sz w:val="20"/>
              </w:rPr>
              <w:t>1</w:t>
            </w: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114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106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p>
        </w:tc>
      </w:tr>
    </w:tbl>
    <w:p>
      <w:pPr>
        <w:rPr>
          <w:noProof/>
          <w:u w:val="single"/>
        </w:rPr>
      </w:pPr>
    </w:p>
    <w:p>
      <w:pPr>
        <w:pStyle w:val="ManualHeading4"/>
        <w:rPr>
          <w:bCs/>
          <w:noProof/>
          <w:szCs w:val="24"/>
        </w:rPr>
      </w:pPr>
      <w:r>
        <w:t>3.2.2.2.</w:t>
      </w:r>
      <w:r>
        <w:tab/>
      </w:r>
      <w:r>
        <w:rPr>
          <w:noProof/>
        </w:rPr>
        <w:t>Geraamde behoefte aan personele middelen voor het verantwoordelijke DG</w:t>
      </w:r>
    </w:p>
    <w:p>
      <w:pPr>
        <w:pStyle w:val="ListDash1"/>
        <w:numPr>
          <w:ilvl w:val="0"/>
          <w:numId w:val="43"/>
        </w:numPr>
        <w:rPr>
          <w:noProof/>
        </w:rPr>
      </w:pPr>
      <w:r>
        <w:rPr>
          <w:noProof/>
        </w:rPr>
        <w:sym w:font="Wingdings" w:char="F0A8"/>
      </w:r>
      <w:r>
        <w:rPr>
          <w:noProof/>
        </w:rPr>
        <w:tab/>
        <w:t xml:space="preserve">Voor het voorstel/initiatief zijn geen personele middelen nodig </w:t>
      </w:r>
    </w:p>
    <w:p>
      <w:pPr>
        <w:pStyle w:val="ListDash1"/>
        <w:numPr>
          <w:ilvl w:val="0"/>
          <w:numId w:val="43"/>
        </w:numPr>
        <w:rPr>
          <w:noProof/>
        </w:rPr>
      </w:pPr>
      <w:r>
        <w:rPr>
          <w:noProof/>
        </w:rPr>
        <w:sym w:font="Wingdings" w:char="F078"/>
      </w:r>
      <w:r>
        <w:rPr>
          <w:noProof/>
        </w:rPr>
        <w:tab/>
        <w:t>Voor het voorstel/initiatief zijn personele middelen nodig, zoals hieronder nader wordt beschreven:</w:t>
      </w:r>
    </w:p>
    <w:p>
      <w:pPr>
        <w:spacing w:after="60"/>
        <w:jc w:val="right"/>
        <w:rPr>
          <w:i/>
          <w:noProof/>
          <w:sz w:val="20"/>
        </w:rPr>
      </w:pPr>
    </w:p>
    <w:tbl>
      <w:tblPr>
        <w:tblW w:w="5402" w:type="pct"/>
        <w:jc w:val="center"/>
        <w:tblInd w:w="-21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3"/>
        <w:gridCol w:w="2061"/>
        <w:gridCol w:w="757"/>
        <w:gridCol w:w="757"/>
        <w:gridCol w:w="815"/>
        <w:gridCol w:w="998"/>
        <w:gridCol w:w="849"/>
        <w:gridCol w:w="849"/>
        <w:gridCol w:w="895"/>
        <w:gridCol w:w="12"/>
      </w:tblGrid>
      <w:tr>
        <w:trPr>
          <w:gridAfter w:val="1"/>
          <w:wAfter w:w="6" w:type="pct"/>
          <w:trHeight w:val="289"/>
          <w:jc w:val="center"/>
        </w:trPr>
        <w:tc>
          <w:tcPr>
            <w:tcW w:w="2045"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2016</w:t>
            </w:r>
          </w:p>
        </w:tc>
        <w:tc>
          <w:tcPr>
            <w:tcW w:w="377" w:type="pct"/>
            <w:shd w:val="clear" w:color="auto" w:fill="auto"/>
            <w:vAlign w:val="center"/>
          </w:tcPr>
          <w:p>
            <w:pPr>
              <w:spacing w:before="20" w:after="20"/>
              <w:jc w:val="center"/>
              <w:rPr>
                <w:noProof/>
                <w:sz w:val="20"/>
              </w:rPr>
            </w:pPr>
            <w:r>
              <w:rPr>
                <w:noProof/>
                <w:sz w:val="20"/>
              </w:rPr>
              <w:t>2017</w:t>
            </w:r>
          </w:p>
        </w:tc>
        <w:tc>
          <w:tcPr>
            <w:tcW w:w="406" w:type="pct"/>
            <w:shd w:val="clear" w:color="auto" w:fill="auto"/>
            <w:vAlign w:val="center"/>
          </w:tcPr>
          <w:p>
            <w:pPr>
              <w:spacing w:before="20" w:after="20"/>
              <w:jc w:val="center"/>
              <w:rPr>
                <w:noProof/>
                <w:sz w:val="20"/>
              </w:rPr>
            </w:pPr>
            <w:r>
              <w:rPr>
                <w:noProof/>
                <w:sz w:val="20"/>
              </w:rPr>
              <w:t>2018</w:t>
            </w:r>
          </w:p>
        </w:tc>
        <w:tc>
          <w:tcPr>
            <w:tcW w:w="497" w:type="pct"/>
            <w:shd w:val="clear" w:color="auto" w:fill="auto"/>
            <w:vAlign w:val="center"/>
          </w:tcPr>
          <w:p>
            <w:pPr>
              <w:spacing w:before="20" w:after="20"/>
              <w:jc w:val="center"/>
              <w:rPr>
                <w:noProof/>
                <w:sz w:val="20"/>
              </w:rPr>
            </w:pPr>
            <w:r>
              <w:rPr>
                <w:noProof/>
                <w:sz w:val="20"/>
              </w:rPr>
              <w:t>2019</w:t>
            </w:r>
          </w:p>
        </w:tc>
        <w:tc>
          <w:tcPr>
            <w:tcW w:w="423" w:type="pct"/>
            <w:shd w:val="clear" w:color="auto" w:fill="auto"/>
            <w:vAlign w:val="center"/>
          </w:tcPr>
          <w:p>
            <w:pPr>
              <w:tabs>
                <w:tab w:val="left" w:pos="685"/>
              </w:tabs>
              <w:jc w:val="center"/>
              <w:rPr>
                <w:b/>
                <w:noProof/>
                <w:sz w:val="20"/>
              </w:rPr>
            </w:pPr>
            <w:r>
              <w:rPr>
                <w:noProof/>
                <w:sz w:val="20"/>
              </w:rPr>
              <w:t>2020</w:t>
            </w:r>
          </w:p>
        </w:tc>
        <w:tc>
          <w:tcPr>
            <w:tcW w:w="423" w:type="pct"/>
            <w:shd w:val="clear" w:color="auto" w:fill="auto"/>
            <w:vAlign w:val="center"/>
          </w:tcPr>
          <w:p>
            <w:pPr>
              <w:tabs>
                <w:tab w:val="left" w:pos="685"/>
              </w:tabs>
              <w:jc w:val="center"/>
              <w:rPr>
                <w:b/>
                <w:noProof/>
                <w:sz w:val="20"/>
              </w:rPr>
            </w:pPr>
          </w:p>
        </w:tc>
        <w:tc>
          <w:tcPr>
            <w:tcW w:w="446" w:type="pct"/>
            <w:shd w:val="clear" w:color="auto" w:fill="auto"/>
            <w:vAlign w:val="center"/>
          </w:tcPr>
          <w:p>
            <w:pPr>
              <w:tabs>
                <w:tab w:val="left" w:pos="685"/>
              </w:tabs>
              <w:jc w:val="center"/>
              <w:rPr>
                <w:b/>
                <w:noProof/>
                <w:sz w:val="20"/>
              </w:rPr>
            </w:pPr>
          </w:p>
        </w:tc>
      </w:tr>
      <w:tr>
        <w:trPr>
          <w:trHeight w:val="289"/>
          <w:jc w:val="center"/>
        </w:trPr>
        <w:tc>
          <w:tcPr>
            <w:tcW w:w="2045" w:type="pct"/>
            <w:gridSpan w:val="2"/>
            <w:shd w:val="clear" w:color="auto" w:fill="auto"/>
            <w:vAlign w:val="center"/>
          </w:tcPr>
          <w:p>
            <w:pPr>
              <w:pStyle w:val="Text1"/>
              <w:numPr>
                <w:ilvl w:val="0"/>
                <w:numId w:val="46"/>
              </w:numPr>
              <w:tabs>
                <w:tab w:val="left" w:pos="208"/>
              </w:tabs>
              <w:spacing w:beforeLines="20" w:before="48" w:afterLines="20" w:after="48"/>
              <w:ind w:left="208" w:hanging="120"/>
              <w:jc w:val="left"/>
              <w:rPr>
                <w:b/>
                <w:noProof/>
                <w:sz w:val="20"/>
              </w:rPr>
            </w:pPr>
            <w:r>
              <w:rPr>
                <w:b/>
                <w:noProof/>
                <w:sz w:val="20"/>
              </w:rPr>
              <w:t>Posten opgenomen in de lijst van het aantal ambten (ambtenaren en tijdelijke functionarissen)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(zetel en vertegenwoordigingen van de Commissie)</w:t>
            </w:r>
          </w:p>
        </w:tc>
        <w:tc>
          <w:tcPr>
            <w:tcW w:w="377" w:type="pct"/>
            <w:shd w:val="clear" w:color="auto" w:fill="auto"/>
            <w:vAlign w:val="center"/>
          </w:tcPr>
          <w:p>
            <w:pPr>
              <w:spacing w:beforeLines="20" w:before="48" w:afterLines="20" w:after="48"/>
              <w:jc w:val="center"/>
              <w:rPr>
                <w:noProof/>
                <w:sz w:val="20"/>
              </w:rPr>
            </w:pPr>
            <w:r>
              <w:rPr>
                <w:noProof/>
                <w:sz w:val="20"/>
              </w:rPr>
              <w:t>0,8</w:t>
            </w:r>
          </w:p>
        </w:tc>
        <w:tc>
          <w:tcPr>
            <w:tcW w:w="377" w:type="pct"/>
            <w:shd w:val="clear" w:color="auto" w:fill="auto"/>
            <w:vAlign w:val="center"/>
          </w:tcPr>
          <w:p>
            <w:pPr>
              <w:spacing w:beforeLines="20" w:before="48" w:afterLines="20" w:after="48"/>
              <w:jc w:val="center"/>
              <w:rPr>
                <w:noProof/>
                <w:sz w:val="20"/>
              </w:rPr>
            </w:pPr>
            <w:r>
              <w:rPr>
                <w:noProof/>
                <w:sz w:val="20"/>
              </w:rPr>
              <w:t>0,8</w:t>
            </w:r>
          </w:p>
        </w:tc>
        <w:tc>
          <w:tcPr>
            <w:tcW w:w="406" w:type="pct"/>
            <w:shd w:val="clear" w:color="auto" w:fill="auto"/>
            <w:vAlign w:val="center"/>
          </w:tcPr>
          <w:p>
            <w:pPr>
              <w:spacing w:beforeLines="20" w:before="48" w:afterLines="20" w:after="48"/>
              <w:jc w:val="center"/>
              <w:rPr>
                <w:noProof/>
                <w:sz w:val="20"/>
              </w:rPr>
            </w:pPr>
            <w:r>
              <w:rPr>
                <w:noProof/>
                <w:sz w:val="20"/>
              </w:rPr>
              <w:t>0,8</w:t>
            </w:r>
          </w:p>
        </w:tc>
        <w:tc>
          <w:tcPr>
            <w:tcW w:w="497" w:type="pct"/>
            <w:shd w:val="clear" w:color="auto" w:fill="auto"/>
            <w:vAlign w:val="center"/>
          </w:tcPr>
          <w:p>
            <w:pPr>
              <w:spacing w:beforeLines="20" w:before="48" w:afterLines="20" w:after="48"/>
              <w:jc w:val="center"/>
              <w:rPr>
                <w:noProof/>
                <w:sz w:val="20"/>
              </w:rPr>
            </w:pPr>
            <w:r>
              <w:rPr>
                <w:noProof/>
                <w:sz w:val="20"/>
              </w:rPr>
              <w:t>0,8</w:t>
            </w:r>
          </w:p>
        </w:tc>
        <w:tc>
          <w:tcPr>
            <w:tcW w:w="423" w:type="pct"/>
            <w:shd w:val="clear" w:color="auto" w:fill="auto"/>
            <w:vAlign w:val="center"/>
          </w:tcPr>
          <w:p>
            <w:pPr>
              <w:spacing w:beforeLines="20" w:before="48" w:afterLines="20" w:after="48"/>
              <w:jc w:val="center"/>
              <w:rPr>
                <w:noProof/>
                <w:sz w:val="20"/>
              </w:rPr>
            </w:pPr>
            <w:r>
              <w:rPr>
                <w:noProof/>
                <w:sz w:val="20"/>
              </w:rPr>
              <w:t>0,8</w:t>
            </w: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XX 01 01 02 (delegaties)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XX 01 05 01 (onderzoek door derden)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r>
              <w:rPr>
                <w:noProof/>
                <w:sz w:val="20"/>
              </w:rPr>
              <w:t>10 01 05 01 (eigen onderzoek)</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Extern personeel (in voltijdequivalenten VTE)</w:t>
            </w:r>
            <w:r>
              <w:rPr>
                <w:rStyle w:val="FootnoteReference"/>
                <w:b/>
                <w:noProof/>
                <w:sz w:val="20"/>
              </w:rPr>
              <w:footnoteReference w:id="19"/>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INT van de "totale financiële middelen")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en JED in de delegaties)</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jj</w:t>
            </w:r>
            <w:r>
              <w:rPr>
                <w:rStyle w:val="FootnoteReference"/>
                <w:b/>
                <w:i/>
                <w:noProof/>
                <w:sz w:val="20"/>
              </w:rPr>
              <w:footnoteReference w:id="20"/>
            </w: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zetel</w:t>
            </w:r>
            <w:r>
              <w:rPr>
                <w:rStyle w:val="FootnoteReference"/>
                <w:noProof/>
                <w:sz w:val="20"/>
              </w:rPr>
              <w:footnoteReference w:id="21"/>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6" w:type="pct"/>
            <w:shd w:val="clear" w:color="auto" w:fill="auto"/>
            <w:vAlign w:val="center"/>
          </w:tcPr>
          <w:p>
            <w:pPr>
              <w:pStyle w:val="Text1"/>
              <w:spacing w:beforeLines="20" w:before="48" w:afterLines="20" w:after="48"/>
              <w:ind w:left="598"/>
              <w:jc w:val="left"/>
              <w:rPr>
                <w:b/>
                <w:noProof/>
                <w:sz w:val="20"/>
              </w:rPr>
            </w:pPr>
            <w:r>
              <w:rPr>
                <w:noProof/>
                <w:sz w:val="20"/>
              </w:rPr>
              <w:t xml:space="preserve">- delegaties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(AC, END, INT – onderzoek door derden)</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INT – eigen onderzoek)</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Ander begrotingsonderdeel (te vermelden)</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5"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TOTAAL</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rPr>
          <w:noProof/>
          <w:sz w:val="22"/>
        </w:rPr>
      </w:pPr>
      <w:r>
        <w:rPr>
          <w:noProof/>
          <w:sz w:val="22"/>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rPr>
            </w:pPr>
            <w:r>
              <w:rPr>
                <w:noProof/>
                <w:sz w:val="20"/>
              </w:rPr>
              <w:t>Coördinatie en vertegenwoordiging van het standpunt van de Commissie ten aanzien van het Agentschap.</w:t>
            </w:r>
          </w:p>
        </w:tc>
      </w:tr>
      <w:tr>
        <w:tc>
          <w:tcPr>
            <w:tcW w:w="3240" w:type="dxa"/>
          </w:tcPr>
          <w:p>
            <w:pPr>
              <w:spacing w:before="60" w:after="60"/>
              <w:rPr>
                <w:noProof/>
                <w:sz w:val="20"/>
              </w:rPr>
            </w:pPr>
            <w:r>
              <w:rPr>
                <w:noProof/>
                <w:sz w:val="20"/>
              </w:rPr>
              <w:t>Extern personeel</w:t>
            </w:r>
          </w:p>
        </w:tc>
        <w:tc>
          <w:tcPr>
            <w:tcW w:w="7200" w:type="dxa"/>
          </w:tcPr>
          <w:p>
            <w:pPr>
              <w:rPr>
                <w:noProof/>
                <w:sz w:val="20"/>
              </w:rPr>
            </w:pPr>
          </w:p>
        </w:tc>
      </w:tr>
    </w:tbl>
    <w:p>
      <w:pPr>
        <w:rPr>
          <w:noProof/>
        </w:rPr>
      </w:pPr>
    </w:p>
    <w:p>
      <w:pPr>
        <w:rPr>
          <w:noProof/>
        </w:rPr>
        <w:sectPr>
          <w:headerReference w:type="default" r:id="rId17"/>
          <w:footerReference w:type="default" r:id="rId18"/>
          <w:headerReference w:type="first" r:id="rId19"/>
          <w:footerReference w:type="first" r:id="rId20"/>
          <w:pgSz w:w="11907" w:h="16839"/>
          <w:pgMar w:top="1134" w:right="1417" w:bottom="1134" w:left="1417" w:header="709" w:footer="709" w:gutter="0"/>
          <w:cols w:space="720"/>
          <w:docGrid w:linePitch="326"/>
        </w:sectPr>
      </w:pPr>
    </w:p>
    <w:p>
      <w:pPr>
        <w:pStyle w:val="ManualHeading3"/>
        <w:rPr>
          <w:bCs/>
          <w:noProof/>
          <w:szCs w:val="24"/>
        </w:rPr>
      </w:pPr>
      <w:r>
        <w:t>3.2.3.</w:t>
      </w:r>
      <w:r>
        <w:tab/>
      </w:r>
      <w:r>
        <w:rPr>
          <w:noProof/>
        </w:rPr>
        <w:t xml:space="preserve">Verenigbaarheid met het huidige meerjarige financiële kader </w:t>
      </w:r>
    </w:p>
    <w:p>
      <w:pPr>
        <w:pStyle w:val="ListDash1"/>
        <w:numPr>
          <w:ilvl w:val="0"/>
          <w:numId w:val="43"/>
        </w:numPr>
        <w:rPr>
          <w:noProof/>
        </w:rPr>
      </w:pPr>
      <w:r>
        <w:rPr>
          <w:noProof/>
        </w:rPr>
        <w:sym w:font="Wingdings" w:char="F078"/>
      </w:r>
      <w:r>
        <w:rPr>
          <w:noProof/>
        </w:rPr>
        <w:tab/>
        <w:t>Het voorstel/initiatief is verenigbaar met het huidige meerjarige financiële kader</w:t>
      </w:r>
    </w:p>
    <w:p>
      <w:pPr>
        <w:pStyle w:val="ListDash1"/>
        <w:numPr>
          <w:ilvl w:val="0"/>
          <w:numId w:val="43"/>
        </w:numPr>
        <w:rPr>
          <w:noProof/>
        </w:rPr>
      </w:pPr>
      <w:r>
        <w:rPr>
          <w:noProof/>
        </w:rPr>
        <w:sym w:font="Wingdings" w:char="F0A8"/>
      </w:r>
      <w:r>
        <w:rPr>
          <w:noProof/>
        </w:rPr>
        <w:tab/>
        <w:t>Het voorstel/initiatief vergt herprogrammering van de betrokken rubriek van het meerjarige financiële kader</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welke herprogrammering nodig is, onder vermelding van de betrokken begrotingsonderdelen en de desbetreffende bedragen.</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numPr>
          <w:ilvl w:val="0"/>
          <w:numId w:val="43"/>
        </w:numPr>
        <w:rPr>
          <w:noProof/>
        </w:rPr>
      </w:pPr>
      <w:r>
        <w:rPr>
          <w:noProof/>
        </w:rPr>
        <w:sym w:font="Wingdings" w:char="F0A8"/>
      </w:r>
      <w:r>
        <w:rPr>
          <w:noProof/>
        </w:rPr>
        <w:tab/>
        <w:t>Het voorstel/initiatief vergt toepassing van het flexibiliteitsinstrument of herziening van het meerjarige financiële kader</w:t>
      </w:r>
      <w:r>
        <w:rPr>
          <w:rStyle w:val="FootnoteReference"/>
          <w:noProof/>
        </w:rPr>
        <w:footnoteReference w:id="22"/>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Zet uiteen wat nodig is, onder vermelding van de betrokken rubrieken en begrotingsonderdelen en de desbetreffende bedragen.</w:t>
      </w:r>
    </w:p>
    <w:p>
      <w:pPr>
        <w:pStyle w:val="Text1"/>
        <w:pBdr>
          <w:top w:val="single" w:sz="4" w:space="1" w:color="auto"/>
          <w:left w:val="single" w:sz="4" w:space="4" w:color="auto"/>
          <w:bottom w:val="single" w:sz="4" w:space="1" w:color="auto"/>
          <w:right w:val="single" w:sz="4" w:space="4" w:color="auto"/>
        </w:pBdr>
      </w:pPr>
    </w:p>
    <w:p>
      <w:pPr>
        <w:pStyle w:val="ManualHeading3"/>
        <w:rPr>
          <w:bCs/>
          <w:noProof/>
          <w:szCs w:val="24"/>
        </w:rPr>
      </w:pPr>
      <w:r>
        <w:t>3.2.4.</w:t>
      </w:r>
      <w:r>
        <w:tab/>
      </w:r>
      <w:r>
        <w:rPr>
          <w:noProof/>
        </w:rPr>
        <w:t xml:space="preserve">Bijdragen van derden </w:t>
      </w:r>
    </w:p>
    <w:p>
      <w:pPr>
        <w:pStyle w:val="ListDash1"/>
        <w:numPr>
          <w:ilvl w:val="0"/>
          <w:numId w:val="43"/>
        </w:numPr>
        <w:rPr>
          <w:noProof/>
        </w:rPr>
      </w:pPr>
      <w:r>
        <w:rPr>
          <w:noProof/>
        </w:rPr>
        <w:t xml:space="preserve">Het voorstel/initiatief voorziet niet in medefinanciering door derden </w:t>
      </w:r>
    </w:p>
    <w:p>
      <w:pPr>
        <w:pStyle w:val="ListDash1"/>
        <w:numPr>
          <w:ilvl w:val="0"/>
          <w:numId w:val="43"/>
        </w:numPr>
        <w:rPr>
          <w:noProof/>
        </w:rPr>
      </w:pPr>
      <w:r>
        <w:rPr>
          <w:noProof/>
        </w:rPr>
        <w:t>Het voorstel/initiatief voorziet in medefinanciering, zoals hieronder wordt geraamd:</w:t>
      </w:r>
    </w:p>
    <w:p>
      <w:pPr>
        <w:jc w:val="right"/>
        <w:rPr>
          <w:noProof/>
          <w:sz w:val="20"/>
        </w:rPr>
      </w:pPr>
      <w:r>
        <w:rPr>
          <w:noProof/>
          <w:sz w:val="20"/>
        </w:rPr>
        <w:t>in miljoenen euro's (tot op drie decimalen)</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Jaar</w:t>
            </w:r>
            <w:r>
              <w:rPr>
                <w:noProof/>
                <w:sz w:val="22"/>
              </w:rPr>
              <w:br/>
            </w:r>
            <w:r>
              <w:rPr>
                <w:b/>
                <w:noProof/>
                <w:sz w:val="20"/>
              </w:rPr>
              <w:t>N</w:t>
            </w:r>
          </w:p>
        </w:tc>
        <w:tc>
          <w:tcPr>
            <w:tcW w:w="964" w:type="dxa"/>
            <w:vAlign w:val="center"/>
          </w:tcPr>
          <w:p>
            <w:pPr>
              <w:jc w:val="center"/>
              <w:rPr>
                <w:noProof/>
                <w:sz w:val="20"/>
              </w:rPr>
            </w:pPr>
            <w:r>
              <w:rPr>
                <w:noProof/>
                <w:sz w:val="20"/>
              </w:rPr>
              <w:t>Jaar</w:t>
            </w:r>
            <w:r>
              <w:rPr>
                <w:noProof/>
                <w:sz w:val="22"/>
              </w:rPr>
              <w:br/>
            </w:r>
            <w:r>
              <w:rPr>
                <w:b/>
                <w:noProof/>
                <w:sz w:val="20"/>
              </w:rPr>
              <w:t>N+1</w:t>
            </w:r>
          </w:p>
        </w:tc>
        <w:tc>
          <w:tcPr>
            <w:tcW w:w="964" w:type="dxa"/>
            <w:vAlign w:val="center"/>
          </w:tcPr>
          <w:p>
            <w:pPr>
              <w:jc w:val="center"/>
              <w:rPr>
                <w:noProof/>
                <w:sz w:val="20"/>
              </w:rPr>
            </w:pPr>
            <w:r>
              <w:rPr>
                <w:noProof/>
                <w:sz w:val="20"/>
              </w:rPr>
              <w:t>Jaar</w:t>
            </w:r>
            <w:r>
              <w:rPr>
                <w:noProof/>
                <w:sz w:val="22"/>
              </w:rPr>
              <w:br/>
            </w:r>
            <w:r>
              <w:rPr>
                <w:b/>
                <w:noProof/>
                <w:sz w:val="20"/>
              </w:rPr>
              <w:t>N+2</w:t>
            </w:r>
          </w:p>
        </w:tc>
        <w:tc>
          <w:tcPr>
            <w:tcW w:w="964" w:type="dxa"/>
            <w:vAlign w:val="center"/>
          </w:tcPr>
          <w:p>
            <w:pPr>
              <w:jc w:val="center"/>
              <w:rPr>
                <w:noProof/>
                <w:sz w:val="20"/>
              </w:rPr>
            </w:pPr>
            <w:r>
              <w:rPr>
                <w:noProof/>
                <w:sz w:val="20"/>
              </w:rPr>
              <w:t>Jaar</w:t>
            </w:r>
            <w:r>
              <w:rPr>
                <w:noProof/>
                <w:sz w:val="22"/>
              </w:rPr>
              <w:br/>
            </w:r>
            <w:r>
              <w:rPr>
                <w:b/>
                <w:noProof/>
                <w:sz w:val="20"/>
              </w:rPr>
              <w:t>N+3</w:t>
            </w:r>
          </w:p>
        </w:tc>
        <w:tc>
          <w:tcPr>
            <w:tcW w:w="2892" w:type="dxa"/>
            <w:gridSpan w:val="3"/>
            <w:vAlign w:val="center"/>
          </w:tcPr>
          <w:p>
            <w:pPr>
              <w:jc w:val="center"/>
              <w:rPr>
                <w:b/>
                <w:noProof/>
                <w:sz w:val="20"/>
              </w:rPr>
            </w:pPr>
            <w:r>
              <w:rPr>
                <w:noProof/>
                <w:sz w:val="20"/>
              </w:rPr>
              <w:t>Invullen: zoveel jaren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Geraamde gevolgen voor de ontvangsten </w:t>
      </w:r>
    </w:p>
    <w:p>
      <w:pPr>
        <w:pStyle w:val="ListDash1"/>
        <w:numPr>
          <w:ilvl w:val="0"/>
          <w:numId w:val="43"/>
        </w:numPr>
        <w:rPr>
          <w:noProof/>
        </w:rPr>
      </w:pPr>
      <w:r>
        <w:rPr>
          <w:noProof/>
        </w:rPr>
        <w:sym w:font="Wingdings" w:char="F078"/>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NumberLevel3"/>
        <w:tabs>
          <w:tab w:val="clear" w:pos="2126"/>
        </w:tabs>
        <w:rPr>
          <w:noProof/>
        </w:rPr>
      </w:pPr>
      <w:r>
        <w:rPr>
          <w:noProof/>
        </w:rPr>
        <w:sym w:font="Wingdings" w:char="F0A8"/>
      </w:r>
      <w:r>
        <w:rPr>
          <w:noProof/>
        </w:rPr>
        <w:tab/>
        <w:t xml:space="preserve">voor de eigen middelen </w:t>
      </w:r>
    </w:p>
    <w:p>
      <w:pPr>
        <w:pStyle w:val="ListNumberLevel3"/>
        <w:tabs>
          <w:tab w:val="clear" w:pos="2126"/>
        </w:tabs>
        <w:rPr>
          <w:noProof/>
        </w:rPr>
      </w:pPr>
      <w:r>
        <w:rPr>
          <w:noProof/>
        </w:rPr>
        <w:sym w:font="Wingdings" w:char="F0A8"/>
      </w:r>
      <w:r>
        <w:rPr>
          <w:noProof/>
        </w:rPr>
        <w:tab/>
        <w:t xml:space="preserve">voor de diverse ontvangsten </w:t>
      </w:r>
    </w:p>
    <w:p>
      <w:pPr>
        <w:jc w:val="right"/>
        <w:rPr>
          <w:i/>
          <w:noProof/>
          <w:sz w:val="20"/>
        </w:rPr>
      </w:pPr>
      <w:r>
        <w:rPr>
          <w:noProof/>
          <w:sz w:val="20"/>
        </w:rPr>
        <w:t>in miljoenen euro's (tot op drie decimalen)</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2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Jaar</w:t>
            </w:r>
            <w:r>
              <w:rPr>
                <w:noProof/>
                <w:sz w:val="22"/>
              </w:rPr>
              <w:br/>
            </w:r>
            <w:r>
              <w:rPr>
                <w:b/>
                <w:noProof/>
                <w:sz w:val="18"/>
              </w:rPr>
              <w:t>N</w:t>
            </w:r>
          </w:p>
        </w:tc>
        <w:tc>
          <w:tcPr>
            <w:tcW w:w="900" w:type="dxa"/>
            <w:vAlign w:val="center"/>
          </w:tcPr>
          <w:p>
            <w:pPr>
              <w:jc w:val="center"/>
              <w:rPr>
                <w:noProof/>
                <w:sz w:val="18"/>
              </w:rPr>
            </w:pPr>
            <w:r>
              <w:rPr>
                <w:noProof/>
                <w:sz w:val="18"/>
              </w:rPr>
              <w:t>Jaar</w:t>
            </w:r>
            <w:r>
              <w:rPr>
                <w:noProof/>
                <w:sz w:val="22"/>
              </w:rPr>
              <w:br/>
            </w:r>
            <w:r>
              <w:rPr>
                <w:b/>
                <w:noProof/>
                <w:sz w:val="18"/>
              </w:rPr>
              <w:t>N+1</w:t>
            </w:r>
          </w:p>
        </w:tc>
        <w:tc>
          <w:tcPr>
            <w:tcW w:w="900" w:type="dxa"/>
            <w:vAlign w:val="center"/>
          </w:tcPr>
          <w:p>
            <w:pPr>
              <w:jc w:val="center"/>
              <w:rPr>
                <w:noProof/>
                <w:sz w:val="18"/>
              </w:rPr>
            </w:pPr>
            <w:r>
              <w:rPr>
                <w:noProof/>
                <w:sz w:val="18"/>
              </w:rPr>
              <w:t>Jaar</w:t>
            </w:r>
            <w:r>
              <w:rPr>
                <w:noProof/>
                <w:sz w:val="22"/>
              </w:rPr>
              <w:br/>
            </w:r>
            <w:r>
              <w:rPr>
                <w:b/>
                <w:noProof/>
                <w:sz w:val="18"/>
              </w:rPr>
              <w:t>N+2</w:t>
            </w:r>
          </w:p>
        </w:tc>
        <w:tc>
          <w:tcPr>
            <w:tcW w:w="1080" w:type="dxa"/>
            <w:vAlign w:val="center"/>
          </w:tcPr>
          <w:p>
            <w:pPr>
              <w:jc w:val="center"/>
              <w:rPr>
                <w:noProof/>
                <w:sz w:val="18"/>
              </w:rPr>
            </w:pPr>
            <w:r>
              <w:rPr>
                <w:noProof/>
                <w:sz w:val="18"/>
              </w:rPr>
              <w:t>Jaar</w:t>
            </w:r>
            <w:r>
              <w:rPr>
                <w:noProof/>
                <w:sz w:val="22"/>
              </w:rPr>
              <w:br/>
            </w:r>
            <w:r>
              <w:rPr>
                <w:b/>
                <w:noProof/>
                <w:sz w:val="18"/>
              </w:rPr>
              <w:t>N+3</w:t>
            </w:r>
          </w:p>
        </w:tc>
        <w:tc>
          <w:tcPr>
            <w:tcW w:w="3240" w:type="dxa"/>
            <w:gridSpan w:val="3"/>
            <w:vAlign w:val="center"/>
          </w:tcPr>
          <w:p>
            <w:pPr>
              <w:jc w:val="center"/>
              <w:rPr>
                <w:b/>
                <w:noProof/>
                <w:sz w:val="18"/>
              </w:rPr>
            </w:pPr>
            <w:r>
              <w:rPr>
                <w:noProof/>
                <w:sz w:val="18"/>
              </w:rPr>
              <w:t>... invullen: zoveel jaren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Voor de diverse ontvangsten die worden "toegewezen", vermeld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Vermeld de wijze van berekening van de gevolgen voor de ontvangsten.</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C van , blz. .</w:t>
      </w:r>
    </w:p>
  </w:footnote>
  <w:footnote w:id="2">
    <w:p>
      <w:pPr>
        <w:pStyle w:val="FootnoteText"/>
      </w:pPr>
      <w:r>
        <w:rPr>
          <w:rStyle w:val="FootnoteReference"/>
        </w:rPr>
        <w:footnoteRef/>
      </w:r>
      <w:r>
        <w:tab/>
        <w:t>PB C van , blz. .</w:t>
      </w:r>
    </w:p>
  </w:footnote>
  <w:footnote w:id="3">
    <w:p>
      <w:pPr>
        <w:pStyle w:val="FootnoteText"/>
      </w:pPr>
      <w:r>
        <w:rPr>
          <w:rStyle w:val="FootnoteReference"/>
        </w:rPr>
        <w:footnoteRef/>
      </w:r>
      <w:r>
        <w:tab/>
        <w:t>Verordening (EEG) nr. 1365/75 van de Raad van 26 mei 1975 betreffende de oprichting van een Europese Stichting tot verbetering van de levens- en arbeidsomstandigheden (PB L 139 van 30.5.1975, blz. 1).</w:t>
      </w:r>
    </w:p>
  </w:footnote>
  <w:footnote w:id="4">
    <w:p>
      <w:pPr>
        <w:pStyle w:val="FootnoteText"/>
      </w:pPr>
      <w:r>
        <w:rPr>
          <w:rStyle w:val="FootnoteReference"/>
        </w:rPr>
        <w:footnoteRef/>
      </w:r>
      <w:r>
        <w:tab/>
        <w:t>Gedelegeerde Verordening (EU) nr. 1271/2013 van de Commissie van 30 september 2013 houdende de financiële kaderregeling van de organen, bedoeld in artikel 208 van Verordening (EU, Euratom) nr. 966/2012 van het Europees Parlement en de Raad (PB L 328 van 7.12.2013, blz. 42).</w:t>
      </w:r>
    </w:p>
  </w:footnote>
  <w:footnote w:id="5">
    <w:p>
      <w:pPr>
        <w:pStyle w:val="FootnoteText"/>
      </w:pPr>
      <w:r>
        <w:rPr>
          <w:rStyle w:val="FootnoteReference"/>
        </w:rPr>
        <w:footnoteRef/>
      </w:r>
      <w:r>
        <w:tab/>
        <w:t>Verordening (EEG, Euratom, EGKS) nr. 259/68 van de Raad van 29 februari 1968 tot vaststelling van het Statuut van de ambtenaren van de Europese Gemeenschappen en de regeling welke van toepassing is op de andere personeelsleden van deze Gemeenschappen, alsmede van bijzondere maatregelen welke tijdelijk op de ambtenaren van de Commissie van toepassing zijn (PB L 56 van 4.3.1968, blz. 1).</w:t>
      </w:r>
    </w:p>
  </w:footnote>
  <w:footnote w:id="6">
    <w:p>
      <w:pPr>
        <w:pStyle w:val="FootnoteText"/>
      </w:pPr>
      <w:r>
        <w:rPr>
          <w:rStyle w:val="FootnoteReference"/>
        </w:rPr>
        <w:footnoteRef/>
      </w:r>
      <w:r>
        <w:tab/>
        <w:t>Besluit (EU, Euratom) 2015/443 van de Commissie van 13 maart 2015 betreffende veiligheid binnen de Commissie (PB L 72 van 17.3.2015, blz. 41).</w:t>
      </w:r>
    </w:p>
  </w:footnote>
  <w:footnote w:id="7">
    <w:p>
      <w:pPr>
        <w:pStyle w:val="FootnoteText"/>
      </w:pPr>
      <w:r>
        <w:rPr>
          <w:rStyle w:val="FootnoteReference"/>
        </w:rPr>
        <w:footnoteRef/>
      </w:r>
      <w:r>
        <w:tab/>
        <w:t>Besluit (EU, Euratom) 2015/444 van de Commissie van 13 maart 2015 betreffende de veiligheidsvoorschriften voor de bescherming van gerubriceerde EU-informatie (PB L 72 van 17.3.2015, blz. 53).</w:t>
      </w:r>
    </w:p>
  </w:footnote>
  <w:footnote w:id="8">
    <w:p>
      <w:pPr>
        <w:pStyle w:val="FootnoteText"/>
      </w:pPr>
      <w:r>
        <w:rPr>
          <w:rStyle w:val="FootnoteReference"/>
        </w:rPr>
        <w:footnoteRef/>
      </w:r>
      <w:r>
        <w:tab/>
        <w:t>Gedelegeerde Verordening (EU) nr. 1271/2013 van de Commissie van 30 september 2013 houdende de financiële kaderregeling van de organen, bedoeld in artikel 208 van Verordening (EU, Euratom) nr. 966/2012 van het Europees Parlement en de Raad (PB L 328 van 7.12.2013, blz. 42).</w:t>
      </w:r>
    </w:p>
    <w:p>
      <w:pPr>
        <w:pStyle w:val="FootnoteText"/>
      </w:pPr>
    </w:p>
  </w:footnote>
  <w:footnote w:id="9">
    <w:p>
      <w:pPr>
        <w:pStyle w:val="FootnoteText"/>
      </w:pPr>
      <w:r>
        <w:rPr>
          <w:rStyle w:val="FootnoteReference"/>
        </w:rPr>
        <w:footnoteRef/>
      </w:r>
      <w:r>
        <w:tab/>
        <w:t>Verordening (EG) nr. 1049/2001 van het Europees Parlement en de Raad van 30 mei 2001 inzake de toegang van het publiek tot documenten van het Europees Parlement, de Raad en de Commissie (PB L 145 van 31.5.2001, blz. 43).</w:t>
      </w:r>
    </w:p>
  </w:footnote>
  <w:footnote w:id="10">
    <w:p>
      <w:pPr>
        <w:pStyle w:val="FootnoteText"/>
      </w:pPr>
      <w:r>
        <w:rPr>
          <w:rStyle w:val="FootnoteReference"/>
        </w:rPr>
        <w:footnoteRef/>
      </w:r>
      <w:r>
        <w:tab/>
        <w:t>Verordening (EG) nr. 1073/1999 van het Europees Parlement en de Raad van 25 mei 1999 betreffende onderzoeken door het Europees bureau voor fraudebestrijding (OLAF) (PB L 136 van 31.5.1999, blz. 1).</w:t>
      </w:r>
    </w:p>
  </w:footnote>
  <w:footnote w:id="11">
    <w:p>
      <w:pPr>
        <w:pStyle w:val="FootnoteText"/>
      </w:pPr>
      <w:r>
        <w:rPr>
          <w:rStyle w:val="FootnoteReference"/>
        </w:rPr>
        <w:footnoteRef/>
      </w:r>
      <w:r>
        <w:tab/>
        <w:t>Besluit (EU, Euratom) 2015/443 van de Commissie van 13 maart 2015 betreffende veiligheid binnen de Commissie (PB L 72 van 17.3.2015, blz. 41).</w:t>
      </w:r>
    </w:p>
  </w:footnote>
  <w:footnote w:id="12">
    <w:p>
      <w:pPr>
        <w:pStyle w:val="FootnoteText"/>
      </w:pPr>
      <w:r>
        <w:rPr>
          <w:rStyle w:val="FootnoteReference"/>
        </w:rPr>
        <w:footnoteRef/>
      </w:r>
      <w:r>
        <w:tab/>
        <w:t>Besluit (EU, Euratom) 2015/444 van de Commissie van 13 maart 2015 betreffende de veiligheidsvoorschriften voor de bescherming van gerubriceerde EU-informatie (PB L 72 van 17.3.2015, blz. 53).</w:t>
      </w:r>
    </w:p>
  </w:footnote>
  <w:footnote w:id="13">
    <w:p>
      <w:pPr>
        <w:pStyle w:val="FootnoteText"/>
        <w:rPr>
          <w:szCs w:val="24"/>
        </w:rPr>
      </w:pPr>
      <w:r>
        <w:rPr>
          <w:rStyle w:val="FootnoteReference"/>
        </w:rPr>
        <w:footnoteRef/>
      </w:r>
      <w:r>
        <w:tab/>
        <w:t>ABM: activiteitsgestuurd management (activity-based management); ABB: activiteitsgestuurde begroting (activity-based budgeting).</w:t>
      </w:r>
    </w:p>
  </w:footnote>
  <w:footnote w:id="14">
    <w:p>
      <w:pPr>
        <w:pStyle w:val="FootnoteText"/>
        <w:rPr>
          <w:szCs w:val="24"/>
        </w:rPr>
      </w:pPr>
      <w:r>
        <w:rPr>
          <w:rStyle w:val="FootnoteReference"/>
        </w:rPr>
        <w:footnoteRef/>
      </w:r>
      <w:r>
        <w:tab/>
        <w:t>In de zin van artikel 54, lid 2, onder a) of b), van het Financieel Reglement.</w:t>
      </w:r>
    </w:p>
  </w:footnote>
  <w:footnote w:id="15">
    <w:p>
      <w:pPr>
        <w:pStyle w:val="FootnoteText"/>
        <w:rPr>
          <w:szCs w:val="24"/>
        </w:rPr>
      </w:pPr>
      <w:r>
        <w:rPr>
          <w:rStyle w:val="FootnoteReference"/>
        </w:rPr>
        <w:footnoteRef/>
      </w:r>
      <w:r>
        <w:tab/>
        <w:t>GK = gesplitste kredieten/NGK = niet-gesplitste kredieten.</w:t>
      </w:r>
    </w:p>
  </w:footnote>
  <w:footnote w:id="16">
    <w:p>
      <w:pPr>
        <w:pStyle w:val="FootnoteText"/>
        <w:rPr>
          <w:szCs w:val="24"/>
        </w:rPr>
      </w:pPr>
      <w:r>
        <w:rPr>
          <w:rStyle w:val="FootnoteReference"/>
        </w:rPr>
        <w:footnoteRef/>
      </w:r>
      <w:r>
        <w:tab/>
        <w:t xml:space="preserve">EVA: Europese Vrijhandelsassociatie. </w:t>
      </w:r>
    </w:p>
  </w:footnote>
  <w:footnote w:id="17">
    <w:p>
      <w:pPr>
        <w:pStyle w:val="FootnoteText"/>
        <w:rPr>
          <w:szCs w:val="24"/>
        </w:rPr>
      </w:pPr>
      <w:r>
        <w:rPr>
          <w:rStyle w:val="FootnoteReference"/>
        </w:rPr>
        <w:footnoteRef/>
      </w:r>
      <w:r>
        <w:tab/>
        <w:t>Kandidaat-lidstaten en, in voorkomend geval, potentiële kandidaten van de Westelijke Balkan.</w:t>
      </w:r>
    </w:p>
  </w:footnote>
  <w:footnote w:id="18">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19">
    <w:p>
      <w:pPr>
        <w:pStyle w:val="FootnoteText"/>
        <w:rPr>
          <w:szCs w:val="24"/>
        </w:rPr>
      </w:pPr>
      <w:r>
        <w:rPr>
          <w:rStyle w:val="FootnoteReference"/>
        </w:rPr>
        <w:footnoteRef/>
      </w:r>
      <w:r>
        <w:tab/>
        <w:t xml:space="preserve">AC= Agent Contractuel (arbeidscontractant); AL = Agent Local (plaatselijk functionaris); END = Expert National Détaché (gedetacheerd nationaal deskundige); INT= Intérimaire (uitzendkracht); JED = Jeune Expert en Délégation (jonge deskundige in delegaties). </w:t>
      </w:r>
    </w:p>
  </w:footnote>
  <w:footnote w:id="20">
    <w:p>
      <w:pPr>
        <w:pStyle w:val="FootnoteText"/>
        <w:rPr>
          <w:szCs w:val="24"/>
        </w:rPr>
      </w:pPr>
      <w:r>
        <w:rPr>
          <w:rStyle w:val="FootnoteReference"/>
        </w:rPr>
        <w:footnoteRef/>
      </w:r>
      <w:r>
        <w:tab/>
        <w:t>Subplafond voor extern personeel uit beleidskredieten (vroegere "BA"-onderdelen).</w:t>
      </w:r>
    </w:p>
  </w:footnote>
  <w:footnote w:id="21">
    <w:p>
      <w:pPr>
        <w:pStyle w:val="FootnoteText"/>
        <w:rPr>
          <w:szCs w:val="24"/>
        </w:rPr>
      </w:pPr>
      <w:r>
        <w:rPr>
          <w:rStyle w:val="FootnoteReference"/>
        </w:rPr>
        <w:footnoteRef/>
      </w:r>
      <w:r>
        <w:tab/>
        <w:t>Voornamelijk voor de structuurfondsen, het Europees Landbouwfonds voor plattelandsontwikkeling (Elfpo) en het Europees Visserijfonds (EVF).</w:t>
      </w:r>
    </w:p>
  </w:footnote>
  <w:footnote w:id="22">
    <w:p>
      <w:pPr>
        <w:pStyle w:val="FootnoteText"/>
        <w:rPr>
          <w:szCs w:val="24"/>
        </w:rPr>
      </w:pPr>
      <w:r>
        <w:rPr>
          <w:rStyle w:val="FootnoteReference"/>
        </w:rPr>
        <w:footnoteRef/>
      </w:r>
      <w:r>
        <w:tab/>
        <w:t>Zie de artikelen 11 en 17 van Verordening (EU, Euratom) nr. 1311/2013 van de Raad tot bepaling van het meerjarig financieel kader voor de jaren 2014-2020.</w:t>
      </w:r>
    </w:p>
  </w:footnote>
  <w:footnote w:id="23">
    <w:p>
      <w:pPr>
        <w:pStyle w:val="FootnoteText"/>
        <w:rPr>
          <w:szCs w:val="24"/>
        </w:rPr>
      </w:pPr>
      <w:r>
        <w:rPr>
          <w:rStyle w:val="FootnoteReference"/>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5408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090CD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922B2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9F9254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EF22A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1788F0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76C5F64"/>
    <w:lvl w:ilvl="0">
      <w:start w:val="1"/>
      <w:numFmt w:val="decimal"/>
      <w:pStyle w:val="ListNumber"/>
      <w:lvlText w:val="%1."/>
      <w:lvlJc w:val="left"/>
      <w:pPr>
        <w:tabs>
          <w:tab w:val="num" w:pos="360"/>
        </w:tabs>
        <w:ind w:left="360" w:hanging="360"/>
      </w:pPr>
    </w:lvl>
  </w:abstractNum>
  <w:abstractNum w:abstractNumId="7">
    <w:nsid w:val="FFFFFF89"/>
    <w:multiLevelType w:val="singleLevel"/>
    <w:tmpl w:val="21C253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num>
  <w:num w:numId="33">
    <w:abstractNumId w:val="1"/>
  </w:num>
  <w:num w:numId="34">
    <w:abstractNumId w:val="0"/>
  </w:num>
  <w:num w:numId="35">
    <w:abstractNumId w:val="8"/>
  </w:num>
  <w:num w:numId="36">
    <w:abstractNumId w:val="17"/>
  </w:num>
  <w:num w:numId="37">
    <w:abstractNumId w:val="16"/>
  </w:num>
  <w:num w:numId="38">
    <w:abstractNumId w:val="15"/>
    <w:lvlOverride w:ilvl="0">
      <w:startOverride w:val="1"/>
    </w:lvlOverride>
  </w:num>
  <w:num w:numId="39">
    <w:abstractNumId w:val="28"/>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4"/>
  </w:num>
  <w:num w:numId="44">
    <w:abstractNumId w:val="19"/>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2"/>
  </w:num>
  <w:num w:numId="48">
    <w:abstractNumId w:val="13"/>
  </w:num>
  <w:num w:numId="49">
    <w:abstractNumId w:val="26"/>
  </w:num>
  <w:num w:numId="50">
    <w:abstractNumId w:val="12"/>
  </w:num>
  <w:num w:numId="51">
    <w:abstractNumId w:val="14"/>
  </w:num>
  <w:num w:numId="52">
    <w:abstractNumId w:val="10"/>
  </w:num>
  <w:num w:numId="53">
    <w:abstractNumId w:val="25"/>
  </w:num>
  <w:num w:numId="54">
    <w:abstractNumId w:val="9"/>
  </w:num>
  <w:num w:numId="55">
    <w:abstractNumId w:val="15"/>
  </w:num>
  <w:num w:numId="56">
    <w:abstractNumId w:val="20"/>
  </w:num>
  <w:num w:numId="57">
    <w:abstractNumId w:val="21"/>
  </w:num>
  <w:num w:numId="58">
    <w:abstractNumId w:val="11"/>
  </w:num>
  <w:num w:numId="59">
    <w:abstractNumId w:val="18"/>
  </w:num>
  <w:num w:numId="60">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8-17 09:03:5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C388A9BA07A4422597002FDE1D5EB5C3"/>
    <w:docVar w:name="LW_CROSSREFERENCE" w:val="&lt;UNUSED&gt;"/>
    <w:docVar w:name="LW_DocType" w:val="COM"/>
    <w:docVar w:name="LW_EMISSION" w:val="23.8.2016"/>
    <w:docVar w:name="LW_EMISSION_ISODATE" w:val="2016-08-23"/>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56"/>
    <w:docVar w:name="LW_REF.II.NEW.CP_YEAR" w:val="2016"/>
    <w:docVar w:name="LW_REF.INST.NEW" w:val="COM"/>
    <w:docVar w:name="LW_REF.INST.NEW_ADOPTED" w:val="final"/>
    <w:docVar w:name="LW_REF.INST.NEW_TEXT" w:val="(2016) 531"/>
    <w:docVar w:name="LW_REF.INTERNE" w:val="&lt;UNUSED&gt;"/>
    <w:docVar w:name="LW_SOUS.TITRE.OBJ.CP" w:val="&lt;UNUSED&gt;"/>
    <w:docVar w:name="LW_STATUT.CP" w:val="Voorstel voor een"/>
    <w:docVar w:name="LW_SUPERTITRE" w:val="&lt;UNUSED&gt;"/>
    <w:docVar w:name="LW_TITRE.OBJ.CP" w:val="tot oprichting van de Europese Stichting tot verbetering van de levens- en arbeidsomstandigheden (Eurofound) en tot intrekking van Verordening (EEG) nr. 1365/75 van de Raad"/>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nhideWhenUsed/>
    <w:rPr>
      <w:color w:val="0000FF" w:themeColor="hyperlink"/>
      <w:u w:val="single"/>
    </w:rPr>
  </w:style>
  <w:style w:type="paragraph" w:styleId="ListNumber">
    <w:name w:val="List Number"/>
    <w:basedOn w:val="Normal"/>
    <w:unhideWhenUsed/>
    <w:pPr>
      <w:numPr>
        <w:numId w:val="31"/>
      </w:numPr>
      <w:contextualSpacing/>
    </w:p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styleId="ListParagraph">
    <w:name w:val="List Paragraph"/>
    <w:basedOn w:val="Normal"/>
    <w:uiPriority w:val="34"/>
    <w:qFormat/>
    <w:pPr>
      <w:spacing w:before="0" w:after="200" w:line="276" w:lineRule="auto"/>
      <w:ind w:left="720" w:hanging="357"/>
      <w:contextualSpacing/>
    </w:pPr>
    <w:rPr>
      <w:rFonts w:asciiTheme="minorHAnsi" w:hAnsiTheme="minorHAnsi" w:cstheme="minorBidi"/>
      <w:sz w:val="22"/>
    </w:rPr>
  </w:style>
  <w:style w:type="numbering" w:customStyle="1" w:styleId="NoList111">
    <w:name w:val="No List111"/>
    <w:next w:val="NoList"/>
    <w:uiPriority w:val="99"/>
    <w:semiHidden/>
    <w:unhideWhenUsed/>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850"/>
      </w:tabs>
      <w:ind w:left="850" w:hanging="85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2"/>
      </w:numPr>
      <w:contextualSpacing/>
    </w:pPr>
  </w:style>
  <w:style w:type="paragraph" w:styleId="ListNumber3">
    <w:name w:val="List Number 3"/>
    <w:basedOn w:val="Normal"/>
    <w:uiPriority w:val="99"/>
    <w:semiHidden/>
    <w:unhideWhenUsed/>
    <w:pPr>
      <w:numPr>
        <w:numId w:val="33"/>
      </w:numPr>
      <w:contextualSpacing/>
    </w:pPr>
  </w:style>
  <w:style w:type="paragraph" w:styleId="ListNumber4">
    <w:name w:val="List Number 4"/>
    <w:basedOn w:val="Normal"/>
    <w:uiPriority w:val="99"/>
    <w:semiHidden/>
    <w:unhideWhenUsed/>
    <w:pPr>
      <w:numPr>
        <w:numId w:val="34"/>
      </w:numPr>
      <w:contextualSpacing/>
    </w:pPr>
  </w:style>
  <w:style w:type="paragraph" w:customStyle="1" w:styleId="ListBullet1">
    <w:name w:val="List Bullet 1"/>
    <w:basedOn w:val="Normal"/>
    <w:pPr>
      <w:numPr>
        <w:numId w:val="35"/>
      </w:numPr>
    </w:pPr>
    <w:rPr>
      <w:rFonts w:eastAsia="Times New Roman"/>
    </w:rPr>
  </w:style>
  <w:style w:type="paragraph" w:customStyle="1" w:styleId="ListDash1">
    <w:name w:val="List Dash 1"/>
    <w:basedOn w:val="Normal"/>
    <w:pPr>
      <w:numPr>
        <w:numId w:val="36"/>
      </w:numPr>
    </w:pPr>
    <w:rPr>
      <w:rFonts w:eastAsia="Times New Roman"/>
    </w:rPr>
  </w:style>
  <w:style w:type="paragraph" w:customStyle="1" w:styleId="ListDash2">
    <w:name w:val="List Dash 2"/>
    <w:basedOn w:val="Normal"/>
    <w:pPr>
      <w:numPr>
        <w:numId w:val="3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5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nhideWhenUsed/>
    <w:rPr>
      <w:color w:val="0000FF" w:themeColor="hyperlink"/>
      <w:u w:val="single"/>
    </w:rPr>
  </w:style>
  <w:style w:type="paragraph" w:styleId="ListNumber">
    <w:name w:val="List Number"/>
    <w:basedOn w:val="Normal"/>
    <w:unhideWhenUsed/>
    <w:pPr>
      <w:numPr>
        <w:numId w:val="31"/>
      </w:numPr>
      <w:contextualSpacing/>
    </w:p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styleId="ListParagraph">
    <w:name w:val="List Paragraph"/>
    <w:basedOn w:val="Normal"/>
    <w:uiPriority w:val="34"/>
    <w:qFormat/>
    <w:pPr>
      <w:spacing w:before="0" w:after="200" w:line="276" w:lineRule="auto"/>
      <w:ind w:left="720" w:hanging="357"/>
      <w:contextualSpacing/>
    </w:pPr>
    <w:rPr>
      <w:rFonts w:asciiTheme="minorHAnsi" w:hAnsiTheme="minorHAnsi" w:cstheme="minorBidi"/>
      <w:sz w:val="22"/>
    </w:rPr>
  </w:style>
  <w:style w:type="numbering" w:customStyle="1" w:styleId="NoList111">
    <w:name w:val="No List111"/>
    <w:next w:val="NoList"/>
    <w:uiPriority w:val="99"/>
    <w:semiHidden/>
    <w:unhideWhenUsed/>
  </w:style>
  <w:style w:type="paragraph" w:customStyle="1" w:styleId="Considerant">
    <w:name w:val="Considerant"/>
    <w:basedOn w:val="Considrant"/>
    <w:pPr>
      <w:numPr>
        <w:numId w:val="0"/>
      </w:numPr>
      <w:ind w:left="709"/>
    </w:pPr>
  </w:style>
  <w:style w:type="paragraph" w:customStyle="1" w:styleId="Conside">
    <w:name w:val="Conside"/>
    <w:basedOn w:val="Considrant"/>
    <w:pPr>
      <w:numPr>
        <w:numId w:val="0"/>
      </w:numPr>
      <w:tabs>
        <w:tab w:val="num" w:pos="850"/>
      </w:tabs>
      <w:ind w:left="850" w:hanging="850"/>
    </w:pPr>
  </w:style>
  <w:style w:type="paragraph" w:customStyle="1" w:styleId="Text10">
    <w:name w:val="Text1"/>
    <w:basedOn w:val="NumPar1"/>
    <w:pPr>
      <w:numPr>
        <w:numId w:val="0"/>
      </w:numPr>
      <w:ind w:left="850"/>
    </w:pPr>
  </w:style>
  <w:style w:type="paragraph" w:customStyle="1" w:styleId="Text0">
    <w:name w:val="Text0"/>
    <w:basedOn w:val="Normal"/>
  </w:style>
  <w:style w:type="paragraph" w:customStyle="1" w:styleId="Tex1">
    <w:name w:val="Tex1"/>
    <w:basedOn w:val="NumPar1"/>
    <w:pPr>
      <w:numPr>
        <w:numId w:val="0"/>
      </w:numPr>
      <w:tabs>
        <w:tab w:val="num" w:pos="850"/>
      </w:tabs>
      <w:ind w:left="850" w:hanging="850"/>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32"/>
      </w:numPr>
      <w:contextualSpacing/>
    </w:pPr>
  </w:style>
  <w:style w:type="paragraph" w:styleId="ListNumber3">
    <w:name w:val="List Number 3"/>
    <w:basedOn w:val="Normal"/>
    <w:uiPriority w:val="99"/>
    <w:semiHidden/>
    <w:unhideWhenUsed/>
    <w:pPr>
      <w:numPr>
        <w:numId w:val="33"/>
      </w:numPr>
      <w:contextualSpacing/>
    </w:pPr>
  </w:style>
  <w:style w:type="paragraph" w:styleId="ListNumber4">
    <w:name w:val="List Number 4"/>
    <w:basedOn w:val="Normal"/>
    <w:uiPriority w:val="99"/>
    <w:semiHidden/>
    <w:unhideWhenUsed/>
    <w:pPr>
      <w:numPr>
        <w:numId w:val="34"/>
      </w:numPr>
      <w:contextualSpacing/>
    </w:pPr>
  </w:style>
  <w:style w:type="paragraph" w:customStyle="1" w:styleId="ListBullet1">
    <w:name w:val="List Bullet 1"/>
    <w:basedOn w:val="Normal"/>
    <w:pPr>
      <w:numPr>
        <w:numId w:val="35"/>
      </w:numPr>
    </w:pPr>
    <w:rPr>
      <w:rFonts w:eastAsia="Times New Roman"/>
    </w:rPr>
  </w:style>
  <w:style w:type="paragraph" w:customStyle="1" w:styleId="ListDash1">
    <w:name w:val="List Dash 1"/>
    <w:basedOn w:val="Normal"/>
    <w:pPr>
      <w:numPr>
        <w:numId w:val="36"/>
      </w:numPr>
    </w:pPr>
    <w:rPr>
      <w:rFonts w:eastAsia="Times New Roman"/>
    </w:rPr>
  </w:style>
  <w:style w:type="paragraph" w:customStyle="1" w:styleId="ListDash2">
    <w:name w:val="List Dash 2"/>
    <w:basedOn w:val="Normal"/>
    <w:pPr>
      <w:numPr>
        <w:numId w:val="3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7"/>
      </w:numPr>
    </w:pPr>
  </w:style>
  <w:style w:type="paragraph" w:customStyle="1" w:styleId="Tiret1">
    <w:name w:val="Tiret 1"/>
    <w:basedOn w:val="Point1"/>
    <w:pPr>
      <w:numPr>
        <w:numId w:val="48"/>
      </w:numPr>
    </w:pPr>
  </w:style>
  <w:style w:type="paragraph" w:customStyle="1" w:styleId="Tiret2">
    <w:name w:val="Tiret 2"/>
    <w:basedOn w:val="Point2"/>
    <w:pPr>
      <w:numPr>
        <w:numId w:val="49"/>
      </w:numPr>
    </w:pPr>
  </w:style>
  <w:style w:type="paragraph" w:customStyle="1" w:styleId="Tiret3">
    <w:name w:val="Tiret 3"/>
    <w:basedOn w:val="Point3"/>
    <w:pPr>
      <w:numPr>
        <w:numId w:val="50"/>
      </w:numPr>
    </w:pPr>
  </w:style>
  <w:style w:type="paragraph" w:customStyle="1" w:styleId="Tiret4">
    <w:name w:val="Tiret 4"/>
    <w:basedOn w:val="Point4"/>
    <w:pPr>
      <w:numPr>
        <w:numId w:val="5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2"/>
      </w:numPr>
    </w:pPr>
  </w:style>
  <w:style w:type="paragraph" w:customStyle="1" w:styleId="NumPar2">
    <w:name w:val="NumPar 2"/>
    <w:basedOn w:val="Normal"/>
    <w:next w:val="Text1"/>
    <w:pPr>
      <w:numPr>
        <w:ilvl w:val="1"/>
        <w:numId w:val="52"/>
      </w:numPr>
    </w:pPr>
  </w:style>
  <w:style w:type="paragraph" w:customStyle="1" w:styleId="NumPar3">
    <w:name w:val="NumPar 3"/>
    <w:basedOn w:val="Normal"/>
    <w:next w:val="Text1"/>
    <w:pPr>
      <w:numPr>
        <w:ilvl w:val="2"/>
        <w:numId w:val="52"/>
      </w:numPr>
    </w:pPr>
  </w:style>
  <w:style w:type="paragraph" w:customStyle="1" w:styleId="NumPar4">
    <w:name w:val="NumPar 4"/>
    <w:basedOn w:val="Normal"/>
    <w:next w:val="Text1"/>
    <w:pPr>
      <w:numPr>
        <w:ilvl w:val="3"/>
        <w:numId w:val="5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4"/>
      </w:numPr>
    </w:pPr>
  </w:style>
  <w:style w:type="paragraph" w:customStyle="1" w:styleId="Point1number">
    <w:name w:val="Point 1 (number)"/>
    <w:basedOn w:val="Normal"/>
    <w:pPr>
      <w:numPr>
        <w:ilvl w:val="2"/>
        <w:numId w:val="54"/>
      </w:numPr>
    </w:pPr>
  </w:style>
  <w:style w:type="paragraph" w:customStyle="1" w:styleId="Point2number">
    <w:name w:val="Point 2 (number)"/>
    <w:basedOn w:val="Normal"/>
    <w:pPr>
      <w:numPr>
        <w:ilvl w:val="4"/>
        <w:numId w:val="54"/>
      </w:numPr>
    </w:pPr>
  </w:style>
  <w:style w:type="paragraph" w:customStyle="1" w:styleId="Point3number">
    <w:name w:val="Point 3 (number)"/>
    <w:basedOn w:val="Normal"/>
    <w:pPr>
      <w:numPr>
        <w:ilvl w:val="6"/>
        <w:numId w:val="54"/>
      </w:numPr>
    </w:pPr>
  </w:style>
  <w:style w:type="paragraph" w:customStyle="1" w:styleId="Point0letter">
    <w:name w:val="Point 0 (letter)"/>
    <w:basedOn w:val="Normal"/>
    <w:pPr>
      <w:numPr>
        <w:ilvl w:val="1"/>
        <w:numId w:val="54"/>
      </w:numPr>
    </w:pPr>
  </w:style>
  <w:style w:type="paragraph" w:customStyle="1" w:styleId="Point1letter">
    <w:name w:val="Point 1 (letter)"/>
    <w:basedOn w:val="Normal"/>
    <w:pPr>
      <w:numPr>
        <w:ilvl w:val="3"/>
        <w:numId w:val="54"/>
      </w:numPr>
    </w:pPr>
  </w:style>
  <w:style w:type="paragraph" w:customStyle="1" w:styleId="Point2letter">
    <w:name w:val="Point 2 (letter)"/>
    <w:basedOn w:val="Normal"/>
    <w:pPr>
      <w:numPr>
        <w:ilvl w:val="5"/>
        <w:numId w:val="54"/>
      </w:numPr>
    </w:pPr>
  </w:style>
  <w:style w:type="paragraph" w:customStyle="1" w:styleId="Point3letter">
    <w:name w:val="Point 3 (letter)"/>
    <w:basedOn w:val="Normal"/>
    <w:pPr>
      <w:numPr>
        <w:ilvl w:val="7"/>
        <w:numId w:val="54"/>
      </w:numPr>
    </w:pPr>
  </w:style>
  <w:style w:type="paragraph" w:customStyle="1" w:styleId="Point4letter">
    <w:name w:val="Point 4 (letter)"/>
    <w:basedOn w:val="Normal"/>
    <w:pPr>
      <w:numPr>
        <w:ilvl w:val="8"/>
        <w:numId w:val="54"/>
      </w:numPr>
    </w:pPr>
  </w:style>
  <w:style w:type="paragraph" w:customStyle="1" w:styleId="Bullet0">
    <w:name w:val="Bullet 0"/>
    <w:basedOn w:val="Normal"/>
    <w:pPr>
      <w:numPr>
        <w:numId w:val="55"/>
      </w:numPr>
    </w:pPr>
  </w:style>
  <w:style w:type="paragraph" w:customStyle="1" w:styleId="Bullet1">
    <w:name w:val="Bullet 1"/>
    <w:basedOn w:val="Normal"/>
    <w:pPr>
      <w:numPr>
        <w:numId w:val="56"/>
      </w:numPr>
    </w:pPr>
  </w:style>
  <w:style w:type="paragraph" w:customStyle="1" w:styleId="Bullet2">
    <w:name w:val="Bullet 2"/>
    <w:basedOn w:val="Normal"/>
    <w:pPr>
      <w:numPr>
        <w:numId w:val="57"/>
      </w:numPr>
    </w:pPr>
  </w:style>
  <w:style w:type="paragraph" w:customStyle="1" w:styleId="Bullet3">
    <w:name w:val="Bullet 3"/>
    <w:basedOn w:val="Normal"/>
    <w:pPr>
      <w:numPr>
        <w:numId w:val="58"/>
      </w:numPr>
    </w:pPr>
  </w:style>
  <w:style w:type="paragraph" w:customStyle="1" w:styleId="Bullet4">
    <w:name w:val="Bullet 4"/>
    <w:basedOn w:val="Normal"/>
    <w:pPr>
      <w:numPr>
        <w:numId w:val="5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90A6-866A-4579-B9AC-87F9726D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39</Pages>
  <Words>10364</Words>
  <Characters>61672</Characters>
  <Application>Microsoft Office Word</Application>
  <DocSecurity>0</DocSecurity>
  <Lines>1581</Lines>
  <Paragraphs>742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2016-07-01T05:06:00Z</cp:lastPrinted>
  <dcterms:created xsi:type="dcterms:W3CDTF">2016-08-16T15:01:00Z</dcterms:created>
  <dcterms:modified xsi:type="dcterms:W3CDTF">2016-08-17T07:03:00Z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